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Noto Sans CJK TC" w:hAnsi="Noto Sans CJK TC"/>
          <w:b/>
          <w:bCs/>
          <w:sz w:val="64"/>
          <w:szCs w:val="64"/>
        </w:rPr>
      </w:pPr>
      <w:r>
        <w:rPr>
          <w:rFonts w:ascii="Noto Sans CJK TC" w:hAnsi="Noto Sans CJK TC"/>
          <w:b/>
          <w:bCs/>
          <w:sz w:val="64"/>
          <w:szCs w:val="64"/>
        </w:rPr>
        <w:t>总体设计方案</w:t>
      </w:r>
    </w:p>
    <w:p>
      <w:pPr>
        <w:jc w:val="center"/>
        <w:rPr>
          <w:rFonts w:ascii="Noto Sans CJK TC" w:hAnsi="Noto Sans CJK TC"/>
          <w:b/>
          <w:bCs/>
          <w:sz w:val="64"/>
          <w:szCs w:val="64"/>
        </w:rPr>
      </w:pPr>
    </w:p>
    <w:p>
      <w:pPr>
        <w:jc w:val="both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 w:eastAsia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 w:eastAsia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 w:eastAsia="Noto Sans CJK TC"/>
          <w:b/>
          <w:bCs/>
          <w:sz w:val="32"/>
          <w:szCs w:val="32"/>
        </w:rPr>
      </w:pPr>
    </w:p>
    <w:p>
      <w:pPr>
        <w:jc w:val="left"/>
      </w:pPr>
      <w:r>
        <w:rPr>
          <w:rFonts w:ascii="Noto Sans CJK TC" w:hAnsi="Noto Sans CJK TC" w:eastAsia="Noto Sans CJK TC"/>
          <w:b/>
          <w:bCs/>
          <w:sz w:val="32"/>
          <w:szCs w:val="32"/>
        </w:rPr>
        <w:t xml:space="preserve">                                                      编制:雷邓君</w:t>
      </w:r>
    </w:p>
    <w:p>
      <w:pPr>
        <w:jc w:val="left"/>
      </w:pP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ab/>
      </w:r>
      <w:r>
        <w:rPr>
          <w:rFonts w:ascii="Noto Sans CJK TC" w:hAnsi="Noto Sans CJK TC" w:eastAsia="Noto Sans CJK TC"/>
          <w:b/>
          <w:bCs/>
          <w:sz w:val="32"/>
          <w:szCs w:val="32"/>
        </w:rPr>
        <w:t xml:space="preserve">  项目名称:公平价二手车估值升级</w:t>
      </w:r>
    </w:p>
    <w:p>
      <w:pPr>
        <w:jc w:val="left"/>
      </w:pPr>
      <w:r>
        <w:rPr>
          <w:rFonts w:ascii="Noto Sans CJK TC" w:hAnsi="Noto Sans CJK TC" w:eastAsia="Noto Sans CJK TC"/>
          <w:b/>
          <w:bCs/>
          <w:sz w:val="32"/>
          <w:szCs w:val="32"/>
        </w:rPr>
        <w:t xml:space="preserve">                                            </w:t>
      </w: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  <w:r>
        <w:rPr>
          <w:rFonts w:ascii="Noto Sans CJK TC" w:hAnsi="Noto Sans CJK TC"/>
          <w:b/>
          <w:bCs/>
          <w:sz w:val="21"/>
          <w:szCs w:val="21"/>
        </w:rPr>
        <w:t>本文件修订历史信息:</w:t>
      </w:r>
    </w:p>
    <w:tbl>
      <w:tblPr>
        <w:tblStyle w:val="13"/>
        <w:tblW w:w="9637" w:type="dxa"/>
        <w:tblInd w:w="3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30" w:type="dxa"/>
          <w:bottom w:w="55" w:type="dxa"/>
          <w:right w:w="55" w:type="dxa"/>
        </w:tblCellMar>
      </w:tblPr>
      <w:tblGrid>
        <w:gridCol w:w="2409"/>
        <w:gridCol w:w="2410"/>
        <w:gridCol w:w="2416"/>
        <w:gridCol w:w="2402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更新日期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修订者</w:t>
            </w: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批准人</w:t>
            </w: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主要修订摘要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</w:pPr>
            <w:r>
              <w:rPr>
                <w:rFonts w:ascii="Noto Sans CJK TC" w:hAnsi="Noto Sans CJK TC"/>
                <w:b w:val="0"/>
                <w:bCs w:val="0"/>
                <w:sz w:val="18"/>
                <w:szCs w:val="18"/>
              </w:rPr>
              <w:t>2018.10.31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  <w:r>
              <w:rPr>
                <w:rFonts w:ascii="Noto Sans CJK TC" w:hAnsi="Noto Sans CJK TC"/>
                <w:sz w:val="18"/>
                <w:szCs w:val="21"/>
              </w:rPr>
              <w:t>雷邓君</w:t>
            </w: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</w:pPr>
            <w:r>
              <w:rPr>
                <w:rFonts w:ascii="Noto Sans CJK TC" w:hAnsi="Noto Sans CJK TC"/>
                <w:sz w:val="18"/>
                <w:szCs w:val="21"/>
              </w:rPr>
              <w:t>万可文</w:t>
            </w: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  <w:r>
              <w:rPr>
                <w:rFonts w:ascii="Noto Sans CJK TC" w:hAnsi="Noto Sans CJK TC"/>
                <w:sz w:val="18"/>
                <w:szCs w:val="21"/>
              </w:rPr>
              <w:t>新编写文件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0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30" w:type="dxa"/>
            </w:tcMar>
          </w:tcPr>
          <w:p>
            <w:pPr>
              <w:pStyle w:val="15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</w:tbl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pStyle w:val="2"/>
        <w:numPr>
          <w:ilvl w:val="0"/>
          <w:numId w:val="2"/>
        </w:numPr>
        <w:ind w:left="0" w:firstLine="0"/>
      </w:pPr>
      <w:r>
        <w:t>1.总体目标</w:t>
      </w:r>
    </w:p>
    <w:p>
      <w:pPr>
        <w:pStyle w:val="5"/>
        <w:numPr>
          <w:ilvl w:val="1"/>
          <w:numId w:val="2"/>
        </w:numPr>
        <w:ind w:left="0" w:firstLine="0"/>
      </w:pPr>
      <w:r>
        <w:t>1.1总体目标</w:t>
      </w:r>
    </w:p>
    <w:p>
      <w:pPr>
        <w:pStyle w:val="4"/>
      </w:pPr>
      <w:r>
        <w:t xml:space="preserve">         估值系统:能通过品牌,车系,款型,公里数,城市,上牌时间特征预测该车当前的车商收购价,车商真实售价,车商建议标价,个人交易价,最低成交价,认证二手车价,4S店置换价,车商批发价,平均买车价,平均卖车价十类价格.每种价格分四个车况,[优秀,良好,一般,较差].</w:t>
      </w:r>
    </w:p>
    <w:p>
      <w:pPr>
        <w:pStyle w:val="4"/>
      </w:pPr>
      <w:r>
        <w:t xml:space="preserve">         残值系统:能通过品牌,车系,款型,公里数,城市,上牌时间特征预测该车当前的车商收购价,车商真实售价,个人交易价未来12个月每个月的残值和未来三年每年的残值,以及过去6个月这三类价格的历史走势.</w:t>
      </w:r>
    </w:p>
    <w:p>
      <w:pPr>
        <w:pStyle w:val="4"/>
      </w:pPr>
    </w:p>
    <w:p>
      <w:pPr>
        <w:pStyle w:val="2"/>
        <w:numPr>
          <w:ilvl w:val="0"/>
          <w:numId w:val="2"/>
        </w:numPr>
        <w:ind w:left="0" w:firstLine="0"/>
      </w:pPr>
      <w:r>
        <w:t>2.需求分析及功能设计</w:t>
      </w:r>
    </w:p>
    <w:p>
      <w:pPr>
        <w:pStyle w:val="5"/>
        <w:numPr>
          <w:ilvl w:val="1"/>
          <w:numId w:val="2"/>
        </w:numPr>
        <w:ind w:left="0" w:firstLine="0"/>
      </w:pPr>
      <w:r>
        <w:t>2.1子系统划分</w:t>
      </w:r>
    </w:p>
    <w:p>
      <w:pPr>
        <w:pStyle w:val="4"/>
        <w:ind w:firstLine="520" w:firstLineChars="0"/>
      </w:pPr>
      <w:r>
        <w:t>估值大系统分成三部分:爬虫系统,款型匹配系统和估值算法系统。</w:t>
      </w:r>
    </w:p>
    <w:p>
      <w:pPr>
        <w:pStyle w:val="8"/>
      </w:pPr>
      <w:r>
        <w:t>2.1.1 爬虫系统</w:t>
      </w:r>
    </w:p>
    <w:p>
      <w:pPr>
        <w:pStyle w:val="4"/>
        <w:ind w:firstLine="520" w:firstLineChars="0"/>
      </w:pPr>
      <w:r>
        <w:t>功能介绍:抓取两部分内容,一是汽车之家的款型库作为我方标准库的补充和新款车4S店的实际售车价,二是抓取瓜子,人人车,优信三平台的车源数据作为估值算法系统的训练数据.详细设计请参见吴辛成编写的《爬虫系统设计》</w:t>
      </w:r>
    </w:p>
    <w:p>
      <w:pPr>
        <w:pStyle w:val="8"/>
      </w:pPr>
      <w:r>
        <w:t>2.1.2 款型匹配系统</w:t>
      </w:r>
    </w:p>
    <w:p>
      <w:pPr>
        <w:ind w:firstLine="520" w:firstLineChars="0"/>
      </w:pPr>
      <w:r>
        <w:t>功能介绍:通过车源信息的文字标题,预测其品牌,车系,款型与我方标准库的对应关系.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             例如文字标题:</w:t>
      </w:r>
      <w:r>
        <w:rPr>
          <w:lang w:val="en-US" w:eastAsia="zh-CN"/>
        </w:rPr>
        <w:t>奥迪A8L 2013款 A8L 40 hybrspecid(进口)</w:t>
      </w:r>
    </w:p>
    <w:p>
      <w:pPr>
        <w:ind w:firstLine="520" w:firstLineChars="0"/>
      </w:pPr>
      <w:r>
        <w:t xml:space="preserve">        预测品牌:奥迪</w:t>
      </w:r>
    </w:p>
    <w:p>
      <w:pPr>
        <w:ind w:firstLine="960" w:firstLineChars="400"/>
      </w:pPr>
      <w:r>
        <w:t>预测车系:奥迪A8L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</w:pPr>
      <w:r>
        <w:t>预测款型:</w:t>
      </w:r>
      <w:r>
        <w:rPr>
          <w:lang w:val="en-US" w:eastAsia="zh-CN"/>
        </w:rPr>
        <w:t>2013款 A8L 40 hybrspecid(进口)</w:t>
      </w:r>
    </w:p>
    <w:p>
      <w:pPr>
        <w:ind w:firstLine="960" w:firstLineChars="400"/>
      </w:pPr>
    </w:p>
    <w:p/>
    <w:p>
      <w:pPr>
        <w:pStyle w:val="8"/>
      </w:pPr>
      <w:r>
        <w:t>2.1.3 估值算法系统</w:t>
      </w:r>
    </w:p>
    <w:p>
      <w:pPr>
        <w:ind w:firstLine="520" w:firstLineChars="0"/>
      </w:pPr>
      <w:r>
        <w:t>功能介绍:将爬虫抓取的车源数据作为训练数据进行训练,并根据款型,上牌年份,公里数,城市预测二手车的十类价格.</w:t>
      </w:r>
    </w:p>
    <w:p/>
    <w:p>
      <w:pPr>
        <w:pStyle w:val="5"/>
        <w:numPr>
          <w:ilvl w:val="1"/>
          <w:numId w:val="2"/>
        </w:numPr>
        <w:ind w:left="0" w:firstLine="0"/>
      </w:pPr>
      <w:r>
        <w:t>2.2系统流程分析</w:t>
      </w:r>
    </w:p>
    <w:p>
      <w:pPr>
        <w:numPr>
          <w:ilvl w:val="0"/>
          <w:numId w:val="3"/>
        </w:numPr>
        <w:ind w:firstLine="520" w:firstLineChars="0"/>
      </w:pPr>
      <w:r>
        <w:t>爬虫抓取汽车之家款型库</w:t>
      </w:r>
    </w:p>
    <w:p>
      <w:pPr>
        <w:numPr>
          <w:ilvl w:val="0"/>
          <w:numId w:val="3"/>
        </w:numPr>
        <w:ind w:firstLine="520" w:firstLineChars="0"/>
      </w:pPr>
      <w:r>
        <w:t>将我方款型库与汽车之家款型库进行匹配并最终生成我方标准库</w:t>
      </w:r>
    </w:p>
    <w:p>
      <w:pPr>
        <w:numPr>
          <w:ilvl w:val="0"/>
          <w:numId w:val="3"/>
        </w:numPr>
        <w:ind w:firstLine="520" w:firstLineChars="0"/>
      </w:pPr>
      <w:r>
        <w:t>将我方标准库的款型文字描述作为训练数据，使用深度神经循环网络lstm算法进行训练并最终生成品牌预测,车系预测,款型预测三大模型.</w:t>
      </w:r>
    </w:p>
    <w:p>
      <w:pPr>
        <w:numPr>
          <w:ilvl w:val="0"/>
          <w:numId w:val="3"/>
        </w:numPr>
        <w:ind w:firstLine="520" w:firstLineChars="0"/>
      </w:pPr>
      <w:r>
        <w:t>爬虫抓取瓜子,人人车,优信三平台车源数据。</w:t>
      </w:r>
    </w:p>
    <w:p>
      <w:pPr>
        <w:numPr>
          <w:ilvl w:val="0"/>
          <w:numId w:val="3"/>
        </w:numPr>
        <w:ind w:firstLine="520" w:firstLineChars="0"/>
      </w:pPr>
      <w:r>
        <w:t>用3生成的模型预测4抓取的车源数据与我方标准库的对应关系</w:t>
      </w:r>
    </w:p>
    <w:p>
      <w:pPr>
        <w:numPr>
          <w:ilvl w:val="0"/>
          <w:numId w:val="3"/>
        </w:numPr>
        <w:ind w:firstLine="520" w:firstLineChars="0"/>
      </w:pPr>
      <w:r>
        <w:t>将5匹配上的数据进行数据探索,特征工程,生成训练数据并使用xgboost算法最终训练生成估值模型.</w:t>
      </w:r>
    </w:p>
    <w:p>
      <w:pPr>
        <w:widowControl/>
        <w:numPr>
          <w:numId w:val="0"/>
        </w:numPr>
        <w:tabs>
          <w:tab w:val="left" w:pos="312"/>
        </w:tabs>
        <w:bidi w:val="0"/>
        <w:jc w:val="left"/>
      </w:pPr>
    </w:p>
    <w:p>
      <w:pPr>
        <w:pStyle w:val="2"/>
        <w:numPr>
          <w:ilvl w:val="0"/>
          <w:numId w:val="2"/>
        </w:numPr>
        <w:ind w:left="0" w:firstLine="0"/>
      </w:pPr>
      <w:r>
        <w:t>3.</w:t>
      </w:r>
      <w:r>
        <w:t>系统设计</w:t>
      </w:r>
    </w:p>
    <w:p>
      <w:pPr>
        <w:pStyle w:val="5"/>
      </w:pPr>
      <w:r>
        <w:t>3.1 款型匹配系统设计</w:t>
      </w:r>
    </w:p>
    <w:p>
      <w:pPr>
        <w:pStyle w:val="8"/>
      </w:pPr>
      <w:r>
        <w:t>3.1.1 标准库设计</w:t>
      </w:r>
    </w:p>
    <w:p>
      <w:pPr>
        <w:ind w:firstLine="520" w:firstLineChars="0"/>
      </w:pPr>
      <w:r>
        <w:t>我方标准库设计原则是主力洋车型库,汽车之家车型库为补充.</w:t>
      </w:r>
    </w:p>
    <w:p>
      <w:pPr>
        <w:ind w:firstLine="520" w:firstLineChars="0"/>
      </w:pPr>
      <w:r>
        <w:t>步骤1--品牌匹配:首先程序匹配,要求品牌名称绝对一致,无法匹配的进行人工匹配,确保绝对准确.</w:t>
      </w:r>
    </w:p>
    <w:p>
      <w:pPr>
        <w:ind w:firstLine="520" w:firstLineChars="0"/>
      </w:pPr>
      <w:r>
        <w:t>步骤2--车系匹配:在同品牌条件下,首先程序匹配,要求同品牌下车系名称绝对一致,无法匹配的进行人工匹配,确保绝对准备.</w:t>
      </w:r>
    </w:p>
    <w:p>
      <w:pPr>
        <w:widowControl/>
        <w:numPr>
          <w:numId w:val="0"/>
        </w:numPr>
        <w:tabs>
          <w:tab w:val="left" w:pos="312"/>
        </w:tabs>
        <w:bidi w:val="0"/>
        <w:jc w:val="left"/>
      </w:pPr>
      <w:r>
        <w:tab/>
        <w:t/>
      </w:r>
      <w:r>
        <w:tab/>
        <w:t>步骤3--款型匹配:在同品牌,车系,年款,排量条件下,首先程序匹配,要求该条件下款型名称绝对一致或者最大包含,并且新车指导价要相等或者非常接近.使用算法(2</w:t>
      </w:r>
      <w:r>
        <w:t>范数</w:t>
      </w:r>
      <w:r>
        <w:t>)进行筛选</w:t>
      </w:r>
    </w:p>
    <w:p>
      <w:r>
        <w:t>公式:       min（</w:t>
      </w:r>
      <w:r>
        <w:t>（文字包含率-1）**2 + (指导价差异比率-1) **2</w:t>
      </w:r>
      <w:r>
        <w:t>)</w:t>
      </w:r>
    </w:p>
    <w:p>
      <w:r>
        <w:t>无法匹配的进行人工匹配,确保准确。</w:t>
      </w:r>
    </w:p>
    <w:p/>
    <w:p>
      <w:pPr>
        <w:pStyle w:val="8"/>
      </w:pPr>
      <w:r>
        <w:t>3.1.2 款型匹配系统设计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lang w:eastAsia="zh-CN"/>
        </w:rPr>
      </w:pPr>
      <w:r>
        <w:t>款型匹配系统主要针对抓取的二手车交易平台(瓜子,人人车,优信等)的车源车型与我方标准库进行匹配.通常二手车交易平台车源文字描述只包含 车系名称+款型名称,例如:</w:t>
      </w:r>
      <w:r>
        <w:rPr>
          <w:lang w:val="en-US" w:eastAsia="zh-CN"/>
        </w:rPr>
        <w:t>奥迪A8L 2013款 A8L 40 hybrspecid(进口)</w:t>
      </w:r>
      <w:r>
        <w:rPr>
          <w:lang w:eastAsia="zh-CN"/>
        </w:rPr>
        <w:t>.款型匹配系统设计的目标就是通过该文字序列描述预测其品牌,车系,款型。这种类型的预测是典型的序列预测,目前针对该类预测问题最成熟和常用算法就是lstm(基于tensorflow框架).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lang w:eastAsia="zh-CN"/>
        </w:rPr>
      </w:pPr>
      <w:r>
        <w:rPr>
          <w:lang w:eastAsia="zh-CN"/>
        </w:rPr>
        <w:t>步骤1:因这类序列文字描述不存在词性分析,lstm的应用相对简单,可以直接使用单个汉字作为词向量.根据之前生成的标准库,将品牌,车系,款型的文字描述生成语料库词向量word2vec和映射器。如此操作的原因是机器学习算法只认识数字,将   奥--[010101,111111,1010101] 迪--[</w:t>
      </w:r>
      <w:r>
        <w:rPr>
          <w:lang w:eastAsia="zh-CN"/>
        </w:rPr>
        <w:t>010101,111111,10101</w:t>
      </w:r>
      <w:r>
        <w:rPr>
          <w:lang w:eastAsia="zh-CN"/>
        </w:rPr>
        <w:t>1</w:t>
      </w:r>
      <w:r>
        <w:rPr>
          <w:lang w:eastAsia="zh-CN"/>
        </w:rPr>
        <w:t>1</w:t>
      </w:r>
      <w:r>
        <w:rPr>
          <w:lang w:eastAsia="zh-CN"/>
        </w:rPr>
        <w:t>] 等中文字符转换成算法认识的矩阵向量。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步骤2:将标准库的车系和款型文字描述组装成lstm训练的序列训练数据,分别生成品牌预测,车系预测,款型预测三类模型.当前模型分成三层, lstm层, dropout层, dense层。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步骤3:使用2生成的模型预测二手车交易平台车源数据的品牌,车系,款型与我方标准库的对应关系.并生成标准车源数据供估值模型算法使用.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</w:p>
    <w:p>
      <w:pPr>
        <w:pStyle w:val="5"/>
      </w:pPr>
      <w:r>
        <w:t>3.</w:t>
      </w:r>
      <w:r>
        <w:t>2估值</w:t>
      </w:r>
      <w:r>
        <w:t>系统设计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估值系统的目标是预测二手车的十类价格，机器学习内有个不成文的规定或者说是一个成熟的经验.如果训练数据空间能够覆盖超过95%，直接使用xgboos或者深度学习算法效果较好。如果训练数据量达不到该标准,那么最好降维或者降低特征类别.例如 我方标准库款型37000个,城市352个,平均车龄10年,10类价格,那么达到数据覆盖的要求就是 37000*352*10*10*0.95 = 12.4亿的数据量,但实际上本次系统升级有效数据只有98万,不到1%,远远低于经验值.直接使用深度学习算法或者xgboost效果是很差的.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所以本系统依据xgboost的数学原理和之前的市场调研,重新复现算法逻辑.人工进行树叉分支选择,每一个特征都单独分析.如此操作的前提是非常熟悉市场逻辑和数据可视化的确证.以下特征分析非常具有代表性,可以理解为树叉分支的选择.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3.2.1 指导价差拟合曲线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根据图形可视化,同车系同年款的车源,指导价差对于价格预测的权重随车龄呈衰减趋势.也就是说高配与低配车,随着车龄的增长,价格差异越小.训练数据展示如下: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113145" cy="1316355"/>
            <wp:effectExtent l="0" t="0" r="19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从图像上可以看出,同车龄下指导价差与价格差呈现明显的一次曲线,当前版本也是通过一次曲线进行最终的拟合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3.2.2 车系保值率拟合曲线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根据图形可视化,几乎所有的车系的低配车的保值率都呈现如下衰减形式: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</w:pPr>
      <w:r>
        <w:drawing>
          <wp:inline distT="0" distB="0" distL="114300" distR="114300">
            <wp:extent cx="6113145" cy="4408170"/>
            <wp:effectExtent l="0" t="0" r="19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从图上可以看出,几乎所有车系不同年款的低配车的保值率在0-6年呈现高衰减的指数曲线,6年以上的呈现低衰减的指数曲线，当前版本通过分段函数进行拟合.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3.2.3 省份差异拟合曲线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因同省份内城市差异较小,将城市分类提升为省份分类,省份差异的拟合,目前拟合的差异不是很明显,整体表现为一线城市豪华车市场占有率高,保值率偏高;二线以下城市豪华车占有率低,保值率低.中端车,低端车分析类似.因目前没有抓取到相关的其他数据,暂时以此作为分析前提,图像如下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119495" cy="1272540"/>
            <wp:effectExtent l="0" t="0" r="146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当前系统根据豪华车,中端车,低端车分类进行省份差异的拟合。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3.2.4 注册年份差异拟合曲线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在中国同一年款车，不同年份上牌价格是有差异的,差异对最终价格的权重也是有一定的影响,图像如下: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90315" cy="27616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当前系统最终拟合为一次曲线.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3.2.5 公里数拟合曲线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非营运车公里数在没有超过一定值时，对最终价格的影响权重其实很小,图像如下: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</w:pPr>
      <w:r>
        <w:drawing>
          <wp:inline distT="0" distB="0" distL="114300" distR="114300">
            <wp:extent cx="3942715" cy="277114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当前系统还是以一次曲线作为拟合曲线.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3.2.6 十类价格差异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因目前抓取的数据只有车商零售价，没有其他价格的数据,无法进行数据分析.目前只是通过人工设定的价格比率进行四则运算。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3.2.7 最终预测价格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低配车全国均价+指导价差拟合+省份差异拟合+注册年份差异拟合+公里数拟合+十类价格人工比率 = 最终十类价格</w:t>
      </w:r>
    </w:p>
    <w:p/>
    <w:p>
      <w:pPr>
        <w:pStyle w:val="2"/>
        <w:numPr>
          <w:ilvl w:val="0"/>
          <w:numId w:val="2"/>
        </w:numPr>
        <w:ind w:left="0" w:firstLine="0"/>
      </w:pPr>
      <w:r>
        <w:t>4</w:t>
      </w:r>
      <w:r>
        <w:t>.关键算法介绍</w:t>
      </w:r>
    </w:p>
    <w:p>
      <w:pPr>
        <w:pStyle w:val="5"/>
        <w:numPr>
          <w:ilvl w:val="1"/>
          <w:numId w:val="2"/>
        </w:numPr>
        <w:ind w:left="0" w:firstLine="0"/>
      </w:pPr>
      <w:r>
        <w:t>4</w:t>
      </w:r>
      <w:r>
        <w:t>.1</w:t>
      </w:r>
      <w:r>
        <w:t xml:space="preserve"> word2vec</w:t>
      </w:r>
      <w:r>
        <w:t>介绍</w:t>
      </w:r>
    </w:p>
    <w:p>
      <w:pPr>
        <w:keepNext w:val="0"/>
        <w:keepLines w:val="0"/>
        <w:widowControl/>
        <w:suppressLineNumbers w:val="0"/>
        <w:ind w:firstLine="520" w:firstLineChars="0"/>
        <w:jc w:val="left"/>
        <w:rPr>
          <w:rFonts w:hint="eastAsia"/>
          <w:lang w:eastAsia="zh-CN"/>
        </w:rPr>
      </w:pPr>
      <w:r>
        <w:t>请参见网址:</w:t>
      </w:r>
      <w:r>
        <w:rPr>
          <w:rFonts w:hint="eastAsia"/>
          <w:lang w:eastAsia="zh-CN"/>
        </w:rPr>
        <w:t>https://www.jianshu.com/p/471d9bfbd72f</w:t>
      </w:r>
    </w:p>
    <w:p>
      <w:pPr>
        <w:ind w:firstLine="520" w:firstLineChars="0"/>
      </w:pPr>
    </w:p>
    <w:p>
      <w:pPr>
        <w:pStyle w:val="5"/>
        <w:numPr>
          <w:ilvl w:val="1"/>
          <w:numId w:val="2"/>
        </w:numPr>
        <w:ind w:left="0" w:firstLine="0"/>
      </w:pPr>
      <w:r>
        <w:t>4</w:t>
      </w:r>
      <w:r>
        <w:t>.</w:t>
      </w:r>
      <w:r>
        <w:t>2</w:t>
      </w:r>
      <w:r>
        <w:t>深度神经循环网络lstm介绍</w:t>
      </w:r>
    </w:p>
    <w:p>
      <w:pPr>
        <w:ind w:firstLine="520" w:firstLineChars="0"/>
      </w:pPr>
      <w:r>
        <w:t>请参见网址:</w:t>
      </w:r>
      <w:r>
        <w:rPr>
          <w:rFonts w:hint="eastAsia"/>
        </w:rPr>
        <w:t>https://blog.csdn.net/yoyofu007/article/details/80361422</w:t>
      </w:r>
    </w:p>
    <w:p>
      <w:pPr>
        <w:pStyle w:val="4"/>
        <w:spacing w:before="0" w:after="140" w:line="288" w:lineRule="auto"/>
      </w:pPr>
      <w:r>
        <w:tab/>
      </w:r>
    </w:p>
    <w:p>
      <w:pPr>
        <w:pStyle w:val="5"/>
      </w:pPr>
      <w:r>
        <w:t>4</w:t>
      </w:r>
      <w:r>
        <w:t>.</w:t>
      </w:r>
      <w:r>
        <w:t>3</w:t>
      </w:r>
      <w:r>
        <w:t xml:space="preserve"> xgboost算法介绍</w:t>
      </w:r>
    </w:p>
    <w:p>
      <w:pPr>
        <w:ind w:firstLine="520" w:firstLineChars="0"/>
        <w:rPr>
          <w:rFonts w:hint="eastAsia"/>
        </w:rPr>
      </w:pPr>
      <w:r>
        <w:t>请参见网址:</w:t>
      </w:r>
      <w:r>
        <w:rPr>
          <w:rFonts w:hint="eastAsia"/>
        </w:rPr>
        <w:t>http://blog.itpub.net/31542119/viewspace-2199549/</w:t>
      </w:r>
    </w:p>
    <w:p>
      <w:pPr>
        <w:ind w:firstLine="520" w:firstLineChars="0"/>
        <w:rPr>
          <w:rFonts w:hint="eastAsia"/>
        </w:rPr>
      </w:pPr>
    </w:p>
    <w:p>
      <w:pPr>
        <w:ind w:firstLine="520" w:firstLine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5</w:t>
      </w:r>
      <w:r>
        <w:rPr>
          <w:rFonts w:hint="default"/>
        </w:rPr>
        <w:t>.技术选型</w:t>
      </w:r>
    </w:p>
    <w:p>
      <w:pPr>
        <w:ind w:firstLine="520" w:firstLineChars="0"/>
        <w:rPr>
          <w:rFonts w:hint="default"/>
        </w:rPr>
      </w:pPr>
      <w:r>
        <w:rPr>
          <w:rFonts w:hint="default"/>
        </w:rPr>
        <w:t>语言:python3    使用原因:简练,易于阅读安装扩展,交互性,多范式,多平台,多框架支持</w:t>
      </w:r>
    </w:p>
    <w:p>
      <w:pPr>
        <w:ind w:firstLine="520" w:firstLineChars="0"/>
        <w:rPr>
          <w:rFonts w:hint="default"/>
        </w:rPr>
      </w:pPr>
      <w:r>
        <w:rPr>
          <w:rFonts w:hint="default"/>
        </w:rPr>
        <w:t>框架:tensorflow   使用原因:</w:t>
      </w:r>
      <w:r>
        <w:rPr>
          <w:rFonts w:hint="default"/>
          <w:lang w:val="en-US" w:eastAsia="zh-CN"/>
        </w:rPr>
        <w:t>TensorFlow是由Google公司开发的用于实现机器学习的一种架构</w:t>
      </w:r>
      <w:r>
        <w:rPr>
          <w:rFonts w:hint="default"/>
          <w:lang w:eastAsia="zh-CN"/>
        </w:rPr>
        <w:t>,是大公司背景,文档完善,使用人多.介绍文档:https://blog.csdn.net/qq_34580082/article/details/79633535</w:t>
      </w:r>
    </w:p>
    <w:p>
      <w:pPr>
        <w:ind w:firstLine="520" w:firstLineChars="0"/>
        <w:rPr>
          <w:rFonts w:hint="eastAsia"/>
        </w:rPr>
      </w:pPr>
      <w:r>
        <w:rPr>
          <w:rFonts w:hint="default"/>
        </w:rPr>
        <w:t>部署:微服务+ubuntu+docker  使用原因:服务简单,只关注一个业务功能,每个微服务可由不同团队开发,微服务是松散耦合的,可用不同的变成语言与工具开发.介绍文档:https://blog.csdn.net/wuxiaobingandbob/article/details/78642020?locationNum=1&amp;fps=1</w:t>
      </w:r>
    </w:p>
    <w:p>
      <w:pPr>
        <w:pStyle w:val="2"/>
        <w:rPr>
          <w:rFonts w:hint="eastAsia"/>
        </w:rPr>
      </w:pPr>
      <w:r>
        <w:rPr>
          <w:rFonts w:hint="default"/>
        </w:rPr>
        <w:t>6</w:t>
      </w:r>
      <w:r>
        <w:rPr>
          <w:rFonts w:hint="default"/>
        </w:rPr>
        <w:t>.应用安装和验收</w:t>
      </w:r>
    </w:p>
    <w:p>
      <w:pPr>
        <w:pStyle w:val="5"/>
        <w:rPr>
          <w:rFonts w:hint="default"/>
        </w:rPr>
      </w:pPr>
      <w:r>
        <w:rPr>
          <w:rFonts w:hint="default"/>
        </w:rPr>
        <w:t>6</w:t>
      </w:r>
      <w:r>
        <w:rPr>
          <w:rFonts w:hint="default"/>
        </w:rPr>
        <w:t>.1 安装</w:t>
      </w:r>
    </w:p>
    <w:p>
      <w:pPr>
        <w:ind w:firstLine="520" w:firstLineChars="0"/>
        <w:rPr>
          <w:rFonts w:hint="default"/>
        </w:rPr>
      </w:pPr>
      <w:r>
        <w:rPr>
          <w:rFonts w:hint="default"/>
        </w:rPr>
        <w:t>请参见《估值模块使用说明》</w:t>
      </w:r>
    </w:p>
    <w:p>
      <w:pPr>
        <w:rPr>
          <w:rFonts w:hint="eastAsia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6</w:t>
      </w:r>
      <w:bookmarkStart w:id="0" w:name="_GoBack"/>
      <w:bookmarkEnd w:id="0"/>
      <w:r>
        <w:rPr>
          <w:rFonts w:hint="default"/>
        </w:rPr>
        <w:t>.2 验收</w:t>
      </w:r>
    </w:p>
    <w:p>
      <w:pPr>
        <w:ind w:firstLine="520" w:firstLineChars="0"/>
        <w:rPr>
          <w:rFonts w:hint="eastAsia"/>
        </w:rPr>
      </w:pPr>
      <w:r>
        <w:rPr>
          <w:rFonts w:hint="default"/>
        </w:rPr>
        <w:t>交付python估值调用包</w:t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TC">
    <w:panose1 w:val="020B0600000000000000"/>
    <w:charset w:val="88"/>
    <w:family w:val="roman"/>
    <w:pitch w:val="default"/>
    <w:sig w:usb0="30000003" w:usb1="2BDF3C10" w:usb2="00000016" w:usb3="00000000" w:csb0="603A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6659C"/>
    <w:multiLevelType w:val="singleLevel"/>
    <w:tmpl w:val="AFF665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2D9D12"/>
    <w:multiLevelType w:val="multilevel"/>
    <w:tmpl w:val="FB2D9D12"/>
    <w:lvl w:ilvl="0" w:tentative="0">
      <w:start w:val="1"/>
      <w:numFmt w:val="none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FEB5D59"/>
    <w:multiLevelType w:val="multilevel"/>
    <w:tmpl w:val="7FEB5D59"/>
    <w:lvl w:ilvl="0" w:tentative="0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31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2EF0DDC4"/>
    <w:rsid w:val="3D47DA77"/>
    <w:rsid w:val="4F6DEEDB"/>
    <w:rsid w:val="4FEFC51A"/>
    <w:rsid w:val="4FF7003D"/>
    <w:rsid w:val="576FE9D3"/>
    <w:rsid w:val="7EF761FF"/>
    <w:rsid w:val="7EFFB390"/>
    <w:rsid w:val="7F9F7C1A"/>
    <w:rsid w:val="7FFFD340"/>
    <w:rsid w:val="8CFFBDAB"/>
    <w:rsid w:val="BBAFC2C8"/>
    <w:rsid w:val="BF3FDF4C"/>
    <w:rsid w:val="BFF3F694"/>
    <w:rsid w:val="CED89788"/>
    <w:rsid w:val="D7F77740"/>
    <w:rsid w:val="D7FC1C05"/>
    <w:rsid w:val="DCEDE7FC"/>
    <w:rsid w:val="EF7FB571"/>
    <w:rsid w:val="EF9E0BF0"/>
    <w:rsid w:val="F7DD82FB"/>
    <w:rsid w:val="FBF714DA"/>
    <w:rsid w:val="FC7F5928"/>
    <w:rsid w:val="FF34A523"/>
    <w:rsid w:val="FF59A5B4"/>
    <w:rsid w:val="FF7DBA31"/>
    <w:rsid w:val="FFDF6E2C"/>
    <w:rsid w:val="FFFFD9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FreeSans"/>
      <w:color w:val="00000A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240" w:after="120"/>
      <w:ind w:left="0" w:firstLine="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4"/>
    <w:uiPriority w:val="0"/>
    <w:rPr>
      <w:rFonts w:cs="FreeSans"/>
    </w:rPr>
  </w:style>
  <w:style w:type="paragraph" w:customStyle="1" w:styleId="14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5">
    <w:name w:val="表格内容"/>
    <w:basedOn w:val="1"/>
    <w:qFormat/>
    <w:uiPriority w:val="0"/>
    <w:pPr>
      <w:suppressLineNumbers/>
    </w:pPr>
  </w:style>
  <w:style w:type="paragraph" w:customStyle="1" w:styleId="16">
    <w:name w:val="表格标题"/>
    <w:basedOn w:val="1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963</Words>
  <Characters>1035</Characters>
  <Paragraphs>99</Paragraphs>
  <TotalTime>83</TotalTime>
  <ScaleCrop>false</ScaleCrop>
  <LinksUpToDate>false</LinksUpToDate>
  <CharactersWithSpaces>1193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2018-07-08T23:21:00Z</dcterms:created>
  <dc:creator>ml</dc:creator>
  <cp:lastModifiedBy>ml</cp:lastModifiedBy>
  <dcterms:modified xsi:type="dcterms:W3CDTF">2019-01-08T14:15:20Z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