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ascii="Noto Sans CJK TC" w:hAnsi="Noto Sans CJK TC"/>
          <w:b/>
          <w:bCs/>
          <w:sz w:val="64"/>
          <w:szCs w:val="64"/>
        </w:rPr>
        <w:t>总体需求</w:t>
      </w:r>
    </w:p>
    <w:p>
      <w:pPr>
        <w:jc w:val="center"/>
        <w:rPr>
          <w:rFonts w:ascii="Noto Sans CJK TC" w:hAnsi="Noto Sans CJK TC"/>
          <w:b/>
          <w:bCs/>
          <w:sz w:val="64"/>
          <w:szCs w:val="64"/>
        </w:rPr>
      </w:pPr>
    </w:p>
    <w:p>
      <w:pPr>
        <w:jc w:val="center"/>
        <w:rPr>
          <w:rFonts w:ascii="Noto Sans CJK TC" w:hAnsi="Noto Sans CJK TC"/>
          <w:b/>
          <w:bCs/>
          <w:sz w:val="64"/>
          <w:szCs w:val="64"/>
        </w:rPr>
      </w:pPr>
    </w:p>
    <w:p>
      <w:pPr>
        <w:jc w:val="center"/>
        <w:rPr>
          <w:rFonts w:ascii="Noto Sans CJK TC" w:hAnsi="Noto Sans CJK TC"/>
          <w:b/>
          <w:bCs/>
          <w:sz w:val="64"/>
          <w:szCs w:val="64"/>
        </w:rPr>
      </w:pPr>
    </w:p>
    <w:p>
      <w:pPr>
        <w:jc w:val="both"/>
        <w:rPr>
          <w:rFonts w:ascii="Noto Sans CJK TC" w:hAnsi="Noto Sans CJK TC"/>
          <w:b/>
          <w:bCs/>
          <w:sz w:val="32"/>
          <w:szCs w:val="32"/>
        </w:rPr>
      </w:pPr>
    </w:p>
    <w:p>
      <w:pPr>
        <w:jc w:val="center"/>
        <w:rPr>
          <w:rFonts w:ascii="Noto Sans CJK TC" w:hAnsi="Noto Sans CJK TC"/>
          <w:b/>
          <w:bCs/>
          <w:sz w:val="32"/>
          <w:szCs w:val="32"/>
        </w:rPr>
      </w:pPr>
    </w:p>
    <w:p>
      <w:pPr>
        <w:jc w:val="center"/>
        <w:rPr>
          <w:rFonts w:ascii="Noto Sans CJK TC" w:hAnsi="Noto Sans CJK TC"/>
          <w:b/>
          <w:bCs/>
          <w:sz w:val="32"/>
          <w:szCs w:val="32"/>
        </w:rPr>
      </w:pPr>
    </w:p>
    <w:p>
      <w:pPr>
        <w:jc w:val="center"/>
        <w:rPr>
          <w:rFonts w:ascii="Noto Sans CJK TC" w:hAnsi="Noto Sans CJK TC"/>
          <w:b/>
          <w:bCs/>
          <w:sz w:val="32"/>
          <w:szCs w:val="32"/>
        </w:rPr>
      </w:pPr>
    </w:p>
    <w:p>
      <w:pPr>
        <w:jc w:val="left"/>
        <w:rPr>
          <w:rFonts w:ascii="Noto Sans CJK TC" w:hAnsi="Noto Sans CJK TC" w:eastAsia="Noto Sans CJK TC"/>
          <w:b/>
          <w:bCs/>
          <w:sz w:val="32"/>
          <w:szCs w:val="32"/>
        </w:rPr>
      </w:pPr>
    </w:p>
    <w:p>
      <w:pPr>
        <w:jc w:val="left"/>
        <w:rPr>
          <w:rFonts w:ascii="Noto Sans CJK TC" w:hAnsi="Noto Sans CJK TC" w:eastAsia="Noto Sans CJK TC"/>
          <w:b/>
          <w:bCs/>
          <w:sz w:val="32"/>
          <w:szCs w:val="32"/>
        </w:rPr>
      </w:pPr>
      <w:r>
        <w:rPr>
          <w:rFonts w:ascii="Noto Sans CJK TC" w:hAnsi="Noto Sans CJK TC" w:eastAsia="Noto Sans CJK TC"/>
          <w:b/>
          <w:bCs/>
          <w:sz w:val="32"/>
          <w:szCs w:val="32"/>
        </w:rPr>
        <w:t xml:space="preserve">                                                      编制:雷邓君</w:t>
      </w:r>
    </w:p>
    <w:p>
      <w:pPr>
        <w:jc w:val="left"/>
      </w:pPr>
      <w:r>
        <w:rPr>
          <w:rFonts w:ascii="Noto Sans CJK TC" w:hAnsi="Noto Sans CJK TC" w:eastAsia="Noto Sans CJK TC"/>
          <w:b/>
          <w:bCs/>
          <w:sz w:val="32"/>
          <w:szCs w:val="32"/>
        </w:rPr>
        <w:t xml:space="preserve">                                             项目名称:公平价二手车估值系统升级</w:t>
      </w:r>
    </w:p>
    <w:p>
      <w:pPr>
        <w:jc w:val="center"/>
        <w:rPr>
          <w:rFonts w:ascii="Noto Sans CJK TC" w:hAnsi="Noto Sans CJK TC"/>
          <w:b/>
          <w:bCs/>
          <w:sz w:val="32"/>
          <w:szCs w:val="32"/>
        </w:rPr>
      </w:pPr>
    </w:p>
    <w:p>
      <w:pPr>
        <w:jc w:val="center"/>
        <w:rPr>
          <w:rFonts w:ascii="Noto Sans CJK TC" w:hAnsi="Noto Sans CJK TC"/>
          <w:b/>
          <w:bCs/>
          <w:sz w:val="32"/>
          <w:szCs w:val="32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  <w:r>
        <w:rPr>
          <w:rFonts w:ascii="Noto Sans CJK TC" w:hAnsi="Noto Sans CJK TC"/>
          <w:b/>
          <w:bCs/>
          <w:sz w:val="21"/>
          <w:szCs w:val="21"/>
        </w:rPr>
        <w:t>本文件修订历史信息:</w:t>
      </w:r>
    </w:p>
    <w:tbl>
      <w:tblPr>
        <w:tblStyle w:val="16"/>
        <w:tblW w:w="9637" w:type="dxa"/>
        <w:tblInd w:w="3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21" w:type="dxa"/>
          <w:bottom w:w="55" w:type="dxa"/>
          <w:right w:w="55" w:type="dxa"/>
        </w:tblCellMar>
      </w:tblPr>
      <w:tblGrid>
        <w:gridCol w:w="2409"/>
        <w:gridCol w:w="2410"/>
        <w:gridCol w:w="2419"/>
        <w:gridCol w:w="2399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1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1" w:type="dxa"/>
            </w:tcMar>
          </w:tcPr>
          <w:p>
            <w:pPr>
              <w:pStyle w:val="18"/>
              <w:jc w:val="left"/>
              <w:rPr>
                <w:rFonts w:ascii="Noto Sans CJK TC" w:hAnsi="Noto Sans CJK TC"/>
                <w:b/>
                <w:bCs/>
                <w:sz w:val="21"/>
                <w:szCs w:val="21"/>
              </w:rPr>
            </w:pPr>
            <w:r>
              <w:rPr>
                <w:rFonts w:ascii="Noto Sans CJK TC" w:hAnsi="Noto Sans CJK TC"/>
                <w:b/>
                <w:bCs/>
                <w:sz w:val="18"/>
                <w:szCs w:val="21"/>
              </w:rPr>
              <w:t>更新日期</w:t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1" w:type="dxa"/>
            </w:tcMar>
          </w:tcPr>
          <w:p>
            <w:pPr>
              <w:pStyle w:val="18"/>
              <w:jc w:val="left"/>
              <w:rPr>
                <w:rFonts w:ascii="Noto Sans CJK TC" w:hAnsi="Noto Sans CJK TC"/>
                <w:b/>
                <w:bCs/>
                <w:sz w:val="21"/>
                <w:szCs w:val="21"/>
              </w:rPr>
            </w:pPr>
            <w:r>
              <w:rPr>
                <w:rFonts w:ascii="Noto Sans CJK TC" w:hAnsi="Noto Sans CJK TC"/>
                <w:b/>
                <w:bCs/>
                <w:sz w:val="18"/>
                <w:szCs w:val="21"/>
              </w:rPr>
              <w:t>修订者</w:t>
            </w:r>
          </w:p>
        </w:tc>
        <w:tc>
          <w:tcPr>
            <w:tcW w:w="24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1" w:type="dxa"/>
            </w:tcMar>
          </w:tcPr>
          <w:p>
            <w:pPr>
              <w:pStyle w:val="18"/>
              <w:jc w:val="left"/>
              <w:rPr>
                <w:rFonts w:ascii="Noto Sans CJK TC" w:hAnsi="Noto Sans CJK TC"/>
                <w:b/>
                <w:bCs/>
                <w:sz w:val="21"/>
                <w:szCs w:val="21"/>
              </w:rPr>
            </w:pPr>
            <w:r>
              <w:rPr>
                <w:rFonts w:ascii="Noto Sans CJK TC" w:hAnsi="Noto Sans CJK TC"/>
                <w:b/>
                <w:bCs/>
                <w:sz w:val="18"/>
                <w:szCs w:val="21"/>
              </w:rPr>
              <w:t>批准人</w:t>
            </w:r>
          </w:p>
        </w:tc>
        <w:tc>
          <w:tcPr>
            <w:tcW w:w="23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1" w:type="dxa"/>
            </w:tcMar>
          </w:tcPr>
          <w:p>
            <w:pPr>
              <w:pStyle w:val="18"/>
              <w:jc w:val="left"/>
              <w:rPr>
                <w:rFonts w:ascii="Noto Sans CJK TC" w:hAnsi="Noto Sans CJK TC"/>
                <w:b/>
                <w:bCs/>
                <w:sz w:val="21"/>
                <w:szCs w:val="21"/>
              </w:rPr>
            </w:pPr>
            <w:r>
              <w:rPr>
                <w:rFonts w:ascii="Noto Sans CJK TC" w:hAnsi="Noto Sans CJK TC"/>
                <w:b/>
                <w:bCs/>
                <w:sz w:val="18"/>
                <w:szCs w:val="21"/>
              </w:rPr>
              <w:t>主要修订摘要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1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1" w:type="dxa"/>
            </w:tcMar>
          </w:tcPr>
          <w:p>
            <w:pPr>
              <w:pStyle w:val="18"/>
              <w:jc w:val="left"/>
            </w:pPr>
            <w:r>
              <w:rPr>
                <w:rFonts w:ascii="Noto Sans CJK TC" w:hAnsi="Noto Sans CJK TC"/>
                <w:b w:val="0"/>
                <w:bCs w:val="0"/>
                <w:sz w:val="18"/>
                <w:szCs w:val="18"/>
              </w:rPr>
              <w:t>2018.10.31</w:t>
            </w: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1" w:type="dxa"/>
            </w:tcMar>
          </w:tcPr>
          <w:p>
            <w:pPr>
              <w:pStyle w:val="18"/>
              <w:jc w:val="left"/>
              <w:rPr>
                <w:rFonts w:ascii="Noto Sans CJK TC" w:hAnsi="Noto Sans CJK TC"/>
                <w:sz w:val="21"/>
                <w:szCs w:val="21"/>
              </w:rPr>
            </w:pPr>
            <w:r>
              <w:rPr>
                <w:rFonts w:ascii="Noto Sans CJK TC" w:hAnsi="Noto Sans CJK TC"/>
                <w:sz w:val="18"/>
                <w:szCs w:val="21"/>
              </w:rPr>
              <w:t>雷邓君</w:t>
            </w:r>
          </w:p>
        </w:tc>
        <w:tc>
          <w:tcPr>
            <w:tcW w:w="24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1" w:type="dxa"/>
            </w:tcMar>
          </w:tcPr>
          <w:p>
            <w:pPr>
              <w:pStyle w:val="18"/>
              <w:jc w:val="left"/>
            </w:pPr>
            <w:r>
              <w:rPr>
                <w:rFonts w:ascii="Noto Sans CJK TC" w:hAnsi="Noto Sans CJK TC"/>
                <w:sz w:val="18"/>
                <w:szCs w:val="21"/>
              </w:rPr>
              <w:t>万可文</w:t>
            </w:r>
          </w:p>
        </w:tc>
        <w:tc>
          <w:tcPr>
            <w:tcW w:w="23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1" w:type="dxa"/>
            </w:tcMar>
          </w:tcPr>
          <w:p>
            <w:pPr>
              <w:pStyle w:val="18"/>
              <w:jc w:val="left"/>
              <w:rPr>
                <w:rFonts w:ascii="Noto Sans CJK TC" w:hAnsi="Noto Sans CJK TC"/>
                <w:sz w:val="21"/>
                <w:szCs w:val="21"/>
              </w:rPr>
            </w:pPr>
            <w:r>
              <w:rPr>
                <w:rFonts w:ascii="Noto Sans CJK TC" w:hAnsi="Noto Sans CJK TC"/>
                <w:sz w:val="18"/>
                <w:szCs w:val="21"/>
              </w:rPr>
              <w:t>新编写文件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1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1" w:type="dxa"/>
            </w:tcMar>
          </w:tcPr>
          <w:p>
            <w:pPr>
              <w:pStyle w:val="18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1" w:type="dxa"/>
            </w:tcMar>
          </w:tcPr>
          <w:p>
            <w:pPr>
              <w:pStyle w:val="18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1" w:type="dxa"/>
            </w:tcMar>
          </w:tcPr>
          <w:p>
            <w:pPr>
              <w:pStyle w:val="18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3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1" w:type="dxa"/>
            </w:tcMar>
          </w:tcPr>
          <w:p>
            <w:pPr>
              <w:pStyle w:val="18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1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1" w:type="dxa"/>
            </w:tcMar>
          </w:tcPr>
          <w:p>
            <w:pPr>
              <w:pStyle w:val="18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1" w:type="dxa"/>
            </w:tcMar>
          </w:tcPr>
          <w:p>
            <w:pPr>
              <w:pStyle w:val="18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1" w:type="dxa"/>
            </w:tcMar>
          </w:tcPr>
          <w:p>
            <w:pPr>
              <w:pStyle w:val="18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3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1" w:type="dxa"/>
            </w:tcMar>
          </w:tcPr>
          <w:p>
            <w:pPr>
              <w:pStyle w:val="18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1" w:type="dxa"/>
            <w:bottom w:w="55" w:type="dxa"/>
            <w:right w:w="55" w:type="dxa"/>
          </w:tblCellMar>
        </w:tblPrEx>
        <w:tc>
          <w:tcPr>
            <w:tcW w:w="24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1" w:type="dxa"/>
            </w:tcMar>
          </w:tcPr>
          <w:p>
            <w:pPr>
              <w:pStyle w:val="18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1" w:type="dxa"/>
            </w:tcMar>
          </w:tcPr>
          <w:p>
            <w:pPr>
              <w:pStyle w:val="18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4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1" w:type="dxa"/>
            </w:tcMar>
          </w:tcPr>
          <w:p>
            <w:pPr>
              <w:pStyle w:val="18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  <w:tc>
          <w:tcPr>
            <w:tcW w:w="239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1" w:type="dxa"/>
            </w:tcMar>
          </w:tcPr>
          <w:p>
            <w:pPr>
              <w:pStyle w:val="18"/>
              <w:jc w:val="left"/>
              <w:rPr>
                <w:rFonts w:ascii="Noto Sans CJK TC" w:hAnsi="Noto Sans CJK TC"/>
                <w:sz w:val="21"/>
                <w:szCs w:val="21"/>
              </w:rPr>
            </w:pPr>
          </w:p>
        </w:tc>
      </w:tr>
    </w:tbl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</w:p>
    <w:p>
      <w:pPr>
        <w:jc w:val="left"/>
        <w:rPr>
          <w:rFonts w:ascii="Noto Sans CJK TC" w:hAnsi="Noto Sans CJK TC"/>
          <w:b/>
          <w:bCs/>
          <w:sz w:val="21"/>
          <w:szCs w:val="21"/>
        </w:rPr>
      </w:pPr>
      <w:bookmarkStart w:id="2" w:name="_GoBack"/>
      <w:bookmarkEnd w:id="2"/>
    </w:p>
    <w:p>
      <w:pPr>
        <w:pStyle w:val="2"/>
        <w:numPr>
          <w:numId w:val="0"/>
        </w:numPr>
        <w:ind w:leftChars="0"/>
      </w:pPr>
      <w:r>
        <w:t>1.项目概况</w:t>
      </w:r>
    </w:p>
    <w:p>
      <w:pPr>
        <w:pStyle w:val="5"/>
        <w:numPr>
          <w:ilvl w:val="1"/>
          <w:numId w:val="2"/>
        </w:numPr>
        <w:ind w:left="0" w:firstLine="0"/>
      </w:pPr>
      <w:r>
        <w:t>1.1项目目标</w:t>
      </w:r>
    </w:p>
    <w:p>
      <w:pPr>
        <w:pStyle w:val="4"/>
      </w:pPr>
      <w:r>
        <w:tab/>
      </w:r>
      <w:r>
        <w:t>本项目是本公司的核心产品,分两大板块:</w:t>
      </w:r>
    </w:p>
    <w:p>
      <w:pPr>
        <w:pStyle w:val="4"/>
      </w:pPr>
      <w:r>
        <w:t xml:space="preserve">         估值系统:能通过品牌,车系,款型,公里数,城市,上牌时间特征预测该车当前的车商收购价,车商真实售价,车商建议标价,个人交易价,最低成交价,认证二手车价,4S店置换价,车商批发价,平均买车价,平均卖车价十类价格.每种价格分四类车况,[优秀,良好,一般,较差].</w:t>
      </w:r>
    </w:p>
    <w:p>
      <w:pPr>
        <w:pStyle w:val="4"/>
      </w:pPr>
      <w:r>
        <w:t xml:space="preserve">         残值系统:能通过品牌,车系,款型,公里数,城市,上牌时间特征预测该车当前的车商收购价,车商真实售价,个人交易价未来12个月每个月的残值和未来三年每年的残值,以及过去6个月这三类价格的历史走势.</w:t>
      </w:r>
    </w:p>
    <w:p>
      <w:pPr>
        <w:pStyle w:val="4"/>
      </w:pPr>
    </w:p>
    <w:p>
      <w:pPr>
        <w:pStyle w:val="5"/>
        <w:numPr>
          <w:ilvl w:val="1"/>
          <w:numId w:val="2"/>
        </w:numPr>
        <w:ind w:left="0" w:firstLine="0"/>
      </w:pPr>
      <w:r>
        <w:t>1.2项目用户角色描述</w:t>
      </w:r>
    </w:p>
    <w:tbl>
      <w:tblPr>
        <w:tblStyle w:val="16"/>
        <w:tblW w:w="9719" w:type="dxa"/>
        <w:tblInd w:w="3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none" w:color="auto" w:sz="0" w:space="0"/>
          <w:insideH w:val="single" w:color="000001" w:sz="2" w:space="0"/>
          <w:insideV w:val="none" w:color="auto" w:sz="0" w:space="0"/>
        </w:tblBorders>
        <w:tblLayout w:type="fixed"/>
        <w:tblCellMar>
          <w:top w:w="55" w:type="dxa"/>
          <w:left w:w="21" w:type="dxa"/>
          <w:bottom w:w="55" w:type="dxa"/>
          <w:right w:w="55" w:type="dxa"/>
        </w:tblCellMar>
      </w:tblPr>
      <w:tblGrid>
        <w:gridCol w:w="1935"/>
        <w:gridCol w:w="7784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1" w:type="dxa"/>
            <w:bottom w:w="55" w:type="dxa"/>
            <w:right w:w="55" w:type="dxa"/>
          </w:tblCellMar>
        </w:tblPrEx>
        <w:tc>
          <w:tcPr>
            <w:tcW w:w="19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1" w:type="dxa"/>
            </w:tcMar>
          </w:tcPr>
          <w:p>
            <w:pPr>
              <w:pStyle w:val="18"/>
              <w:rPr>
                <w:b/>
                <w:bCs/>
              </w:rPr>
            </w:pPr>
            <w:r>
              <w:rPr>
                <w:b/>
                <w:bCs/>
              </w:rPr>
              <w:t>角色</w:t>
            </w:r>
          </w:p>
        </w:tc>
        <w:tc>
          <w:tcPr>
            <w:tcW w:w="778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1" w:type="dxa"/>
            </w:tcMar>
          </w:tcPr>
          <w:p>
            <w:pPr>
              <w:pStyle w:val="18"/>
              <w:rPr>
                <w:b/>
                <w:bCs/>
              </w:rPr>
            </w:pPr>
            <w:r>
              <w:rPr>
                <w:b/>
                <w:bCs/>
              </w:rPr>
              <w:t>职责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2" w:space="0"/>
            <w:right w:val="none" w:color="auto" w:sz="0" w:space="0"/>
            <w:insideH w:val="single" w:color="000001" w:sz="2" w:space="0"/>
            <w:insideV w:val="none" w:color="auto" w:sz="0" w:space="0"/>
          </w:tblBorders>
          <w:tblLayout w:type="fixed"/>
          <w:tblCellMar>
            <w:top w:w="55" w:type="dxa"/>
            <w:left w:w="21" w:type="dxa"/>
            <w:bottom w:w="55" w:type="dxa"/>
            <w:right w:w="55" w:type="dxa"/>
          </w:tblCellMar>
        </w:tblPrEx>
        <w:tc>
          <w:tcPr>
            <w:tcW w:w="1935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sz="2" w:space="0"/>
            </w:tcBorders>
            <w:shd w:val="clear" w:color="auto" w:fill="auto"/>
            <w:tcMar>
              <w:left w:w="21" w:type="dxa"/>
            </w:tcMar>
          </w:tcPr>
          <w:p>
            <w:pPr>
              <w:pStyle w:val="18"/>
            </w:pPr>
            <w:r>
              <w:t>调用估值/残值业务人员</w:t>
            </w:r>
          </w:p>
        </w:tc>
        <w:tc>
          <w:tcPr>
            <w:tcW w:w="778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21" w:type="dxa"/>
            </w:tcMar>
          </w:tcPr>
          <w:p>
            <w:pPr>
              <w:pStyle w:val="18"/>
            </w:pPr>
            <w:r>
              <w:t>* 通过估值/残值使用说明,传递相关参数到对应函数进行预测调用</w:t>
            </w:r>
          </w:p>
          <w:p>
            <w:pPr>
              <w:pStyle w:val="18"/>
            </w:pPr>
            <w:r>
              <w:t>* 及时反馈估值接口调用问题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2"/>
        <w:numPr>
          <w:ilvl w:val="0"/>
          <w:numId w:val="2"/>
        </w:numPr>
        <w:ind w:left="0" w:firstLine="0"/>
      </w:pPr>
      <w:r>
        <w:t>2.项目功能性需求</w:t>
      </w:r>
    </w:p>
    <w:p>
      <w:pPr>
        <w:pStyle w:val="4"/>
      </w:pPr>
      <w:r>
        <w:tab/>
      </w:r>
      <w:r>
        <w:t>本系统功能分三个部分,基础数据，算法部分，验证报告部分.</w:t>
      </w:r>
    </w:p>
    <w:p>
      <w:pPr>
        <w:pStyle w:val="5"/>
        <w:numPr>
          <w:ilvl w:val="1"/>
          <w:numId w:val="2"/>
        </w:numPr>
        <w:ind w:left="0" w:firstLine="0"/>
      </w:pPr>
      <w:r>
        <w:t>2.1基础数据部分</w:t>
      </w:r>
    </w:p>
    <w:p>
      <w:pPr>
        <w:pStyle w:val="5"/>
        <w:numPr>
          <w:ilvl w:val="1"/>
          <w:numId w:val="1"/>
        </w:numPr>
        <w:ind w:left="0" w:firstLine="0"/>
      </w:pPr>
    </w:p>
    <w:p>
      <w:pPr>
        <w:pStyle w:val="4"/>
      </w:pPr>
      <w:r>
        <w:tab/>
      </w:r>
      <w:r>
        <w:t>基础数据部分，需要爬虫组抓取以下几部分信息。目的是为了掌握一辆车的整个生周期信息，以及影响价格的相关因素。有些信息并不直接影响二手车价格，但却可以为今后我方其他产品提供有力的数据支持。</w:t>
      </w:r>
    </w:p>
    <w:p>
      <w:pPr>
        <w:pStyle w:val="6"/>
      </w:pPr>
      <w:r>
        <w:t>2.1.1 国家政策</w:t>
      </w:r>
    </w:p>
    <w:p>
      <w:pPr>
        <w:pStyle w:val="4"/>
      </w:pPr>
      <w:r>
        <w:tab/>
      </w:r>
      <w:r>
        <w:t>定期搜集国家针对汽车调整政策，把控政策实施时间，分析相关政策对汽车新车价和二手车价格造成的影响。</w:t>
      </w:r>
    </w:p>
    <w:p>
      <w:pPr>
        <w:pStyle w:val="4"/>
      </w:pPr>
    </w:p>
    <w:p>
      <w:pPr>
        <w:pStyle w:val="6"/>
      </w:pPr>
      <w:r>
        <w:t>2.1.2 主机厂</w:t>
      </w:r>
    </w:p>
    <w:p>
      <w:pPr>
        <w:pStyle w:val="4"/>
      </w:pPr>
      <w:r>
        <w:tab/>
      </w:r>
      <w:r>
        <w:t>搜集主机厂的产地，以及旗下品牌，车型，车身类型，市场定位，针对用户群，生产成本，关税，运费等信息，并最终获得可靠的4S店成本价格合理范围。</w:t>
      </w:r>
    </w:p>
    <w:p>
      <w:pPr>
        <w:pStyle w:val="4"/>
      </w:pPr>
    </w:p>
    <w:p>
      <w:pPr>
        <w:pStyle w:val="6"/>
      </w:pPr>
      <w:r>
        <w:t>2.1.3 经销商/4S店</w:t>
      </w:r>
    </w:p>
    <w:p>
      <w:pPr>
        <w:pStyle w:val="4"/>
      </w:pPr>
      <w:r>
        <w:tab/>
      </w:r>
      <w:r>
        <w:t>搜集某款车在某城市的裸车价，购置税，车船税，商业险，交强险，上牌费用，各类优惠活动等信息，并最终获得新车个人购买实际花费合理范围。</w:t>
      </w:r>
    </w:p>
    <w:p>
      <w:pPr>
        <w:pStyle w:val="4"/>
      </w:pPr>
    </w:p>
    <w:p>
      <w:pPr>
        <w:pStyle w:val="6"/>
      </w:pPr>
      <w:r>
        <w:t>2.1.4 二手车平台</w:t>
      </w:r>
    </w:p>
    <w:p>
      <w:pPr>
        <w:pStyle w:val="4"/>
      </w:pPr>
      <w:r>
        <w:tab/>
      </w:r>
      <w:r>
        <w:t>搜集二手车平台车源数据，包括车龄，标价，行情价，优惠活动，手续费等信息，并最终获得二手车个人购买实际花费合理范围。</w:t>
      </w:r>
    </w:p>
    <w:p>
      <w:pPr>
        <w:pStyle w:val="4"/>
      </w:pPr>
    </w:p>
    <w:p>
      <w:pPr>
        <w:pStyle w:val="6"/>
      </w:pPr>
      <w:r>
        <w:t>2.1.5 其他相关基础数据</w:t>
      </w:r>
    </w:p>
    <w:p>
      <w:pPr>
        <w:pStyle w:val="4"/>
      </w:pPr>
      <w:r>
        <w:tab/>
      </w:r>
      <w:r>
        <w:t>以力洋车型库作为我方标准车型库，并采集汽车之家的车型库作为我方参考车型库。</w:t>
      </w:r>
    </w:p>
    <w:p>
      <w:pPr>
        <w:pStyle w:val="4"/>
      </w:pPr>
    </w:p>
    <w:p>
      <w:pPr>
        <w:pStyle w:val="5"/>
        <w:numPr>
          <w:ilvl w:val="1"/>
          <w:numId w:val="1"/>
        </w:numPr>
        <w:ind w:left="0" w:firstLine="0"/>
      </w:pPr>
      <w:r>
        <w:t>2.2 算法部分</w:t>
      </w:r>
    </w:p>
    <w:p>
      <w:pPr>
        <w:pStyle w:val="6"/>
      </w:pPr>
      <w:r>
        <w:t>2.2.1 款型匹配</w:t>
      </w:r>
    </w:p>
    <w:p>
      <w:pPr>
        <w:pStyle w:val="4"/>
      </w:pPr>
      <w:r>
        <w:tab/>
      </w:r>
      <w:r>
        <w:t>根据力洋和汽车之家的车型库作为原始车型库，匹配各平台车源数据，并生成标准车源表</w:t>
      </w:r>
    </w:p>
    <w:p>
      <w:pPr>
        <w:pStyle w:val="6"/>
      </w:pPr>
      <w:r>
        <w:t>2.2.2 估值算法</w:t>
      </w:r>
    </w:p>
    <w:p>
      <w:pPr>
        <w:pStyle w:val="4"/>
      </w:pPr>
      <w:r>
        <w:tab/>
      </w:r>
      <w:r>
        <w:t>根据以下特征预测二手车各类价格。</w:t>
      </w:r>
    </w:p>
    <w:p>
      <w:pPr>
        <w:pStyle w:val="4"/>
      </w:pPr>
      <w:r>
        <w:t xml:space="preserve">         * 款型:要能预测我方标准车型库所有车型。</w:t>
      </w:r>
    </w:p>
    <w:p>
      <w:pPr>
        <w:pStyle w:val="4"/>
      </w:pPr>
      <w:r>
        <w:t xml:space="preserve">         * 城市:要能预测全国所有城市,对未知城市返回异常信息.</w:t>
      </w:r>
    </w:p>
    <w:p>
      <w:pPr>
        <w:pStyle w:val="4"/>
      </w:pPr>
      <w:r>
        <w:tab/>
      </w:r>
      <w:r>
        <w:t>* 车龄:预测车龄在20年以内,并且至少使用一个月,超过范围返回异常信息</w:t>
      </w:r>
    </w:p>
    <w:p>
      <w:pPr>
        <w:pStyle w:val="4"/>
      </w:pPr>
      <w:r>
        <w:t xml:space="preserve">         * 公里数:原则上,同条件下价格随公里数上升而下降,以下为评估师提供公里数处理逻辑:</w:t>
      </w:r>
    </w:p>
    <w:p>
      <w:pPr>
        <w:pStyle w:val="4"/>
      </w:pPr>
      <w:r>
        <w:tab/>
      </w:r>
      <w:r>
        <w:tab/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1.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正常行驶的车辆以一年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2.5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万公里为正常基数，低于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2.5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万公里的价格的浮动在</w:t>
      </w:r>
    </w:p>
    <w:p>
      <w:pPr>
        <w:pStyle w:val="4"/>
      </w:pPr>
      <w:r>
        <w:rPr>
          <w:rFonts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 xml:space="preserve">                    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+3.5%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以内</w:t>
      </w:r>
    </w:p>
    <w:p>
      <w:pPr>
        <w:bidi w:val="0"/>
        <w:jc w:val="left"/>
        <w:rPr>
          <w:rFonts w:ascii="Liberation Serif" w:hAnsi="Liberation Serif" w:eastAsia="Noto Sans CJK SC" w:cs="FreeSans"/>
          <w:color w:val="00000A"/>
          <w:sz w:val="24"/>
          <w:szCs w:val="24"/>
          <w:lang w:val="en-US" w:eastAsia="zh-CN" w:bidi="hi-IN"/>
        </w:rPr>
      </w:pPr>
      <w:r>
        <w:rPr>
          <w:rFonts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 xml:space="preserve">                 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2.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大于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2.5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万公里的若每年的平均行驶里程大于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2.5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万公里小于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5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 xml:space="preserve">万公里价格浮动 </w:t>
      </w:r>
    </w:p>
    <w:p>
      <w:pPr>
        <w:bidi w:val="0"/>
        <w:jc w:val="left"/>
        <w:rPr>
          <w:rFonts w:ascii="Liberation Serif" w:hAnsi="Liberation Serif" w:eastAsia="Noto Sans CJK SC" w:cs="FreeSans"/>
          <w:color w:val="00000A"/>
          <w:sz w:val="24"/>
          <w:szCs w:val="24"/>
          <w:lang w:val="en-US" w:eastAsia="zh-CN" w:bidi="hi-IN"/>
        </w:rPr>
      </w:pPr>
      <w:r>
        <w:rPr>
          <w:rFonts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 xml:space="preserve">                    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在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-3.5-7.5%</w:t>
      </w:r>
    </w:p>
    <w:p>
      <w:pPr>
        <w:bidi w:val="0"/>
        <w:jc w:val="left"/>
        <w:rPr>
          <w:rFonts w:ascii="Liberation Serif" w:hAnsi="Liberation Serif" w:eastAsia="Noto Sans CJK SC" w:cs="FreeSans"/>
          <w:color w:val="00000A"/>
          <w:sz w:val="24"/>
          <w:szCs w:val="24"/>
          <w:lang w:val="en-US" w:eastAsia="zh-CN" w:bidi="hi-IN"/>
        </w:rPr>
      </w:pPr>
      <w:r>
        <w:rPr>
          <w:rFonts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 xml:space="preserve">                 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3.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若年平均形式里程大于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5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万公里及以上影响价格在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-7.5-12.5%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之间</w:t>
      </w:r>
    </w:p>
    <w:p>
      <w:pPr>
        <w:pStyle w:val="4"/>
      </w:pPr>
      <w:r>
        <w:tab/>
      </w:r>
      <w:r>
        <w:t>* 十类价格:包括车商收购价,车商真实售价,车商建议标价,个人交易价,最低成交价,认证二手车价,4S店置换价,车商批发价,平均买车价,平均卖车价.</w:t>
      </w:r>
    </w:p>
    <w:p>
      <w:pPr>
        <w:pStyle w:val="4"/>
      </w:pPr>
      <w:r>
        <w:tab/>
      </w:r>
      <w:r>
        <w:t>* 原则上车商收购价&lt;个人交易价&lt;车商真实售价,以下为评估师提供车商建议标价,车商真实售价,个人交易价,车商收车价之间约束的合理区间,假设标价为1万,10万,50万</w:t>
      </w:r>
    </w:p>
    <w:p>
      <w:pPr>
        <w:pStyle w:val="4"/>
      </w:pPr>
      <w:r>
        <w:tab/>
      </w:r>
      <w:r>
        <w:tab/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 xml:space="preserve">车商真实售价合理范围 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1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万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:7500-8500 10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万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:9.3-9.7 50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万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:47-48</w:t>
      </w:r>
    </w:p>
    <w:p>
      <w:pPr>
        <w:bidi w:val="0"/>
        <w:jc w:val="left"/>
        <w:rPr>
          <w:rFonts w:ascii="Liberation Serif" w:hAnsi="Liberation Serif" w:eastAsia="Noto Sans CJK SC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ab/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ab/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 xml:space="preserve">个人交易价合理范围  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1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万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:7000-8000  10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万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:9.2-9.6  50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万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:46-47</w:t>
      </w:r>
    </w:p>
    <w:p>
      <w:pPr>
        <w:bidi w:val="0"/>
        <w:jc w:val="left"/>
        <w:rPr>
          <w:rFonts w:ascii="Liberation Serif" w:hAnsi="Liberation Serif" w:eastAsia="Noto Sans CJK SC" w:cs="FreeSans"/>
          <w:color w:val="00000A"/>
          <w:sz w:val="24"/>
          <w:szCs w:val="24"/>
          <w:lang w:val="en-US" w:eastAsia="zh-CN" w:bidi="hi-IN"/>
        </w:rPr>
      </w:pP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ab/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ab/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 xml:space="preserve">车商收车价合理范围  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1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万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:4500-5500  10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万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:8.3-8.8  50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万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:43-44</w:t>
      </w:r>
    </w:p>
    <w:p>
      <w:r>
        <w:tab/>
      </w:r>
      <w:r>
        <w:t>* 四类车况:包括 [优秀,良好,一般,较差],原则上价格从高到低,以下为评估师提供四类车况约束的合理区间,假设标价为1万,10万,50万,默认车况良好</w:t>
      </w:r>
    </w:p>
    <w:p>
      <w:pPr>
        <w:pStyle w:val="4"/>
      </w:pPr>
      <w:r>
        <w:tab/>
      </w:r>
      <w:r>
        <w:tab/>
      </w:r>
      <w:r>
        <w:t>标价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1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万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 xml:space="preserve">: 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优秀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 xml:space="preserve">1.1-1.15 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良好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 xml:space="preserve">:0.95-1.05 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一般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 xml:space="preserve">:0.75-0.85 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较差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 xml:space="preserve">:0.3-0.5 </w:t>
      </w:r>
    </w:p>
    <w:p>
      <w:pPr>
        <w:pStyle w:val="4"/>
      </w:pP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ab/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ab/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标价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10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万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: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优秀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 xml:space="preserve">11-12  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良好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 xml:space="preserve">9.5-10.5 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一般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 xml:space="preserve">9-9.7  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较差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6-8</w:t>
      </w:r>
    </w:p>
    <w:p>
      <w:pPr>
        <w:bidi w:val="0"/>
        <w:jc w:val="left"/>
        <w:rPr>
          <w:rFonts w:ascii="Liberation Serif" w:hAnsi="Liberation Serif"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</w:pPr>
      <w:r>
        <w:rPr>
          <w:rFonts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ab/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ab/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标价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50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万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 xml:space="preserve">: 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优秀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52-53,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良好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 xml:space="preserve">49-52 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一般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 xml:space="preserve">45-49 </w:t>
      </w:r>
      <w:r>
        <w:rPr>
          <w:rFonts w:ascii="Liberation Serif" w:hAnsi="Liberation Serif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较差</w:t>
      </w:r>
      <w:r>
        <w:rPr>
          <w:rFonts w:eastAsia="Noto Sans CJK SC" w:cs="FreeSans"/>
          <w:b w:val="0"/>
          <w:i w:val="0"/>
          <w:strike w:val="0"/>
          <w:dstrike w:val="0"/>
          <w:outline w:val="0"/>
          <w:shadow w:val="0"/>
          <w:color w:val="00000A"/>
          <w:sz w:val="24"/>
          <w:szCs w:val="24"/>
          <w:u w:val="none"/>
          <w:lang w:val="en-US" w:eastAsia="zh-CN" w:bidi="hi-IN"/>
        </w:rPr>
        <w:t>35-40</w:t>
      </w:r>
    </w:p>
    <w:p/>
    <w:p>
      <w:pPr>
        <w:pStyle w:val="6"/>
        <w:numPr>
          <w:ilvl w:val="1"/>
          <w:numId w:val="3"/>
        </w:numPr>
      </w:pPr>
      <w:r>
        <w:t>2.2.3 残值算法</w:t>
      </w:r>
      <w:r>
        <w:tab/>
      </w:r>
    </w:p>
    <w:p>
      <w:pPr>
        <w:pStyle w:val="4"/>
      </w:pPr>
      <w:r>
        <w:t>2.2.3.1 未来12个月残值</w:t>
      </w:r>
    </w:p>
    <w:p>
      <w:pPr>
        <w:pStyle w:val="4"/>
      </w:pPr>
      <w:r>
        <w:tab/>
      </w:r>
      <w:r>
        <w:t>根据款型,城市,上牌时间,公里数特征预测某车当前的车商收购价,个人交易价,车商真实售价,以及未来12个月每个月的残值.每个价格同样包括四类车况.</w:t>
      </w:r>
    </w:p>
    <w:p>
      <w:pPr>
        <w:pStyle w:val="4"/>
      </w:pPr>
      <w:r>
        <w:t xml:space="preserve">         * 约束条件同估值接口.</w:t>
      </w:r>
    </w:p>
    <w:p>
      <w:pPr>
        <w:pStyle w:val="4"/>
      </w:pPr>
      <w:r>
        <w:tab/>
      </w:r>
      <w:r>
        <w:t>* 以下内容为评估师提供,标价为1万,10万,50万未来12个月残值的合理区间.</w:t>
      </w:r>
    </w:p>
    <w:p>
      <w:pPr>
        <w:pStyle w:val="4"/>
        <w:numPr>
          <w:ilvl w:val="3"/>
          <w:numId w:val="3"/>
        </w:numPr>
      </w:pPr>
      <w:r>
        <w:t xml:space="preserve">                  标价</w:t>
      </w:r>
      <w:r>
        <w:rPr>
          <w:rFonts w:ascii="Noto Sans CJK SC" w:hAnsi="Noto Sans CJK SC"/>
          <w:b w:val="0"/>
          <w:i w:val="0"/>
          <w:strike w:val="0"/>
          <w:dstrike w:val="0"/>
          <w:outline w:val="0"/>
          <w:shadow w:val="0"/>
          <w:color w:val="000000"/>
          <w:sz w:val="26"/>
          <w:u w:val="none"/>
        </w:rPr>
        <w:t>50万:5-12%  标价10万:4-10%  标价1万:7000</w:t>
      </w:r>
    </w:p>
    <w:p>
      <w:pPr>
        <w:pStyle w:val="4"/>
        <w:numPr>
          <w:ilvl w:val="3"/>
          <w:numId w:val="3"/>
        </w:numPr>
        <w:rPr>
          <w:rFonts w:ascii="Noto Sans CJK SC" w:hAnsi="Noto Sans CJK SC"/>
          <w:b w:val="0"/>
          <w:i w:val="0"/>
          <w:strike w:val="0"/>
          <w:dstrike w:val="0"/>
          <w:outline w:val="0"/>
          <w:shadow w:val="0"/>
          <w:color w:val="000000"/>
          <w:sz w:val="26"/>
          <w:u w:val="none"/>
        </w:rPr>
      </w:pPr>
    </w:p>
    <w:p>
      <w:pPr>
        <w:pStyle w:val="4"/>
        <w:numPr>
          <w:ilvl w:val="0"/>
          <w:numId w:val="3"/>
        </w:numPr>
      </w:pPr>
      <w:r>
        <w:t>2.2.3.2 未来3年残值</w:t>
      </w:r>
    </w:p>
    <w:p>
      <w:pPr>
        <w:pStyle w:val="4"/>
        <w:numPr>
          <w:ilvl w:val="0"/>
          <w:numId w:val="3"/>
        </w:numPr>
      </w:pPr>
      <w:r>
        <w:tab/>
      </w:r>
      <w:r>
        <w:t>根据款型,城市,上牌时间,公里数特征预测某车当前的车商收购价,个人交易价,车商真实售价,以及未来12个月每个月的残值.每个价格同样包括四类车况.</w:t>
      </w:r>
    </w:p>
    <w:p>
      <w:pPr>
        <w:pStyle w:val="4"/>
        <w:numPr>
          <w:ilvl w:val="0"/>
          <w:numId w:val="3"/>
        </w:numPr>
      </w:pPr>
      <w:bookmarkStart w:id="0" w:name="__DdeLink__1066_1896659505"/>
      <w:r>
        <w:t xml:space="preserve">        </w:t>
      </w:r>
      <w:bookmarkEnd w:id="0"/>
      <w:r>
        <w:t>* 约束条件同估值接口.</w:t>
      </w:r>
    </w:p>
    <w:p>
      <w:pPr>
        <w:pStyle w:val="4"/>
        <w:numPr>
          <w:ilvl w:val="2"/>
          <w:numId w:val="3"/>
        </w:numPr>
      </w:pPr>
      <w:r>
        <w:t xml:space="preserve">        </w:t>
      </w:r>
      <w:bookmarkStart w:id="1" w:name="__DdeLink__2233_814463562"/>
      <w:r>
        <w:t>* 以下内容为评估师提供,标价为1万,10万,50万未来3年残值的合理区间.</w:t>
      </w:r>
    </w:p>
    <w:p>
      <w:pPr>
        <w:pStyle w:val="4"/>
        <w:numPr>
          <w:ilvl w:val="3"/>
          <w:numId w:val="3"/>
        </w:numPr>
      </w:pPr>
      <w:r>
        <w:t xml:space="preserve">                  标价</w:t>
      </w:r>
      <w:r>
        <w:rPr>
          <w:rFonts w:ascii="Noto Sans CJK SC" w:hAnsi="Noto Sans CJK SC"/>
          <w:b w:val="0"/>
          <w:i w:val="0"/>
          <w:strike w:val="0"/>
          <w:dstrike w:val="0"/>
          <w:outline w:val="0"/>
          <w:shadow w:val="0"/>
          <w:color w:val="000000"/>
          <w:sz w:val="26"/>
          <w:u w:val="none"/>
        </w:rPr>
        <w:t>50万:5-12%  标价10万:4-10%  标价1万</w:t>
      </w:r>
      <w:bookmarkEnd w:id="1"/>
      <w:r>
        <w:rPr>
          <w:rFonts w:ascii="Noto Sans CJK SC" w:hAnsi="Noto Sans CJK SC"/>
          <w:b w:val="0"/>
          <w:i w:val="0"/>
          <w:strike w:val="0"/>
          <w:dstrike w:val="0"/>
          <w:outline w:val="0"/>
          <w:shadow w:val="0"/>
          <w:color w:val="000000"/>
          <w:sz w:val="26"/>
          <w:u w:val="none"/>
        </w:rPr>
        <w:t>:7000  5000 4000</w:t>
      </w:r>
    </w:p>
    <w:p>
      <w:pPr>
        <w:pStyle w:val="4"/>
      </w:pPr>
    </w:p>
    <w:p>
      <w:pPr>
        <w:pStyle w:val="5"/>
        <w:numPr>
          <w:ilvl w:val="1"/>
          <w:numId w:val="1"/>
        </w:numPr>
        <w:ind w:left="0" w:firstLine="0"/>
      </w:pPr>
      <w:r>
        <w:t>2.3 验证报告部分</w:t>
      </w:r>
    </w:p>
    <w:p>
      <w:pPr>
        <w:pStyle w:val="6"/>
      </w:pPr>
      <w:r>
        <w:t>2.3.1 数据验证报告</w:t>
      </w:r>
    </w:p>
    <w:p>
      <w:pPr>
        <w:pStyle w:val="4"/>
      </w:pPr>
      <w:r>
        <w:tab/>
      </w:r>
      <w:r>
        <w:t>每周反馈爬虫抓取各平台数据，以及相关基础数据表更新情况。</w:t>
      </w:r>
    </w:p>
    <w:p>
      <w:pPr>
        <w:pStyle w:val="4"/>
      </w:pPr>
    </w:p>
    <w:p>
      <w:pPr>
        <w:pStyle w:val="6"/>
      </w:pPr>
      <w:r>
        <w:t>2.3.2 竞品对比验证报告</w:t>
      </w:r>
    </w:p>
    <w:p>
      <w:pPr>
        <w:pStyle w:val="4"/>
        <w:spacing w:before="0" w:after="140"/>
      </w:pPr>
      <w:r>
        <w:tab/>
      </w:r>
      <w:r>
        <w:t>每周反馈各竞品估值对比情况。根据品牌，车型，价格段等特征进行划分分别对比。</w:t>
      </w:r>
    </w:p>
    <w:sectPr>
      <w:pgSz w:w="11906" w:h="16838"/>
      <w:pgMar w:top="1134" w:right="1134" w:bottom="1134" w:left="1134" w:header="0" w:footer="0" w:gutter="0"/>
      <w:pgNumType w:fmt="decimal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roman"/>
    <w:pitch w:val="default"/>
    <w:sig w:usb0="30000003" w:usb1="2BDF3C10" w:usb2="00000016" w:usb3="00000000" w:csb0="602E0107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TC">
    <w:panose1 w:val="020B0A00000000000000"/>
    <w:charset w:val="88"/>
    <w:family w:val="roman"/>
    <w:pitch w:val="default"/>
    <w:sig w:usb0="30000003" w:usb1="2BDF3C10" w:usb2="00000016" w:usb3="00000000" w:csb0="603A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7F0EA5"/>
    <w:multiLevelType w:val="multilevel"/>
    <w:tmpl w:val="8E7F0EA5"/>
    <w:lvl w:ilvl="0" w:tentative="0">
      <w:start w:val="1"/>
      <w:numFmt w:val="none"/>
      <w:suff w:val="nothing"/>
      <w:lvlText w:val=""/>
      <w:lvlJc w:val="left"/>
      <w:pPr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BB6A1A01"/>
    <w:multiLevelType w:val="multilevel"/>
    <w:tmpl w:val="BB6A1A01"/>
    <w:lvl w:ilvl="0" w:tentative="0">
      <w:start w:val="1"/>
      <w:numFmt w:val="none"/>
      <w:pStyle w:val="2"/>
      <w:suff w:val="nothing"/>
      <w:lvlText w:val=""/>
      <w:lvlJc w:val="left"/>
      <w:pPr>
        <w:ind w:left="432" w:hanging="432"/>
      </w:pPr>
    </w:lvl>
    <w:lvl w:ilvl="1" w:tentative="0">
      <w:start w:val="1"/>
      <w:numFmt w:val="none"/>
      <w:pStyle w:val="5"/>
      <w:suff w:val="nothing"/>
      <w:lvlText w:val=""/>
      <w:lvlJc w:val="left"/>
      <w:pPr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C6E4DF52"/>
    <w:multiLevelType w:val="multilevel"/>
    <w:tmpl w:val="C6E4DF52"/>
    <w:lvl w:ilvl="0" w:tentative="0">
      <w:start w:val="1"/>
      <w:numFmt w:val="none"/>
      <w:suff w:val="nothing"/>
      <w:lvlText w:val=""/>
      <w:lvlJc w:val="left"/>
      <w:pPr>
        <w:ind w:left="432" w:hanging="432"/>
      </w:pPr>
    </w:lvl>
    <w:lvl w:ilvl="1" w:tentative="0">
      <w:start w:val="1"/>
      <w:numFmt w:val="none"/>
      <w:suff w:val="nothing"/>
      <w:lvlText w:val=""/>
      <w:lvlJc w:val="left"/>
      <w:pPr>
        <w:ind w:left="576" w:hanging="576"/>
      </w:pPr>
    </w:lvl>
    <w:lvl w:ilvl="2" w:tentative="0">
      <w:start w:val="1"/>
      <w:numFmt w:val="none"/>
      <w:suff w:val="nothing"/>
      <w:lvlText w:val=""/>
      <w:lvlJc w:val="left"/>
      <w:pPr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531"/>
  <w:compat>
    <w:useFELayout/>
    <w:compatSetting w:name="compatibilityMode" w:uri="http://schemas.microsoft.com/office/word" w:val="12"/>
  </w:compat>
  <w:rsids>
    <w:rsidRoot w:val="00000000"/>
    <w:rsid w:val="DBFDAA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" w:cs="FreeSans"/>
      <w:color w:val="00000A"/>
      <w:sz w:val="24"/>
      <w:szCs w:val="24"/>
      <w:lang w:val="en-US" w:eastAsia="zh-CN" w:bidi="hi-IN"/>
    </w:rPr>
  </w:style>
  <w:style w:type="paragraph" w:styleId="2">
    <w:name w:val="heading 1"/>
    <w:basedOn w:val="3"/>
    <w:next w:val="1"/>
    <w:qFormat/>
    <w:uiPriority w:val="0"/>
    <w:pPr>
      <w:numPr>
        <w:ilvl w:val="0"/>
        <w:numId w:val="1"/>
      </w:numPr>
      <w:spacing w:before="240" w:after="120"/>
      <w:ind w:left="0" w:firstLine="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ind w:left="0" w:firstLine="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1"/>
    <w:qFormat/>
    <w:uiPriority w:val="0"/>
  </w:style>
  <w:style w:type="paragraph" w:styleId="7">
    <w:name w:val="heading 4"/>
    <w:basedOn w:val="3"/>
    <w:next w:val="1"/>
    <w:qFormat/>
    <w:uiPriority w:val="0"/>
  </w:style>
  <w:style w:type="paragraph" w:styleId="8">
    <w:name w:val="heading 5"/>
    <w:basedOn w:val="3"/>
    <w:next w:val="1"/>
    <w:qFormat/>
    <w:uiPriority w:val="0"/>
  </w:style>
  <w:style w:type="paragraph" w:styleId="9">
    <w:name w:val="heading 6"/>
    <w:basedOn w:val="3"/>
    <w:next w:val="1"/>
    <w:qFormat/>
    <w:uiPriority w:val="0"/>
  </w:style>
  <w:style w:type="paragraph" w:styleId="10">
    <w:name w:val="heading 7"/>
    <w:basedOn w:val="3"/>
    <w:next w:val="1"/>
    <w:qFormat/>
    <w:uiPriority w:val="0"/>
  </w:style>
  <w:style w:type="paragraph" w:styleId="11">
    <w:name w:val="heading 8"/>
    <w:basedOn w:val="3"/>
    <w:next w:val="1"/>
    <w:qFormat/>
    <w:uiPriority w:val="0"/>
  </w:style>
  <w:style w:type="paragraph" w:styleId="12">
    <w:name w:val="heading 9"/>
    <w:basedOn w:val="3"/>
    <w:next w:val="1"/>
    <w:qFormat/>
    <w:uiPriority w:val="0"/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1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4">
    <w:name w:val="List"/>
    <w:basedOn w:val="4"/>
    <w:uiPriority w:val="0"/>
    <w:rPr>
      <w:rFonts w:cs="FreeSans"/>
    </w:rPr>
  </w:style>
  <w:style w:type="paragraph" w:customStyle="1" w:styleId="17">
    <w:name w:val="索引"/>
    <w:basedOn w:val="1"/>
    <w:qFormat/>
    <w:uiPriority w:val="0"/>
    <w:pPr>
      <w:suppressLineNumbers/>
    </w:pPr>
    <w:rPr>
      <w:rFonts w:cs="FreeSans"/>
    </w:rPr>
  </w:style>
  <w:style w:type="paragraph" w:customStyle="1" w:styleId="18">
    <w:name w:val="表格内容"/>
    <w:basedOn w:val="1"/>
    <w:qFormat/>
    <w:uiPriority w:val="0"/>
    <w:pPr>
      <w:suppressLineNumbers/>
    </w:pPr>
  </w:style>
  <w:style w:type="paragraph" w:customStyle="1" w:styleId="19">
    <w:name w:val="表格标题"/>
    <w:basedOn w:val="18"/>
    <w:qFormat/>
    <w:uiPriority w:val="0"/>
    <w:pPr>
      <w:suppressLineNumbers/>
      <w:jc w:val="center"/>
    </w:pPr>
    <w:rPr>
      <w:b/>
      <w:bCs/>
    </w:rPr>
  </w:style>
  <w:style w:type="paragraph" w:customStyle="1" w:styleId="20">
    <w:name w:val="标题 10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1805</Words>
  <Characters>2117</Characters>
  <Paragraphs>76</Paragraphs>
  <TotalTime>549</TotalTime>
  <ScaleCrop>false</ScaleCrop>
  <LinksUpToDate>false</LinksUpToDate>
  <CharactersWithSpaces>2500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2018-07-07T23:21:00Z</dcterms:created>
  <dc:creator>ml</dc:creator>
  <cp:lastModifiedBy>ml</cp:lastModifiedBy>
  <dcterms:modified xsi:type="dcterms:W3CDTF">2018-12-31T15:19:13Z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