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027"/>
        <w:spacing w:before="220" w:line="208" w:lineRule="auto"/>
        <w:outlineLvl w:val="0"/>
        <w:rPr>
          <w:rFonts w:ascii="PingFang SC" w:hAnsi="PingFang SC" w:eastAsia="PingFang SC" w:cs="PingFang SC"/>
          <w:sz w:val="33"/>
          <w:szCs w:val="33"/>
        </w:rPr>
      </w:pPr>
      <w:r>
        <w:rPr>
          <w:rFonts w:ascii="PingFang SC" w:hAnsi="PingFang SC" w:eastAsia="PingFang SC" w:cs="PingFang SC"/>
          <w:sz w:val="33"/>
          <w:szCs w:val="33"/>
          <w:color w:val="1E40AF"/>
          <w:spacing w:val="-2"/>
        </w:rPr>
        <w:t>砬</w:t>
      </w:r>
      <w:r>
        <w:rPr>
          <w:rFonts w:ascii="PingFang SC" w:hAnsi="PingFang SC" w:eastAsia="PingFang SC" w:cs="PingFang SC"/>
          <w:sz w:val="33"/>
          <w:szCs w:val="33"/>
          <w:color w:val="1E40AF"/>
          <w:spacing w:val="42"/>
        </w:rPr>
        <w:t xml:space="preserve"> </w:t>
      </w:r>
      <w:r>
        <w:rPr>
          <w:rFonts w:ascii="PingFang SC" w:hAnsi="PingFang SC" w:eastAsia="PingFang SC" w:cs="PingFang SC"/>
          <w:sz w:val="33"/>
          <w:szCs w:val="33"/>
          <w:color w:val="1E40AF"/>
          <w:spacing w:val="-2"/>
        </w:rPr>
        <w:t>降本增效冰山模型</w:t>
      </w:r>
      <w:r>
        <w:rPr>
          <w:rFonts w:ascii="PingFang SC" w:hAnsi="PingFang SC" w:eastAsia="PingFang SC" w:cs="PingFang SC"/>
          <w:sz w:val="33"/>
          <w:szCs w:val="33"/>
          <w:color w:val="1E40AF"/>
          <w:spacing w:val="57"/>
        </w:rPr>
        <w:t xml:space="preserve"> </w:t>
      </w:r>
      <w:r>
        <w:rPr>
          <w:rFonts w:ascii="Arial" w:hAnsi="Arial" w:eastAsia="Arial" w:cs="Arial"/>
          <w:sz w:val="33"/>
          <w:szCs w:val="33"/>
          <w:color w:val="1E40AF"/>
          <w:spacing w:val="-2"/>
        </w:rPr>
        <w:t>· AI</w:t>
      </w:r>
      <w:r>
        <w:rPr>
          <w:rFonts w:ascii="Arial" w:hAnsi="Arial" w:eastAsia="Arial" w:cs="Arial"/>
          <w:sz w:val="33"/>
          <w:szCs w:val="33"/>
          <w:color w:val="1E40AF"/>
          <w:spacing w:val="40"/>
        </w:rPr>
        <w:t xml:space="preserve"> </w:t>
      </w:r>
      <w:r>
        <w:rPr>
          <w:rFonts w:ascii="PingFang SC" w:hAnsi="PingFang SC" w:eastAsia="PingFang SC" w:cs="PingFang SC"/>
          <w:sz w:val="33"/>
          <w:szCs w:val="33"/>
          <w:color w:val="1E40AF"/>
          <w:spacing w:val="-2"/>
        </w:rPr>
        <w:t>时代版</w:t>
      </w:r>
    </w:p>
    <w:p>
      <w:pPr>
        <w:ind w:left="1019"/>
        <w:spacing w:before="41" w:line="187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4B5563"/>
          <w:spacing w:val="-2"/>
        </w:rPr>
        <w:t>超越传统「裁员加减法J</w:t>
      </w:r>
      <w:r>
        <w:rPr>
          <w:rFonts w:ascii="PingFang SC" w:hAnsi="PingFang SC" w:eastAsia="PingFang SC" w:cs="PingFang SC"/>
          <w:sz w:val="18"/>
          <w:szCs w:val="18"/>
          <w:color w:val="4B5563"/>
          <w:spacing w:val="-6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4B5563"/>
          <w:spacing w:val="-2"/>
        </w:rPr>
        <w:t>。底层融入 </w:t>
      </w:r>
      <w:r>
        <w:rPr>
          <w:rFonts w:ascii="Arial" w:hAnsi="Arial" w:eastAsia="Arial" w:cs="Arial"/>
          <w:sz w:val="18"/>
          <w:szCs w:val="18"/>
          <w:color w:val="4B5563"/>
          <w:spacing w:val="-2"/>
        </w:rPr>
        <w:t>AI</w:t>
      </w:r>
      <w:r>
        <w:rPr>
          <w:rFonts w:ascii="Arial" w:hAnsi="Arial" w:eastAsia="Arial" w:cs="Arial"/>
          <w:sz w:val="18"/>
          <w:szCs w:val="18"/>
          <w:color w:val="4B5563"/>
          <w:spacing w:val="1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4B5563"/>
          <w:spacing w:val="-2"/>
        </w:rPr>
        <w:t>杠杆率、数字资产留存度等 </w:t>
      </w:r>
      <w:r>
        <w:rPr>
          <w:rFonts w:ascii="Arial" w:hAnsi="Arial" w:eastAsia="Arial" w:cs="Arial"/>
          <w:sz w:val="18"/>
          <w:szCs w:val="18"/>
          <w:color w:val="4B5563"/>
          <w:spacing w:val="-2"/>
        </w:rPr>
        <w:t>AI</w:t>
      </w:r>
      <w:r>
        <w:rPr>
          <w:rFonts w:ascii="Arial" w:hAnsi="Arial" w:eastAsia="Arial" w:cs="Arial"/>
          <w:sz w:val="18"/>
          <w:szCs w:val="18"/>
          <w:color w:val="4B5563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4B5563"/>
          <w:spacing w:val="-2"/>
        </w:rPr>
        <w:t>时代变量，让组织诊断真正驱动智能决策。</w:t>
      </w:r>
    </w:p>
    <w:p>
      <w:pPr>
        <w:ind w:firstLine="265"/>
        <w:spacing w:before="119" w:line="45" w:lineRule="exact"/>
        <w:rPr/>
      </w:pPr>
      <w:r>
        <w:rPr/>
        <w:drawing>
          <wp:inline distT="0" distB="0" distL="0" distR="0">
            <wp:extent cx="6619875" cy="285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98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0" w:lineRule="exact"/>
        <w:rPr/>
      </w:pPr>
      <w:r/>
    </w:p>
    <w:tbl>
      <w:tblPr>
        <w:tblStyle w:val="TableNormal"/>
        <w:tblW w:w="10405" w:type="dxa"/>
        <w:tblInd w:w="275" w:type="dxa"/>
        <w:tblLayout w:type="fixed"/>
        <w:tblBorders>
          <w:left w:val="single" w:color="CBD5E1" w:sz="8" w:space="0"/>
          <w:bottom w:val="single" w:color="CBD5E1" w:sz="8" w:space="0"/>
          <w:right w:val="single" w:color="CBD5E1" w:sz="8" w:space="0"/>
          <w:top w:val="single" w:color="CBD5E1" w:sz="8" w:space="0"/>
        </w:tblBorders>
      </w:tblPr>
      <w:tblGrid>
        <w:gridCol w:w="10405"/>
      </w:tblGrid>
      <w:tr>
        <w:trPr>
          <w:trHeight w:val="12560" w:hRule="atLeast"/>
        </w:trPr>
        <w:tc>
          <w:tcPr>
            <w:tcW w:w="10405" w:type="dxa"/>
            <w:vAlign w:val="top"/>
          </w:tcPr>
          <w:p>
            <w:pPr>
              <w:spacing w:before="2"/>
              <w:rPr/>
            </w:pPr>
            <w:r>
              <w:pict>
                <v:shape id="_x0000_s2" style="position:absolute;margin-left:-260.47pt;margin-top:160.517pt;mso-position-vertical-relative:top-margin-area;mso-position-horizontal-relative:right-margin-area;width:1.05pt;height:22.5pt;z-index:-251657216;" filled="false" strokecolor="#3B82F6" strokeweight="1.02pt" coordsize="21,450" coordorigin="0,0" path="m10,0l10,449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rightMargin">
                    <wp:posOffset>-4945178</wp:posOffset>
                  </wp:positionH>
                  <wp:positionV relativeFrom="topMargin">
                    <wp:posOffset>394861</wp:posOffset>
                  </wp:positionV>
                  <wp:extent cx="3287398" cy="1643698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87398" cy="164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" style="position:absolute;margin-left:-499.374pt;margin-top:156.337pt;mso-position-vertical-relative:top-margin-area;mso-position-horizontal-relative:right-margin-area;width:485.2pt;height:15.3pt;z-index:-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4" w:lineRule="auto"/>
                          <w:tabs>
                            <w:tab w:val="left" w:pos="9127"/>
                          </w:tabs>
                          <w:rPr/>
                        </w:pPr>
                        <w:r>
                          <w:rPr>
                            <w:strike/>
                            <w:color w:val="64748B"/>
                          </w:rPr>
                          <w:tab/>
                        </w:r>
                        <w:r>
                          <w:rPr>
                            <w:strike/>
                            <w:color w:val="64748B"/>
                            <w:spacing w:val="-2"/>
                          </w:rPr>
                          <w:t>海平</w:t>
                        </w:r>
                        <w:r>
                          <w:rPr>
                            <w:color w:val="64748B"/>
                            <w:spacing w:val="-2"/>
                          </w:rPr>
                          <w:t>面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2"/>
              <w:rPr/>
            </w:pPr>
            <w:r/>
          </w:p>
          <w:p>
            <w:pPr>
              <w:spacing w:before="1"/>
              <w:rPr/>
            </w:pPr>
            <w:r/>
          </w:p>
          <w:p>
            <w:pPr>
              <w:spacing w:before="1"/>
              <w:rPr/>
            </w:pPr>
            <w:r/>
          </w:p>
          <w:p>
            <w:pPr>
              <w:spacing w:before="1"/>
              <w:rPr/>
            </w:pPr>
            <w:r/>
          </w:p>
          <w:p>
            <w:pPr>
              <w:spacing w:before="1"/>
              <w:rPr/>
            </w:pPr>
            <w:r/>
          </w:p>
          <w:p>
            <w:pPr>
              <w:spacing w:before="1"/>
              <w:rPr/>
            </w:pPr>
            <w:r/>
          </w:p>
          <w:tbl>
            <w:tblPr>
              <w:tblStyle w:val="TableNormal"/>
              <w:tblW w:w="9261" w:type="dxa"/>
              <w:tblInd w:w="556" w:type="dxa"/>
              <w:tblLayout w:type="fixed"/>
              <w:tblBorders>
                <w:left w:val="single" w:color="DC2626" w:sz="12" w:space="0"/>
                <w:bottom w:val="single" w:color="DC2626" w:sz="12" w:space="0"/>
                <w:right w:val="single" w:color="DC2626" w:sz="10" w:space="0"/>
                <w:top w:val="single" w:color="DC2626" w:sz="10" w:space="0"/>
              </w:tblBorders>
            </w:tblPr>
            <w:tblGrid>
              <w:gridCol w:w="9261"/>
            </w:tblGrid>
            <w:tr>
              <w:trPr>
                <w:trHeight w:val="1713" w:hRule="atLeast"/>
              </w:trPr>
              <w:tc>
                <w:tcPr>
                  <w:tcW w:w="9261" w:type="dxa"/>
                  <w:vAlign w:val="top"/>
                </w:tcPr>
                <w:p>
                  <w:pPr>
                    <w:pStyle w:val="TableText"/>
                    <w:ind w:left="325"/>
                    <w:spacing w:before="188" w:line="187" w:lineRule="auto"/>
                    <w:rPr>
                      <w:sz w:val="24"/>
                      <w:szCs w:val="24"/>
                    </w:rPr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60288" behindDoc="1" locked="0" layoutInCell="1" allowOverlap="1">
                            <wp:simplePos x="0" y="0"/>
                            <wp:positionH relativeFrom="column">
                              <wp:posOffset>-11264</wp:posOffset>
                            </wp:positionH>
                            <wp:positionV relativeFrom="paragraph">
                              <wp:posOffset>-7678</wp:posOffset>
                            </wp:positionV>
                            <wp:extent cx="5883275" cy="1107440"/>
                            <wp:effectExtent l="0" t="0" r="0" b="0"/>
                            <wp:wrapNone/>
                            <wp:docPr id="6" name="Rect 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6" name="Rect 6"/>
                                  <wps:cNvSpPr/>
                                  <wps:spPr>
                                    <a:xfrm>
                                      <a:off x="-11264" y="-7678"/>
                                      <a:ext cx="5883275" cy="11074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EF2F2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_x0000_s6" style="position:absolute;margin-left:-0.886932pt;margin-top:-0.604614pt;mso-position-vertical-relative:text;mso-position-horizontal-relative:text;width:463.25pt;height:87.2pt;z-index:-251656192;" fillcolor="#FEF2F2" filled="true" stroked="false"/>
                        </w:pict>
                      </mc:Fallback>
                    </mc:AlternateContent>
                  </w:r>
                  <w:r>
                    <w:drawing>
                      <wp:anchor distT="0" distB="0" distL="0" distR="0" simplePos="0" relativeHeight="251664384" behindDoc="0" locked="0" layoutInCell="1" allowOverlap="1">
                        <wp:simplePos x="0" y="0"/>
                        <wp:positionH relativeFrom="rightMargin">
                          <wp:posOffset>-5874536</wp:posOffset>
                        </wp:positionH>
                        <wp:positionV relativeFrom="topMargin">
                          <wp:posOffset>-14213</wp:posOffset>
                        </wp:positionV>
                        <wp:extent cx="77419" cy="1113458"/>
                        <wp:effectExtent l="0" t="0" r="0" b="0"/>
                        <wp:wrapNone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419" cy="1113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8" style="position:absolute;margin-left:-1.96448pt;margin-top:80.4587pt;mso-position-vertical-relative:top-margin-area;mso-position-horizontal-relative:right-margin-area;width:3.1pt;height:4.75pt;z-index:251661312;" filled="false" strokecolor="#DC2626" strokeweight="1.23pt" coordsize="62,95" coordorigin="0,0" path="m49,12c47,21,45,29,41,37c38,46,34,53,29,61c24,68,18,75,12,82e">
                        <v:stroke joinstyle="miter" miterlimit="4"/>
                      </v:shape>
                    </w:pict>
                  </w:r>
                  <w:r>
                    <w:rPr>
                      <w:sz w:val="24"/>
                      <w:szCs w:val="24"/>
                      <w:color w:val="B91C1C"/>
                      <w:spacing w:val="4"/>
                    </w:rPr>
                    <w:t>① 成本结构重组</w:t>
                  </w:r>
                </w:p>
                <w:p>
                  <w:pPr>
                    <w:pStyle w:val="TableText"/>
                    <w:ind w:left="333"/>
                    <w:spacing w:before="62" w:line="183" w:lineRule="auto"/>
                    <w:rPr/>
                  </w:pPr>
                  <w:r>
                    <w:rPr>
                      <w:color w:val="1F2937"/>
                      <w:spacing w:val="-1"/>
                    </w:rPr>
                    <w:t>真实成本 </w:t>
                  </w:r>
                  <w:r>
                    <w:rPr>
                      <w:rFonts w:ascii="Arial" w:hAnsi="Arial" w:eastAsia="Arial" w:cs="Arial"/>
                      <w:color w:val="1F2937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color w:val="1F2937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1F2937"/>
                      <w:spacing w:val="-1"/>
                    </w:rPr>
                    <w:t>显在薪酬 </w:t>
                  </w:r>
                  <w:r>
                    <w:rPr>
                      <w:rFonts w:ascii="Arial" w:hAnsi="Arial" w:eastAsia="Arial" w:cs="Arial"/>
                      <w:color w:val="1F2937"/>
                      <w:spacing w:val="-1"/>
                    </w:rPr>
                    <w:t>+</w:t>
                  </w:r>
                  <w:r>
                    <w:rPr>
                      <w:rFonts w:ascii="Arial" w:hAnsi="Arial" w:eastAsia="Arial" w:cs="Arial"/>
                      <w:color w:val="1F2937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1F2937"/>
                      <w:spacing w:val="-1"/>
                    </w:rPr>
                    <w:t>隐性管理成本 </w:t>
                  </w:r>
                  <w:r>
                    <w:rPr>
                      <w:rFonts w:ascii="Arial" w:hAnsi="Arial" w:eastAsia="Arial" w:cs="Arial"/>
                      <w:color w:val="1F2937"/>
                      <w:spacing w:val="-1"/>
                    </w:rPr>
                    <w:t>+</w:t>
                  </w:r>
                  <w:r>
                    <w:rPr>
                      <w:rFonts w:ascii="Arial" w:hAnsi="Arial" w:eastAsia="Arial" w:cs="Arial"/>
                      <w:color w:val="1F2937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1F2937"/>
                      <w:spacing w:val="-1"/>
                    </w:rPr>
                    <w:t>平台抽成 </w:t>
                  </w:r>
                  <w:r>
                    <w:rPr>
                      <w:rFonts w:ascii="Arial" w:hAnsi="Arial" w:eastAsia="Arial" w:cs="Arial"/>
                      <w:color w:val="1F2937"/>
                      <w:spacing w:val="-1"/>
                    </w:rPr>
                    <w:t>+</w:t>
                  </w:r>
                  <w:r>
                    <w:rPr>
                      <w:rFonts w:ascii="Arial" w:hAnsi="Arial" w:eastAsia="Arial" w:cs="Arial"/>
                      <w:color w:val="1F2937"/>
                      <w:spacing w:val="18"/>
                    </w:rPr>
                    <w:t xml:space="preserve"> </w:t>
                  </w:r>
                  <w:r>
                    <w:rPr>
                      <w:color w:val="1F2937"/>
                      <w:spacing w:val="-1"/>
                    </w:rPr>
                    <w:t>机会成本</w:t>
                  </w:r>
                </w:p>
                <w:p>
                  <w:pPr>
                    <w:pStyle w:val="TableText"/>
                    <w:ind w:left="332"/>
                    <w:spacing w:before="63" w:line="19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color w:val="374151"/>
                    </w:rPr>
                    <w:t>关键指标：人效比（</w:t>
                  </w:r>
                  <w:r>
                    <w:rPr>
                      <w:color w:val="374151"/>
                      <w:spacing w:val="-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</w:rPr>
                    <w:t>Rev/HC</w:t>
                  </w:r>
                  <w:r>
                    <w:rPr>
                      <w:color w:val="374151"/>
                    </w:rPr>
                    <w:t>）</w:t>
                  </w:r>
                  <w:r>
                    <w:rPr>
                      <w:color w:val="374151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D4ED8"/>
                    </w:rPr>
                    <w:t>· AI</w:t>
                  </w:r>
                  <w:r>
                    <w:rPr>
                      <w:color w:val="1D4ED8"/>
                    </w:rPr>
                    <w:t>杠杆率（人机协作</w:t>
                  </w:r>
                  <w:r>
                    <w:rPr>
                      <w:rFonts w:ascii="Arial" w:hAnsi="Arial" w:eastAsia="Arial" w:cs="Arial"/>
                      <w:color w:val="1D4ED8"/>
                    </w:rPr>
                    <w:t>R</w:t>
                  </w:r>
                  <w:r>
                    <w:rPr>
                      <w:rFonts w:ascii="Arial" w:hAnsi="Arial" w:eastAsia="Arial" w:cs="Arial"/>
                      <w:color w:val="1D4ED8"/>
                      <w:spacing w:val="-1"/>
                    </w:rPr>
                    <w:t>OI</w:t>
                  </w:r>
                  <w:r>
                    <w:rPr>
                      <w:color w:val="1D4ED8"/>
                      <w:spacing w:val="-1"/>
                    </w:rPr>
                    <w:t>）</w:t>
                  </w:r>
                  <w:r>
                    <w:rPr>
                      <w:color w:val="1D4ED8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-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374151"/>
                      <w:spacing w:val="21"/>
                    </w:rPr>
                    <w:t xml:space="preserve"> </w:t>
                  </w:r>
                  <w:r>
                    <w:rPr>
                      <w:color w:val="374151"/>
                      <w:spacing w:val="-1"/>
                    </w:rPr>
                    <w:t>单位人力成本</w:t>
                  </w:r>
                  <w:r>
                    <w:rPr>
                      <w:rFonts w:ascii="Arial" w:hAnsi="Arial" w:eastAsia="Arial" w:cs="Arial"/>
                      <w:color w:val="374151"/>
                      <w:spacing w:val="-1"/>
                    </w:rPr>
                    <w:t>ROI</w:t>
                  </w:r>
                </w:p>
                <w:p>
                  <w:pPr>
                    <w:pStyle w:val="TableText"/>
                    <w:ind w:left="540" w:right="4757" w:hanging="220"/>
                    <w:spacing w:before="44" w:line="19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乡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</w:rPr>
                    <w:t>HC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减少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3"/>
                    </w:rPr>
                    <w:t>20%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≠ 成本减少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3"/>
                    </w:rPr>
                    <w:t>20%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（</w:t>
                  </w:r>
                  <w:r>
                    <w:rPr>
                      <w:sz w:val="16"/>
                      <w:szCs w:val="16"/>
                      <w:color w:val="6B7280"/>
                      <w:spacing w:val="-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隐性成本占比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3"/>
                    </w:rPr>
                    <w:t>60%+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）</w:t>
                  </w:r>
                  <w:r>
                    <w:rPr>
                      <w:sz w:val="16"/>
                      <w:szCs w:val="16"/>
                      <w:color w:val="6B728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</w:rPr>
                    <w:t>AI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工具引入后，单位人力产出放大倍数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3"/>
                    </w:rPr>
                    <w:t>=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</w:rPr>
                    <w:t>AI</w:t>
                  </w: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杠杆率</w:t>
                  </w:r>
                </w:p>
              </w:tc>
            </w:tr>
          </w:tbl>
          <w:p>
            <w:pPr>
              <w:spacing w:line="193" w:lineRule="exact"/>
              <w:rPr/>
            </w:pPr>
            <w:r/>
          </w:p>
          <w:tbl>
            <w:tblPr>
              <w:tblStyle w:val="TableNormal"/>
              <w:tblW w:w="9258" w:type="dxa"/>
              <w:tblInd w:w="556" w:type="dxa"/>
              <w:shd w:val="clear" w:fill="FEF7ED"/>
              <w:tblLayout w:type="fixed"/>
              <w:tblBorders>
                <w:left w:val="single" w:color="D97706" w:sz="12" w:space="0"/>
                <w:bottom w:val="single" w:color="D97706" w:sz="12" w:space="0"/>
                <w:right w:val="single" w:color="D97706" w:sz="12" w:space="0"/>
                <w:top w:val="single" w:color="D97706" w:sz="12" w:space="0"/>
              </w:tblBorders>
            </w:tblPr>
            <w:tblGrid>
              <w:gridCol w:w="9258"/>
            </w:tblGrid>
            <w:tr>
              <w:trPr>
                <w:trHeight w:val="1708" w:hRule="atLeast"/>
              </w:trPr>
              <w:tc>
                <w:tcPr>
                  <w:shd w:val="clear" w:fill="FEF7ED"/>
                  <w:tcW w:w="9258" w:type="dxa"/>
                  <w:vAlign w:val="top"/>
                </w:tcPr>
                <w:p>
                  <w:pPr>
                    <w:pStyle w:val="TableText"/>
                    <w:ind w:left="325"/>
                    <w:spacing w:before="183" w:line="187" w:lineRule="auto"/>
                    <w:rPr>
                      <w:sz w:val="24"/>
                      <w:szCs w:val="24"/>
                    </w:rPr>
                  </w:pPr>
                  <w:r>
                    <w:drawing>
                      <wp:anchor distT="0" distB="0" distL="0" distR="0" simplePos="0" relativeHeight="251665408" behindDoc="0" locked="0" layoutInCell="1" allowOverlap="1">
                        <wp:simplePos x="0" y="0"/>
                        <wp:positionH relativeFrom="rightMargin">
                          <wp:posOffset>-5871044</wp:posOffset>
                        </wp:positionH>
                        <wp:positionV relativeFrom="topMargin">
                          <wp:posOffset>-11264</wp:posOffset>
                        </wp:positionV>
                        <wp:extent cx="60557" cy="1107334"/>
                        <wp:effectExtent l="0" t="0" r="0" b="0"/>
                        <wp:wrapNone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557" cy="1107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z w:val="24"/>
                      <w:szCs w:val="24"/>
                      <w:color w:val="92400E"/>
                      <w:spacing w:val="4"/>
                    </w:rPr>
                    <w:t>② 组织效能诊断</w:t>
                  </w:r>
                </w:p>
                <w:p>
                  <w:pPr>
                    <w:pStyle w:val="TableText"/>
                    <w:ind w:left="328"/>
                    <w:spacing w:before="62" w:line="19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color w:val="1F2937"/>
                      <w:spacing w:val="-1"/>
                    </w:rPr>
                    <w:t>裁员后幸存者的「幸存者综合征J  导致效能短期下降</w:t>
                  </w:r>
                  <w:r>
                    <w:rPr>
                      <w:rFonts w:ascii="Arial" w:hAnsi="Arial" w:eastAsia="Arial" w:cs="Arial"/>
                      <w:color w:val="1F2937"/>
                      <w:spacing w:val="-1"/>
                    </w:rPr>
                    <w:t>15</w:t>
                  </w:r>
                  <w:r>
                    <w:rPr>
                      <w:color w:val="1F2937"/>
                      <w:spacing w:val="-1"/>
                    </w:rPr>
                    <w:t>–</w:t>
                  </w:r>
                  <w:r>
                    <w:rPr>
                      <w:rFonts w:ascii="Arial" w:hAnsi="Arial" w:eastAsia="Arial" w:cs="Arial"/>
                      <w:color w:val="1F2937"/>
                      <w:spacing w:val="-1"/>
                    </w:rPr>
                    <w:t>25%</w:t>
                  </w:r>
                </w:p>
                <w:p>
                  <w:pPr>
                    <w:pStyle w:val="TableText"/>
                    <w:ind w:left="332"/>
                    <w:spacing w:before="53" w:line="190" w:lineRule="auto"/>
                    <w:rPr/>
                  </w:pPr>
                  <w:r>
                    <w:rPr>
                      <w:color w:val="78350F"/>
                      <w:spacing w:val="-1"/>
                    </w:rPr>
                    <w:t>关键指标：协作熵值</w:t>
                  </w:r>
                  <w:r>
                    <w:rPr>
                      <w:color w:val="78350F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78350F"/>
                      <w:spacing w:val="-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78350F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78350F"/>
                      <w:spacing w:val="-1"/>
                    </w:rPr>
                    <w:t>决策延迟</w:t>
                  </w:r>
                  <w:r>
                    <w:rPr>
                      <w:color w:val="78350F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D4ED8"/>
                      <w:spacing w:val="-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1D4ED8"/>
                      <w:spacing w:val="18"/>
                    </w:rPr>
                    <w:t xml:space="preserve"> </w:t>
                  </w:r>
                  <w:r>
                    <w:rPr>
                      <w:color w:val="1D4ED8"/>
                      <w:spacing w:val="-1"/>
                    </w:rPr>
                    <w:t>数字资产留存度</w:t>
                  </w:r>
                  <w:r>
                    <w:rPr>
                      <w:color w:val="1D4ED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78350F"/>
                      <w:spacing w:val="-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78350F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78350F"/>
                      <w:spacing w:val="-1"/>
                    </w:rPr>
                    <w:t>跨部门摩擦成本</w:t>
                  </w:r>
                </w:p>
                <w:p>
                  <w:pPr>
                    <w:pStyle w:val="TableText"/>
                    <w:ind w:left="549" w:right="5602" w:hanging="229"/>
                    <w:spacing w:before="44" w:line="18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92400E"/>
                      <w:spacing w:val="3"/>
                    </w:rPr>
                    <w:t>乡</w:t>
                  </w:r>
                  <w:r>
                    <w:rPr>
                      <w:sz w:val="16"/>
                      <w:szCs w:val="16"/>
                      <w:color w:val="92400E"/>
                      <w:spacing w:val="6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92400E"/>
                      <w:spacing w:val="3"/>
                    </w:rPr>
                    <w:t>裁员后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92400E"/>
                      <w:spacing w:val="3"/>
                    </w:rPr>
                    <w:t>6</w:t>
                  </w:r>
                  <w:r>
                    <w:rPr>
                      <w:sz w:val="16"/>
                      <w:szCs w:val="16"/>
                      <w:color w:val="92400E"/>
                      <w:spacing w:val="3"/>
                    </w:rPr>
                    <w:t>个月内，组织效能通常会先降后升</w:t>
                  </w:r>
                  <w:r>
                    <w:rPr>
                      <w:sz w:val="16"/>
                      <w:szCs w:val="16"/>
                      <w:color w:val="92400E"/>
                    </w:rPr>
                    <w:t>需预设「效能谷底J  并制定恢复计划</w:t>
                  </w:r>
                </w:p>
                <w:p>
                  <w:pPr>
                    <w:ind w:firstLine="9173"/>
                    <w:spacing w:line="24" w:lineRule="exact"/>
                    <w:rPr/>
                  </w:pPr>
                  <w:r>
                    <w:rPr>
                      <w:position w:val="-2"/>
                    </w:rPr>
                    <w:pict>
                      <v:shape id="_x0000_s10" style="mso-position-vertical-relative:line;mso-position-horizontal-relative:char;width:2.3pt;height:2.1pt;" filled="false" strokecolor="#D97706" strokeweight="1.23pt" coordsize="46,42" coordorigin="0,0" path="m32,12c26,18,19,24,12,29e">
                        <v:stroke joinstyle="miter" miterlimit="4"/>
                      </v:shape>
                    </w:pict>
                  </w:r>
                </w:p>
              </w:tc>
            </w:tr>
          </w:tbl>
          <w:p>
            <w:pPr>
              <w:spacing w:line="193" w:lineRule="exact"/>
              <w:rPr/>
            </w:pPr>
            <w:r/>
          </w:p>
          <w:tbl>
            <w:tblPr>
              <w:tblStyle w:val="TableNormal"/>
              <w:tblW w:w="9261" w:type="dxa"/>
              <w:tblInd w:w="556" w:type="dxa"/>
              <w:shd w:val="clear" w:fill="F5F3FF"/>
              <w:tblLayout w:type="fixed"/>
              <w:tblBorders>
                <w:left w:val="single" w:color="7C3AED" w:sz="12" w:space="0"/>
                <w:bottom w:val="single" w:color="7C3AED" w:sz="12" w:space="0"/>
                <w:right w:val="single" w:color="7C3AED" w:sz="10" w:space="0"/>
                <w:top w:val="single" w:color="7C3AED" w:sz="10" w:space="0"/>
              </w:tblBorders>
            </w:tblPr>
            <w:tblGrid>
              <w:gridCol w:w="9261"/>
            </w:tblGrid>
            <w:tr>
              <w:trPr>
                <w:trHeight w:val="1713" w:hRule="atLeast"/>
              </w:trPr>
              <w:tc>
                <w:tcPr>
                  <w:shd w:val="clear" w:fill="F5F3FF"/>
                  <w:tcW w:w="9261" w:type="dxa"/>
                  <w:vAlign w:val="top"/>
                </w:tcPr>
                <w:p>
                  <w:pPr>
                    <w:pStyle w:val="TableText"/>
                    <w:ind w:left="325"/>
                    <w:spacing w:before="188" w:line="187" w:lineRule="auto"/>
                    <w:rPr>
                      <w:sz w:val="24"/>
                      <w:szCs w:val="24"/>
                    </w:rPr>
                  </w:pPr>
                  <w:r>
                    <w:drawing>
                      <wp:anchor distT="0" distB="0" distL="0" distR="0" simplePos="0" relativeHeight="251663360" behindDoc="0" locked="0" layoutInCell="1" allowOverlap="1">
                        <wp:simplePos x="0" y="0"/>
                        <wp:positionH relativeFrom="rightMargin">
                          <wp:posOffset>-5874536</wp:posOffset>
                        </wp:positionH>
                        <wp:positionV relativeFrom="topMargin">
                          <wp:posOffset>-14212</wp:posOffset>
                        </wp:positionV>
                        <wp:extent cx="77419" cy="1113457"/>
                        <wp:effectExtent l="0" t="0" r="0" b="0"/>
                        <wp:wrapNone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419" cy="1113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2" style="position:absolute;margin-left:-2.9967pt;margin-top:80.4587pt;mso-position-vertical-relative:top-margin-area;mso-position-horizontal-relative:right-margin-area;width:4.15pt;height:5.6pt;z-index:251662336;" filled="false" strokecolor="#7C3AED" strokeweight="1.23pt" coordsize="83,112" coordorigin="0,0" path="m70,12c68,21,65,29,62,37c59,46,54,53,49,61c44,68,39,75,32,82c26,88,19,93,12,98e">
                        <v:stroke joinstyle="miter" miterlimit="4"/>
                      </v:shape>
                    </w:pict>
                  </w:r>
                  <w:r>
                    <w:rPr>
                      <w:sz w:val="24"/>
                      <w:szCs w:val="24"/>
                      <w:color w:val="5B21B6"/>
                      <w:spacing w:val="4"/>
                    </w:rPr>
                    <w:t>③ 人才密度评估</w:t>
                  </w:r>
                </w:p>
                <w:p>
                  <w:pPr>
                    <w:pStyle w:val="TableText"/>
                    <w:ind w:left="332" w:right="2535" w:firstLine="18"/>
                    <w:spacing w:before="63" w:line="224" w:lineRule="auto"/>
                    <w:rPr/>
                  </w:pPr>
                  <w:r>
                    <w:rPr>
                      <w:color w:val="1F2937"/>
                      <w:spacing w:val="-1"/>
                    </w:rPr>
                    <w:t>「平均人才质量J  比「总人数J  更重要。净人才密度</w:t>
                  </w:r>
                  <w:r>
                    <w:rPr>
                      <w:color w:val="1F2937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F2937"/>
                      <w:spacing w:val="-2"/>
                    </w:rPr>
                    <w:t>=</w:t>
                  </w:r>
                  <w:r>
                    <w:rPr>
                      <w:rFonts w:ascii="Arial" w:hAnsi="Arial" w:eastAsia="Arial" w:cs="Arial"/>
                      <w:color w:val="1F2937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1F2937"/>
                      <w:spacing w:val="-2"/>
                    </w:rPr>
                    <w:t>高绩效人数 </w:t>
                  </w:r>
                  <w:r>
                    <w:rPr>
                      <w:rFonts w:ascii="Arial" w:hAnsi="Arial" w:eastAsia="Arial" w:cs="Arial"/>
                      <w:color w:val="1F2937"/>
                      <w:spacing w:val="-2"/>
                    </w:rPr>
                    <w:t>/</w:t>
                  </w:r>
                  <w:r>
                    <w:rPr>
                      <w:rFonts w:ascii="Arial" w:hAnsi="Arial" w:eastAsia="Arial" w:cs="Arial"/>
                      <w:color w:val="1F2937"/>
                      <w:spacing w:val="19"/>
                    </w:rPr>
                    <w:t xml:space="preserve"> </w:t>
                  </w:r>
                  <w:r>
                    <w:rPr>
                      <w:color w:val="1F2937"/>
                      <w:spacing w:val="-2"/>
                    </w:rPr>
                    <w:t>总人数</w:t>
                  </w:r>
                  <w:r>
                    <w:rPr>
                      <w:color w:val="374151"/>
                      <w:spacing w:val="1"/>
                    </w:rPr>
                    <w:t>关键指标：</w:t>
                  </w:r>
                  <w:r>
                    <w:rPr>
                      <w:rFonts w:ascii="Arial" w:hAnsi="Arial" w:eastAsia="Arial" w:cs="Arial"/>
                      <w:color w:val="374151"/>
                      <w:spacing w:val="1"/>
                    </w:rPr>
                    <w:t>P90/P50</w:t>
                  </w:r>
                  <w:r>
                    <w:rPr>
                      <w:color w:val="374151"/>
                      <w:spacing w:val="1"/>
                    </w:rPr>
                    <w:t>产出比</w:t>
                  </w:r>
                  <w:r>
                    <w:rPr>
                      <w:color w:val="374151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37415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374151"/>
                      <w:spacing w:val="1"/>
                    </w:rPr>
                    <w:t>关键岗位覆盖度</w:t>
                  </w:r>
                  <w:r>
                    <w:rPr>
                      <w:color w:val="374151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37415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374151"/>
                      <w:spacing w:val="1"/>
                    </w:rPr>
                    <w:t>继任者准备度</w:t>
                  </w:r>
                </w:p>
                <w:p>
                  <w:pPr>
                    <w:pStyle w:val="TableText"/>
                    <w:ind w:left="320"/>
                    <w:spacing w:line="20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B7280"/>
                      <w:spacing w:val="2"/>
                    </w:rPr>
                    <w:t>乡</w:t>
                  </w:r>
                  <w:r>
                    <w:rPr>
                      <w:sz w:val="16"/>
                      <w:szCs w:val="16"/>
                      <w:color w:val="6B7280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6B7280"/>
                      <w:spacing w:val="2"/>
                    </w:rPr>
                    <w:t>低绩效员工裁员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</w:rPr>
                    <w:t>ROI</w:t>
                  </w:r>
                  <w:r>
                    <w:rPr>
                      <w:sz w:val="16"/>
                      <w:szCs w:val="16"/>
                      <w:color w:val="6B7280"/>
                      <w:spacing w:val="2"/>
                    </w:rPr>
                    <w:t>为正</w:t>
                  </w:r>
                </w:p>
                <w:p>
                  <w:pPr>
                    <w:pStyle w:val="TableText"/>
                    <w:ind w:left="545"/>
                    <w:spacing w:before="21" w:line="190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B7280"/>
                      <w:spacing w:val="3"/>
                    </w:rPr>
                    <w:t>但高绩效员工主动离职风险在裁员后上升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3"/>
                    </w:rPr>
                    <w:t>3x</w:t>
                  </w:r>
                </w:p>
              </w:tc>
            </w:tr>
          </w:tbl>
          <w:p>
            <w:pPr>
              <w:spacing w:line="193" w:lineRule="exact"/>
              <w:rPr/>
            </w:pPr>
            <w:r/>
          </w:p>
          <w:tbl>
            <w:tblPr>
              <w:tblStyle w:val="TableNormal"/>
              <w:tblW w:w="9258" w:type="dxa"/>
              <w:tblInd w:w="556" w:type="dxa"/>
              <w:shd w:val="clear" w:fill="ECFDF5"/>
              <w:tblLayout w:type="fixed"/>
              <w:tblBorders>
                <w:left w:val="single" w:color="059669" w:sz="12" w:space="0"/>
                <w:bottom w:val="single" w:color="059669" w:sz="12" w:space="0"/>
                <w:right w:val="single" w:color="059669" w:sz="12" w:space="0"/>
                <w:top w:val="single" w:color="059669" w:sz="12" w:space="0"/>
              </w:tblBorders>
            </w:tblPr>
            <w:tblGrid>
              <w:gridCol w:w="9258"/>
            </w:tblGrid>
            <w:tr>
              <w:trPr>
                <w:trHeight w:val="1708" w:hRule="atLeast"/>
              </w:trPr>
              <w:tc>
                <w:tcPr>
                  <w:shd w:val="clear" w:fill="ECFDF5"/>
                  <w:tcW w:w="9258" w:type="dxa"/>
                  <w:vAlign w:val="top"/>
                </w:tcPr>
                <w:p>
                  <w:pPr>
                    <w:pStyle w:val="TableText"/>
                    <w:ind w:left="325"/>
                    <w:spacing w:before="183" w:line="187" w:lineRule="auto"/>
                    <w:rPr>
                      <w:sz w:val="24"/>
                      <w:szCs w:val="24"/>
                    </w:rPr>
                  </w:pPr>
                  <w:r>
                    <w:drawing>
                      <wp:anchor distT="0" distB="0" distL="0" distR="0" simplePos="0" relativeHeight="251667456" behindDoc="0" locked="0" layoutInCell="1" allowOverlap="1">
                        <wp:simplePos x="0" y="0"/>
                        <wp:positionH relativeFrom="rightMargin">
                          <wp:posOffset>-5871044</wp:posOffset>
                        </wp:positionH>
                        <wp:positionV relativeFrom="topMargin">
                          <wp:posOffset>-11263</wp:posOffset>
                        </wp:positionV>
                        <wp:extent cx="60557" cy="1107334"/>
                        <wp:effectExtent l="0" t="0" r="0" b="0"/>
                        <wp:wrapNone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557" cy="1107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z w:val="24"/>
                      <w:szCs w:val="24"/>
                      <w:color w:val="047857"/>
                      <w:spacing w:val="4"/>
                    </w:rPr>
                    <w:t>④ 流程冗余清理</w:t>
                  </w:r>
                </w:p>
                <w:p>
                  <w:pPr>
                    <w:pStyle w:val="TableText"/>
                    <w:ind w:left="332" w:right="1671"/>
                    <w:spacing w:before="63" w:line="224" w:lineRule="auto"/>
                    <w:rPr/>
                  </w:pPr>
                  <w:r>
                    <w:rPr>
                      <w:color w:val="1F2937"/>
                      <w:spacing w:val="-2"/>
                    </w:rPr>
                    <w:t>真正的降本来自流程再造（</w:t>
                  </w:r>
                  <w:r>
                    <w:rPr>
                      <w:color w:val="1F2937"/>
                      <w:spacing w:val="-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F2937"/>
                      <w:spacing w:val="-2"/>
                    </w:rPr>
                    <w:t>BPR</w:t>
                  </w:r>
                  <w:r>
                    <w:rPr>
                      <w:color w:val="1F2937"/>
                      <w:spacing w:val="-37"/>
                      <w:w w:val="98"/>
                    </w:rPr>
                    <w:t>），</w:t>
                  </w:r>
                  <w:r>
                    <w:rPr>
                      <w:color w:val="1F2937"/>
                      <w:spacing w:val="-2"/>
                    </w:rPr>
                    <w:t>而非人头削减。每</w:t>
                  </w:r>
                  <w:r>
                    <w:rPr>
                      <w:rFonts w:ascii="Arial" w:hAnsi="Arial" w:eastAsia="Arial" w:cs="Arial"/>
                      <w:color w:val="1F2937"/>
                      <w:spacing w:val="-2"/>
                    </w:rPr>
                    <w:t>1</w:t>
                  </w:r>
                  <w:r>
                    <w:rPr>
                      <w:color w:val="1F2937"/>
                      <w:spacing w:val="-2"/>
                    </w:rPr>
                    <w:t>元流程优化</w:t>
                  </w:r>
                  <w:r>
                    <w:rPr>
                      <w:color w:val="1F2937"/>
                      <w:spacing w:val="16"/>
                    </w:rPr>
                    <w:t xml:space="preserve"> </w:t>
                  </w:r>
                  <w:r>
                    <w:rPr>
                      <w:color w:val="1F2937"/>
                      <w:spacing w:val="-2"/>
                    </w:rPr>
                    <w:t>≈ </w:t>
                  </w:r>
                  <w:r>
                    <w:rPr>
                      <w:rFonts w:ascii="Arial" w:hAnsi="Arial" w:eastAsia="Arial" w:cs="Arial"/>
                      <w:color w:val="1F2937"/>
                      <w:spacing w:val="-2"/>
                    </w:rPr>
                    <w:t>3</w:t>
                  </w:r>
                  <w:r>
                    <w:rPr>
                      <w:color w:val="1F2937"/>
                      <w:spacing w:val="-2"/>
                    </w:rPr>
                    <w:t>元人力成本节约</w:t>
                  </w:r>
                  <w:r>
                    <w:rPr>
                      <w:color w:val="374151"/>
                      <w:spacing w:val="-1"/>
                    </w:rPr>
                    <w:t>关键指标：审批节点数</w:t>
                  </w:r>
                  <w:r>
                    <w:rPr>
                      <w:color w:val="374151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-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374151"/>
                      <w:spacing w:val="18"/>
                    </w:rPr>
                    <w:t xml:space="preserve"> </w:t>
                  </w:r>
                  <w:r>
                    <w:rPr>
                      <w:color w:val="374151"/>
                      <w:spacing w:val="-1"/>
                    </w:rPr>
                    <w:t>跨部门交接次数</w:t>
                  </w:r>
                  <w:r>
                    <w:rPr>
                      <w:color w:val="374151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-1"/>
                    </w:rPr>
                    <w:t>·</w:t>
                  </w:r>
                  <w:r>
                    <w:rPr>
                      <w:rFonts w:ascii="Arial" w:hAnsi="Arial" w:eastAsia="Arial" w:cs="Arial"/>
                      <w:color w:val="37415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-1"/>
                    </w:rPr>
                    <w:t>SOP</w:t>
                  </w:r>
                  <w:r>
                    <w:rPr>
                      <w:color w:val="374151"/>
                      <w:spacing w:val="-1"/>
                    </w:rPr>
                    <w:t>覆盖率</w:t>
                  </w:r>
                  <w:r>
                    <w:rPr>
                      <w:color w:val="374151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74151"/>
                      <w:spacing w:val="-1"/>
                    </w:rPr>
                    <w:t>· AI</w:t>
                  </w:r>
                  <w:r>
                    <w:rPr>
                      <w:color w:val="374151"/>
                      <w:spacing w:val="-1"/>
                    </w:rPr>
                    <w:t>可替代流程占比</w:t>
                  </w:r>
                </w:p>
                <w:p>
                  <w:pPr>
                    <w:pStyle w:val="TableText"/>
                    <w:ind w:left="320"/>
                    <w:spacing w:before="1" w:line="20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B7280"/>
                      <w:spacing w:val="4"/>
                    </w:rPr>
                    <w:t>乡</w:t>
                  </w:r>
                  <w:r>
                    <w:rPr>
                      <w:sz w:val="16"/>
                      <w:szCs w:val="16"/>
                      <w:color w:val="6B7280"/>
                      <w:spacing w:val="5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6B7280"/>
                      <w:spacing w:val="4"/>
                    </w:rPr>
                    <w:t>大厂平均有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6B7280"/>
                      <w:spacing w:val="4"/>
                    </w:rPr>
                    <w:t>35%</w:t>
                  </w:r>
                  <w:r>
                    <w:rPr>
                      <w:sz w:val="16"/>
                      <w:szCs w:val="16"/>
                      <w:color w:val="6B7280"/>
                      <w:spacing w:val="4"/>
                    </w:rPr>
                    <w:t>的流程步骤不创造用户价值，属于纯浪费</w:t>
                  </w:r>
                </w:p>
              </w:tc>
            </w:tr>
          </w:tbl>
          <w:p>
            <w:pPr>
              <w:spacing w:line="197" w:lineRule="exact"/>
              <w:rPr/>
            </w:pPr>
            <w:r/>
          </w:p>
          <w:tbl>
            <w:tblPr>
              <w:tblStyle w:val="TableNormal"/>
              <w:tblW w:w="8715" w:type="dxa"/>
              <w:tblInd w:w="828" w:type="dxa"/>
              <w:shd w:val="clear" w:fill="E2E8F0"/>
              <w:tblLayout w:type="fixed"/>
              <w:tblBorders>
                <w:left w:val="single" w:color="94A3B8" w:sz="8" w:space="0"/>
                <w:bottom w:val="single" w:color="94A3B8" w:sz="8" w:space="0"/>
                <w:right w:val="single" w:color="94A3B8" w:sz="8" w:space="0"/>
                <w:top w:val="single" w:color="94A3B8" w:sz="8" w:space="0"/>
              </w:tblBorders>
            </w:tblPr>
            <w:tblGrid>
              <w:gridCol w:w="8715"/>
            </w:tblGrid>
            <w:tr>
              <w:trPr>
                <w:trHeight w:val="548" w:hRule="atLeast"/>
              </w:trPr>
              <w:tc>
                <w:tcPr>
                  <w:shd w:val="clear" w:fill="E2E8F0"/>
                  <w:tcW w:w="8715" w:type="dxa"/>
                  <w:vAlign w:val="top"/>
                </w:tcPr>
                <w:p>
                  <w:pPr>
                    <w:pStyle w:val="TableText"/>
                    <w:ind w:left="1797"/>
                    <w:spacing w:before="222" w:line="18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64748B"/>
                      <w:spacing w:val="7"/>
                    </w:rPr>
                    <w:t>▽ 更深的水下：企业文化侵蚀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4748B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4748B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64748B"/>
                      <w:spacing w:val="7"/>
                    </w:rPr>
                    <w:t>雇主品牌损伤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4748B"/>
                      <w:spacing w:val="7"/>
                    </w:rPr>
                    <w:t>/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64748B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64748B"/>
                      <w:spacing w:val="7"/>
                    </w:rPr>
                    <w:t>法务合规风险</w:t>
                  </w:r>
                  <w:r>
                    <w:rPr>
                      <w:sz w:val="17"/>
                      <w:szCs w:val="17"/>
                      <w:color w:val="64748B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64748B"/>
                      <w:spacing w:val="7"/>
                    </w:rPr>
                    <w:t>▽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73"/>
        <w:spacing w:before="311" w:line="21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475569"/>
        </w:rPr>
        <w:drawing>
          <wp:inline distT="0" distB="0" distL="0" distR="0">
            <wp:extent cx="127787" cy="1277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87" cy="12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475569"/>
          <w:spacing w:val="54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475569"/>
          <w:spacing w:val="5"/>
        </w:rPr>
        <w:t>上图展示冰山模型的四层结构。下方表格逐一给出每</w:t>
      </w:r>
      <w:r>
        <w:rPr>
          <w:rFonts w:ascii="PingFang SC" w:hAnsi="PingFang SC" w:eastAsia="PingFang SC" w:cs="PingFang SC"/>
          <w:sz w:val="19"/>
          <w:szCs w:val="19"/>
          <w:color w:val="475569"/>
          <w:spacing w:val="4"/>
        </w:rPr>
        <w:t>项指标的健康基线、预警线和可落地诊断方法，</w:t>
      </w:r>
      <w:r>
        <w:rPr>
          <w:rFonts w:ascii="Arial" w:hAnsi="Arial" w:eastAsia="Arial" w:cs="Arial"/>
          <w:sz w:val="19"/>
          <w:szCs w:val="19"/>
          <w:color w:val="475569"/>
        </w:rPr>
        <w:t>HR</w:t>
      </w:r>
      <w:r>
        <w:rPr>
          <w:rFonts w:ascii="Arial" w:hAnsi="Arial" w:eastAsia="Arial" w:cs="Arial"/>
          <w:sz w:val="19"/>
          <w:szCs w:val="19"/>
          <w:color w:val="475569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475569"/>
          <w:spacing w:val="4"/>
        </w:rPr>
        <w:t>可直接对</w:t>
      </w:r>
    </w:p>
    <w:p>
      <w:pPr>
        <w:ind w:left="5100"/>
        <w:spacing w:before="78" w:line="185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475569"/>
          <w:spacing w:val="-3"/>
        </w:rPr>
        <w:t>照执行。</w:t>
      </w:r>
    </w:p>
    <w:p>
      <w:pPr>
        <w:spacing w:line="185" w:lineRule="auto"/>
        <w:sectPr>
          <w:headerReference w:type="default" r:id="rId1"/>
          <w:footerReference w:type="default" r:id="rId2"/>
          <w:pgSz w:w="11900" w:h="16839"/>
          <w:pgMar w:top="538" w:right="473" w:bottom="449" w:left="484" w:header="292" w:footer="303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ind w:left="267"/>
        <w:spacing w:before="71" w:line="208" w:lineRule="auto"/>
        <w:rPr>
          <w:rFonts w:ascii="PingFang SC" w:hAnsi="PingFang SC" w:eastAsia="PingFang SC" w:cs="PingFang SC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1E40AF"/>
          <w:spacing w:val="14"/>
        </w:rPr>
        <w:t>ū</w:t>
      </w:r>
      <w:r>
        <w:rPr>
          <w:rFonts w:ascii="Arial" w:hAnsi="Arial" w:eastAsia="Arial" w:cs="Arial"/>
          <w:sz w:val="27"/>
          <w:szCs w:val="27"/>
          <w:color w:val="1E40AF"/>
          <w:spacing w:val="71"/>
        </w:rPr>
        <w:t xml:space="preserve"> </w:t>
      </w:r>
      <w:r>
        <w:rPr>
          <w:rFonts w:ascii="PingFang SC" w:hAnsi="PingFang SC" w:eastAsia="PingFang SC" w:cs="PingFang SC"/>
          <w:sz w:val="27"/>
          <w:szCs w:val="27"/>
          <w:color w:val="1E40AF"/>
          <w:spacing w:val="14"/>
        </w:rPr>
        <w:t>量化诊断指标表</w:t>
      </w:r>
    </w:p>
    <w:p>
      <w:pPr>
        <w:ind w:firstLine="265"/>
        <w:spacing w:before="43" w:line="30" w:lineRule="exact"/>
        <w:rPr/>
      </w:pPr>
      <w:r>
        <w:rPr/>
        <w:drawing>
          <wp:inline distT="0" distB="0" distL="0" distR="0">
            <wp:extent cx="6619875" cy="190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9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" w:lineRule="exact"/>
        <w:rPr/>
      </w:pPr>
      <w:r/>
    </w:p>
    <w:tbl>
      <w:tblPr>
        <w:tblStyle w:val="TableNormal"/>
        <w:tblW w:w="10409" w:type="dxa"/>
        <w:tblInd w:w="272" w:type="dxa"/>
        <w:tblLayout w:type="fixed"/>
        <w:tblBorders>
          <w:top w:val="single" w:color="E5E7EB" w:sz="6" w:space="0"/>
          <w:left w:val="single" w:color="E5E7EB" w:sz="6" w:space="0"/>
          <w:bottom w:val="single" w:color="E5E7EB" w:sz="6" w:space="0"/>
          <w:right w:val="single" w:color="E5E7EB" w:sz="6" w:space="0"/>
          <w:insideH w:val="single" w:color="E5E7EB" w:sz="6" w:space="0"/>
          <w:insideV w:val="single" w:color="E5E7EB" w:sz="6" w:space="0"/>
        </w:tblBorders>
      </w:tblPr>
      <w:tblGrid>
        <w:gridCol w:w="1056"/>
        <w:gridCol w:w="2067"/>
        <w:gridCol w:w="1048"/>
        <w:gridCol w:w="1033"/>
        <w:gridCol w:w="5205"/>
      </w:tblGrid>
      <w:tr>
        <w:trPr>
          <w:trHeight w:val="502" w:hRule="atLeast"/>
        </w:trPr>
        <w:tc>
          <w:tcPr>
            <w:shd w:val="clear" w:fill="1E40AF"/>
            <w:tcW w:w="1056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pStyle w:val="TableText"/>
              <w:ind w:left="132"/>
              <w:spacing w:before="159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4"/>
              </w:rPr>
              <w:t>板块</w:t>
            </w:r>
          </w:p>
        </w:tc>
        <w:tc>
          <w:tcPr>
            <w:shd w:val="clear" w:fill="1E40AF"/>
            <w:tcW w:w="2067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pStyle w:val="TableText"/>
              <w:ind w:left="115"/>
              <w:spacing w:before="160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6"/>
              </w:rPr>
              <w:t>核心指标</w:t>
            </w:r>
          </w:p>
        </w:tc>
        <w:tc>
          <w:tcPr>
            <w:shd w:val="clear" w:fill="1E40AF"/>
            <w:tcW w:w="1048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pStyle w:val="TableText"/>
              <w:ind w:left="127"/>
              <w:spacing w:before="160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6"/>
              </w:rPr>
              <w:t>健康基线</w:t>
            </w:r>
          </w:p>
        </w:tc>
        <w:tc>
          <w:tcPr>
            <w:shd w:val="clear" w:fill="1E40AF"/>
            <w:tcW w:w="1033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pStyle w:val="TableText"/>
              <w:ind w:left="120"/>
              <w:spacing w:before="159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5"/>
              </w:rPr>
              <w:t>预警线</w:t>
            </w:r>
          </w:p>
        </w:tc>
        <w:tc>
          <w:tcPr>
            <w:shd w:val="clear" w:fill="1E40AF"/>
            <w:tcW w:w="5205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pStyle w:val="TableText"/>
              <w:ind w:left="126"/>
              <w:spacing w:before="160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5"/>
              </w:rPr>
              <w:t>诊断方法</w:t>
            </w:r>
          </w:p>
        </w:tc>
      </w:tr>
      <w:tr>
        <w:trPr>
          <w:trHeight w:val="824" w:hRule="atLeast"/>
        </w:trPr>
        <w:tc>
          <w:tcPr>
            <w:tcW w:w="1056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firstLine="120"/>
              <w:spacing w:before="113" w:line="585" w:lineRule="exact"/>
              <w:rPr/>
            </w:pPr>
            <w:r>
              <w:rPr>
                <w:position w:val="-11"/>
              </w:rPr>
              <w:pict>
                <v:shape id="_x0000_s14" style="mso-position-vertical-relative:line;mso-position-horizontal-relative:char;width:39.75pt;height:29.25pt;" fillcolor="#FEE2E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2" w:right="203" w:hanging="4"/>
                          <w:spacing w:before="69" w:line="24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B91C1C"/>
                            <w:spacing w:val="4"/>
                          </w:rPr>
                          <w:t>①成本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B91C1C"/>
                            <w:spacing w:val="1"/>
                          </w:rPr>
                          <w:t>结构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67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left="122" w:right="362" w:hanging="7"/>
              <w:spacing w:before="174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人效比（</w:t>
            </w:r>
            <w:r>
              <w:rPr>
                <w:sz w:val="18"/>
                <w:szCs w:val="18"/>
                <w:color w:val="374151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Revenue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5"/>
              </w:rPr>
              <w:t>HC</w:t>
            </w:r>
            <w:r>
              <w:rPr>
                <w:sz w:val="18"/>
                <w:szCs w:val="18"/>
                <w:color w:val="374151"/>
                <w:spacing w:val="-5"/>
              </w:rPr>
              <w:t>）</w:t>
            </w:r>
          </w:p>
        </w:tc>
        <w:tc>
          <w:tcPr>
            <w:tcW w:w="1048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left="136"/>
              <w:spacing w:before="175" w:line="20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9"/>
              </w:rPr>
              <w:t>≥</w:t>
            </w:r>
            <w:r>
              <w:rPr>
                <w:sz w:val="18"/>
                <w:szCs w:val="18"/>
                <w:color w:val="374151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9"/>
              </w:rPr>
              <w:t>1.5x</w:t>
            </w:r>
          </w:p>
        </w:tc>
        <w:tc>
          <w:tcPr>
            <w:tcW w:w="1033" w:type="dxa"/>
            <w:vAlign w:val="top"/>
            <w:tcBorders>
              <w:top w:val="single" w:color="1E3A8A" w:sz="6" w:space="0"/>
            </w:tcBorders>
          </w:tcPr>
          <w:p>
            <w:pPr>
              <w:ind w:left="122"/>
              <w:spacing w:before="175" w:line="22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7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7"/>
              </w:rPr>
              <w:t>1.2x</w:t>
            </w:r>
          </w:p>
        </w:tc>
        <w:tc>
          <w:tcPr>
            <w:tcW w:w="5205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left="127"/>
              <w:spacing w:before="173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</w:rPr>
              <w:t>对标行业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P50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4"/>
              </w:rPr>
              <w:t xml:space="preserve"> </w:t>
            </w:r>
            <w:r>
              <w:rPr>
                <w:sz w:val="18"/>
                <w:szCs w:val="18"/>
                <w:color w:val="374151"/>
              </w:rPr>
              <w:t>，计算全员产出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</w:rPr>
              <w:t>全员成本</w:t>
            </w:r>
          </w:p>
        </w:tc>
      </w:tr>
      <w:tr>
        <w:trPr>
          <w:trHeight w:val="524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22"/>
              <w:spacing w:before="174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3"/>
              </w:rPr>
              <w:t>隐性成本占比</w:t>
            </w:r>
          </w:p>
        </w:tc>
        <w:tc>
          <w:tcPr>
            <w:tcW w:w="1048" w:type="dxa"/>
            <w:vAlign w:val="top"/>
          </w:tcPr>
          <w:p>
            <w:pPr>
              <w:ind w:left="130"/>
              <w:spacing w:before="176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5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5"/>
              </w:rPr>
              <w:t>40%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76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60%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56"/>
              <w:spacing w:before="17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（管理成本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+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平台抽成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+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机会成本）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总人力成本</w:t>
            </w:r>
          </w:p>
        </w:tc>
      </w:tr>
      <w:tr>
        <w:trPr>
          <w:trHeight w:val="824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9"/>
              <w:spacing w:before="174" w:line="18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3"/>
              </w:rPr>
              <w:t>单位人力成本</w:t>
            </w:r>
            <w:r>
              <w:rPr>
                <w:sz w:val="18"/>
                <w:szCs w:val="18"/>
                <w:color w:val="374151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ROI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6"/>
              <w:spacing w:before="176" w:line="20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2"/>
              </w:rPr>
              <w:t>≥</w:t>
            </w:r>
            <w:r>
              <w:rPr>
                <w:sz w:val="18"/>
                <w:szCs w:val="18"/>
                <w:color w:val="374151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"/>
              </w:rPr>
              <w:t>200%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77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150%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25"/>
              <w:spacing w:before="175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领先指标：关键业务节点交付周期缩短率</w:t>
            </w:r>
          </w:p>
          <w:p>
            <w:pPr>
              <w:pStyle w:val="TableText"/>
              <w:ind w:left="129"/>
              <w:spacing w:before="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滞后验证</w:t>
            </w:r>
            <w:r>
              <w:rPr>
                <w:sz w:val="18"/>
                <w:szCs w:val="18"/>
                <w:color w:val="374151"/>
                <w:spacing w:val="-37"/>
              </w:rPr>
              <w:t>：（</w:t>
            </w:r>
            <w:r>
              <w:rPr>
                <w:sz w:val="18"/>
                <w:szCs w:val="18"/>
                <w:color w:val="374151"/>
                <w:spacing w:val="-1"/>
              </w:rPr>
              <w:t>产出增量 一 人力成本增量）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人力成本增量</w:t>
            </w:r>
          </w:p>
        </w:tc>
      </w:tr>
      <w:tr>
        <w:trPr>
          <w:trHeight w:val="1093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21" w:right="273" w:hanging="12"/>
              <w:spacing w:before="176" w:line="230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AI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杠杆率（人机协作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8"/>
              </w:rPr>
              <w:t>ROI</w:t>
            </w:r>
            <w:r>
              <w:rPr>
                <w:sz w:val="18"/>
                <w:szCs w:val="18"/>
                <w:color w:val="374151"/>
                <w:spacing w:val="-8"/>
              </w:rPr>
              <w:t>）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6"/>
              <w:spacing w:before="178" w:line="20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9"/>
              </w:rPr>
              <w:t>≥</w:t>
            </w:r>
            <w:r>
              <w:rPr>
                <w:sz w:val="18"/>
                <w:szCs w:val="18"/>
                <w:color w:val="374151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9"/>
              </w:rPr>
              <w:t>1.0x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78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0.5x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39" w:right="170" w:firstLine="17"/>
              <w:spacing w:before="176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2"/>
              </w:rPr>
              <w:t>（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AI</w:t>
            </w:r>
            <w:r>
              <w:rPr>
                <w:sz w:val="18"/>
                <w:szCs w:val="18"/>
                <w:color w:val="374151"/>
                <w:spacing w:val="-2"/>
              </w:rPr>
              <w:t>工具引入后单位人力产出 一 引入前）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2"/>
              </w:rPr>
              <w:t>引入前单位人力产</w:t>
            </w:r>
            <w:r>
              <w:rPr>
                <w:sz w:val="18"/>
                <w:szCs w:val="18"/>
                <w:color w:val="374151"/>
              </w:rPr>
              <w:t>出</w:t>
            </w:r>
          </w:p>
          <w:p>
            <w:pPr>
              <w:pStyle w:val="TableText"/>
              <w:ind w:left="225"/>
              <w:spacing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B7280"/>
                <w:spacing w:val="-3"/>
              </w:rPr>
              <w:t>(</w:t>
            </w:r>
            <w:r>
              <w:rPr>
                <w:sz w:val="15"/>
                <w:szCs w:val="15"/>
                <w:color w:val="6B7280"/>
                <w:spacing w:val="-21"/>
              </w:rPr>
              <w:t xml:space="preserve"> </w:t>
            </w:r>
            <w:r>
              <w:rPr>
                <w:sz w:val="15"/>
                <w:szCs w:val="15"/>
                <w:color w:val="6B7280"/>
                <w:spacing w:val="-3"/>
              </w:rPr>
              <w:t>≥</w:t>
            </w:r>
            <w:r>
              <w:rPr>
                <w:rFonts w:ascii="Arial" w:hAnsi="Arial" w:eastAsia="Arial" w:cs="Arial"/>
                <w:sz w:val="15"/>
                <w:szCs w:val="15"/>
                <w:color w:val="6B7280"/>
                <w:spacing w:val="-3"/>
              </w:rPr>
              <w:t>1.0x</w:t>
            </w:r>
            <w:r>
              <w:rPr>
                <w:rFonts w:ascii="Arial" w:hAnsi="Arial" w:eastAsia="Arial" w:cs="Arial"/>
                <w:sz w:val="15"/>
                <w:szCs w:val="15"/>
                <w:color w:val="6B7280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6B7280"/>
                <w:spacing w:val="-3"/>
              </w:rPr>
              <w:t>即引入后单位人力产出至少翻倍）</w:t>
            </w:r>
          </w:p>
        </w:tc>
      </w:tr>
      <w:tr>
        <w:trPr>
          <w:trHeight w:val="839" w:hRule="atLeast"/>
        </w:trPr>
        <w:tc>
          <w:tcPr>
            <w:tcW w:w="1056" w:type="dxa"/>
            <w:vAlign w:val="top"/>
          </w:tcPr>
          <w:p>
            <w:pPr>
              <w:pStyle w:val="TableText"/>
              <w:ind w:firstLine="120"/>
              <w:spacing w:before="117" w:line="600" w:lineRule="exact"/>
              <w:rPr/>
            </w:pPr>
            <w:r>
              <w:rPr>
                <w:position w:val="-12"/>
              </w:rPr>
              <w:pict>
                <v:shape id="_x0000_s16" style="mso-position-vertical-relative:line;mso-position-horizontal-relative:char;width:39.75pt;height:30pt;" fillcolor="#FEF3C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9" w:right="203" w:hanging="1"/>
                          <w:spacing w:before="69" w:line="24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92400E"/>
                            <w:spacing w:val="4"/>
                          </w:rPr>
                          <w:t>②组织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92400E"/>
                            <w:spacing w:val="3"/>
                          </w:rPr>
                          <w:t>效能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5"/>
              <w:spacing w:before="177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裁员后效能谷底时长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0"/>
              <w:spacing w:before="179" w:line="19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3</w:t>
            </w:r>
            <w:r>
              <w:rPr>
                <w:sz w:val="18"/>
                <w:szCs w:val="18"/>
                <w:color w:val="374151"/>
                <w:spacing w:val="-2"/>
              </w:rPr>
              <w:t>个月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122"/>
              <w:spacing w:before="179" w:line="19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6</w:t>
            </w:r>
            <w:r>
              <w:rPr>
                <w:sz w:val="18"/>
                <w:szCs w:val="18"/>
                <w:color w:val="374151"/>
                <w:spacing w:val="-2"/>
              </w:rPr>
              <w:t>个月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29"/>
              <w:spacing w:before="178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追踪幸存者人均产出，找到谷底拐点</w:t>
            </w:r>
          </w:p>
        </w:tc>
      </w:tr>
      <w:tr>
        <w:trPr>
          <w:trHeight w:val="809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6"/>
              <w:spacing w:before="17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2"/>
              </w:rPr>
              <w:t>协作熵值变化</w:t>
            </w:r>
          </w:p>
        </w:tc>
        <w:tc>
          <w:tcPr>
            <w:tcW w:w="1048" w:type="dxa"/>
            <w:vAlign w:val="top"/>
          </w:tcPr>
          <w:p>
            <w:pPr>
              <w:ind w:left="130"/>
              <w:spacing w:before="181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4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4"/>
              </w:rPr>
              <w:t>+10%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1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+30%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47" w:right="270" w:hanging="21"/>
              <w:spacing w:before="178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2"/>
              </w:rPr>
              <w:t>飞书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"/>
              </w:rPr>
              <w:t>/</w:t>
            </w:r>
            <w:r>
              <w:rPr>
                <w:sz w:val="18"/>
                <w:szCs w:val="18"/>
                <w:color w:val="374151"/>
                <w:spacing w:val="2"/>
              </w:rPr>
              <w:t>钉钉后台导出：单项目平均拉群数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6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2"/>
              </w:rPr>
              <w:t>跨部门会议日历周</w:t>
            </w:r>
            <w:r>
              <w:rPr>
                <w:sz w:val="18"/>
                <w:szCs w:val="18"/>
                <w:color w:val="374151"/>
                <w:spacing w:val="-15"/>
              </w:rPr>
              <w:t>占比</w:t>
            </w:r>
          </w:p>
        </w:tc>
      </w:tr>
      <w:tr>
        <w:trPr>
          <w:trHeight w:val="809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6"/>
              <w:spacing w:before="17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数字资产留存度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6"/>
              <w:spacing w:before="181" w:line="20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2"/>
              </w:rPr>
              <w:t>≥</w:t>
            </w:r>
            <w:r>
              <w:rPr>
                <w:sz w:val="18"/>
                <w:szCs w:val="18"/>
                <w:color w:val="374151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"/>
              </w:rPr>
              <w:t>80%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2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50%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27" w:right="259" w:firstLine="5"/>
              <w:spacing w:before="179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离职员工经验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AI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6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向量化留存率：已归档知识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1"/>
              </w:rPr>
              <w:t>关键岗位知识</w:t>
            </w:r>
            <w:r>
              <w:rPr>
                <w:sz w:val="18"/>
                <w:szCs w:val="18"/>
                <w:color w:val="374151"/>
                <w:spacing w:val="-4"/>
              </w:rPr>
              <w:t>总量</w:t>
            </w:r>
          </w:p>
        </w:tc>
      </w:tr>
      <w:tr>
        <w:trPr>
          <w:trHeight w:val="824" w:hRule="atLeast"/>
        </w:trPr>
        <w:tc>
          <w:tcPr>
            <w:tcW w:w="1056" w:type="dxa"/>
            <w:vAlign w:val="top"/>
          </w:tcPr>
          <w:p>
            <w:pPr>
              <w:pStyle w:val="TableText"/>
              <w:ind w:firstLine="120"/>
              <w:spacing w:before="120" w:line="585" w:lineRule="exact"/>
              <w:rPr/>
            </w:pPr>
            <w:r>
              <w:rPr>
                <w:position w:val="-11"/>
              </w:rPr>
              <w:pict>
                <v:shape id="_x0000_s18" style="mso-position-vertical-relative:line;mso-position-horizontal-relative:char;width:39.75pt;height:29.25pt;" fillcolor="#EDE9FE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4" w:right="203" w:hanging="6"/>
                          <w:spacing w:before="68" w:line="24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5B21B6"/>
                            <w:spacing w:val="4"/>
                          </w:rPr>
                          <w:t>③人才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5B21B6"/>
                          </w:rPr>
                          <w:t>密度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7"/>
              <w:spacing w:before="18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2"/>
              </w:rPr>
              <w:t>净人才密度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6"/>
              <w:spacing w:before="182" w:line="20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1"/>
              </w:rPr>
              <w:t>≥</w:t>
            </w:r>
            <w:r>
              <w:rPr>
                <w:sz w:val="18"/>
                <w:szCs w:val="18"/>
                <w:color w:val="374151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"/>
              </w:rPr>
              <w:t>35%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3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25%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30"/>
              <w:spacing w:before="18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4"/>
              </w:rPr>
              <w:t>高绩效人数（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Top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buckets</w:t>
            </w:r>
            <w:r>
              <w:rPr>
                <w:sz w:val="18"/>
                <w:szCs w:val="18"/>
                <w:color w:val="374151"/>
                <w:spacing w:val="4"/>
              </w:rPr>
              <w:t>）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4"/>
              </w:rPr>
              <w:t>总人数</w:t>
            </w:r>
          </w:p>
        </w:tc>
      </w:tr>
      <w:tr>
        <w:trPr>
          <w:trHeight w:val="539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9"/>
              <w:spacing w:before="18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2"/>
              </w:rPr>
              <w:t>高绩效主动离职率</w:t>
            </w:r>
          </w:p>
        </w:tc>
        <w:tc>
          <w:tcPr>
            <w:tcW w:w="1048" w:type="dxa"/>
            <w:vAlign w:val="top"/>
          </w:tcPr>
          <w:p>
            <w:pPr>
              <w:ind w:left="130"/>
              <w:spacing w:before="184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8%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4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5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5"/>
              </w:rPr>
              <w:t>15%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30"/>
              <w:spacing w:before="18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1"/>
              </w:rPr>
              <w:t>高绩效员工主动离职数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1"/>
              </w:rPr>
              <w:t>高绩效总数</w:t>
            </w:r>
          </w:p>
        </w:tc>
      </w:tr>
      <w:tr>
        <w:trPr>
          <w:trHeight w:val="809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22"/>
              <w:spacing w:before="183" w:line="18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P90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P50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3"/>
              </w:rPr>
              <w:t>产出比</w:t>
            </w:r>
          </w:p>
        </w:tc>
        <w:tc>
          <w:tcPr>
            <w:tcW w:w="1048" w:type="dxa"/>
            <w:vAlign w:val="top"/>
          </w:tcPr>
          <w:p>
            <w:pPr>
              <w:ind w:left="130"/>
              <w:spacing w:before="185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</w:rPr>
              <w:t>2.5x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5" w:line="22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4x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29"/>
              <w:spacing w:before="18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</w:rPr>
              <w:t>顶尖人才产出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9"/>
              </w:rPr>
              <w:t xml:space="preserve"> </w:t>
            </w:r>
            <w:r>
              <w:rPr>
                <w:sz w:val="18"/>
                <w:szCs w:val="18"/>
                <w:color w:val="374151"/>
              </w:rPr>
              <w:t>中位人才产出</w:t>
            </w:r>
          </w:p>
          <w:p>
            <w:pPr>
              <w:pStyle w:val="TableText"/>
              <w:ind w:left="150"/>
              <w:spacing w:before="45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B7280"/>
                <w:spacing w:val="-3"/>
              </w:rPr>
              <w:t>（越大表示人才密度越不均匀）</w:t>
            </w:r>
          </w:p>
        </w:tc>
      </w:tr>
      <w:tr>
        <w:trPr>
          <w:trHeight w:val="824" w:hRule="atLeast"/>
        </w:trPr>
        <w:tc>
          <w:tcPr>
            <w:tcW w:w="1056" w:type="dxa"/>
            <w:vAlign w:val="top"/>
          </w:tcPr>
          <w:p>
            <w:pPr>
              <w:pStyle w:val="TableText"/>
              <w:ind w:firstLine="120"/>
              <w:spacing w:before="123" w:line="585" w:lineRule="exact"/>
              <w:rPr/>
            </w:pPr>
            <w:r>
              <w:rPr>
                <w:position w:val="-11"/>
              </w:rPr>
              <w:pict>
                <v:shape id="_x0000_s20" style="mso-position-vertical-relative:line;mso-position-horizontal-relative:char;width:39.75pt;height:29.25pt;" fillcolor="#D1FA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4" w:right="203" w:hanging="6"/>
                          <w:spacing w:before="69" w:line="241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065F46"/>
                            <w:spacing w:val="4"/>
                          </w:rPr>
                          <w:t>④流程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065F46"/>
                          </w:rPr>
                          <w:t>冗余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6"/>
              <w:spacing w:before="183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不创造价值步骤占比</w:t>
            </w:r>
          </w:p>
        </w:tc>
        <w:tc>
          <w:tcPr>
            <w:tcW w:w="1048" w:type="dxa"/>
            <w:vAlign w:val="top"/>
          </w:tcPr>
          <w:p>
            <w:pPr>
              <w:ind w:left="130"/>
              <w:spacing w:before="186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20%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6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4"/>
              </w:rPr>
              <w:t>35%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20"/>
              <w:spacing w:before="184" w:line="182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Valueless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Steps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7"/>
              </w:rPr>
              <w:t>/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Total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Steps</w:t>
            </w:r>
            <w:r>
              <w:rPr>
                <w:sz w:val="18"/>
                <w:szCs w:val="18"/>
                <w:color w:val="374151"/>
                <w:spacing w:val="7"/>
              </w:rPr>
              <w:t>（基于价值流映射）</w:t>
            </w:r>
          </w:p>
        </w:tc>
      </w:tr>
      <w:tr>
        <w:trPr>
          <w:trHeight w:val="524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09"/>
              <w:spacing w:before="184" w:line="18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AI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2"/>
              </w:rPr>
              <w:t>可替代流程占比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6"/>
              <w:spacing w:before="186" w:line="20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3"/>
              </w:rPr>
              <w:t>≥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40%</w:t>
            </w:r>
          </w:p>
        </w:tc>
        <w:tc>
          <w:tcPr>
            <w:tcW w:w="1033" w:type="dxa"/>
            <w:vAlign w:val="top"/>
          </w:tcPr>
          <w:p>
            <w:pPr>
              <w:ind w:left="122"/>
              <w:spacing w:before="187" w:line="21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"/>
              </w:rPr>
              <w:t>20%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19"/>
              <w:spacing w:before="184" w:line="195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AI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32"/>
              </w:rPr>
              <w:t xml:space="preserve"> </w:t>
            </w:r>
            <w:r>
              <w:rPr>
                <w:sz w:val="18"/>
                <w:szCs w:val="18"/>
                <w:color w:val="374151"/>
              </w:rPr>
              <w:t>可完全替代的步骤数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</w:rPr>
              <w:t>/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374151"/>
              </w:rPr>
              <w:t>总步骤数</w:t>
            </w:r>
          </w:p>
        </w:tc>
      </w:tr>
      <w:tr>
        <w:trPr>
          <w:trHeight w:val="546" w:hRule="atLeast"/>
        </w:trPr>
        <w:tc>
          <w:tcPr>
            <w:tcW w:w="10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15"/>
              <w:spacing w:before="18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跨部门交接次数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30"/>
              <w:spacing w:before="187" w:line="19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3</w:t>
            </w:r>
            <w:r>
              <w:rPr>
                <w:sz w:val="18"/>
                <w:szCs w:val="18"/>
                <w:color w:val="374151"/>
                <w:spacing w:val="-3"/>
              </w:rPr>
              <w:t>次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122"/>
              <w:spacing w:before="187" w:line="19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&gt;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3"/>
              </w:rPr>
              <w:t>5</w:t>
            </w:r>
            <w:r>
              <w:rPr>
                <w:sz w:val="18"/>
                <w:szCs w:val="18"/>
                <w:color w:val="374151"/>
                <w:spacing w:val="-3"/>
              </w:rPr>
              <w:t>次</w:t>
            </w:r>
          </w:p>
        </w:tc>
        <w:tc>
          <w:tcPr>
            <w:tcW w:w="5205" w:type="dxa"/>
            <w:vAlign w:val="top"/>
          </w:tcPr>
          <w:p>
            <w:pPr>
              <w:pStyle w:val="TableText"/>
              <w:ind w:left="127"/>
              <w:spacing w:before="186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1"/>
              </w:rPr>
              <w:t>端到端流程中跨部门传递的次数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ind w:firstLine="265"/>
        <w:spacing w:line="2310" w:lineRule="exact"/>
        <w:rPr/>
      </w:pPr>
      <w:r>
        <w:rPr>
          <w:position w:val="-46"/>
        </w:rPr>
        <w:pict>
          <v:group id="_x0000_s22" style="mso-position-vertical-relative:line;mso-position-horizontal-relative:char;width:521.25pt;height:115.5pt;" filled="false" stroked="false" coordsize="10425,2310" coordorigin="0,0">
            <v:rect id="_x0000_s24" style="position:absolute;left:37;top:0;width:10388;height:2310;" fillcolor="#EFF6FF" filled="true" stroked="false"/>
            <v:shape id="_x0000_s26" style="position:absolute;left:327;top:246;width:6602;height:17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1" w:lineRule="auto"/>
                      <w:rPr>
                        <w:rFonts w:ascii="PingFang SC" w:hAnsi="PingFang SC" w:eastAsia="PingFang SC" w:cs="PingFang SC"/>
                        <w:sz w:val="22"/>
                        <w:szCs w:val="22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2"/>
                        <w:szCs w:val="22"/>
                        <w:color w:val="1E40AF"/>
                        <w:spacing w:val="2"/>
                      </w:rPr>
                      <w:t>會</w:t>
                    </w:r>
                    <w:r>
                      <w:rPr>
                        <w:rFonts w:ascii="PingFang SC" w:hAnsi="PingFang SC" w:eastAsia="PingFang SC" w:cs="PingFang SC"/>
                        <w:sz w:val="22"/>
                        <w:szCs w:val="22"/>
                        <w:color w:val="1E40AF"/>
                        <w:spacing w:val="64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2"/>
                        <w:szCs w:val="22"/>
                        <w:color w:val="1E40AF"/>
                        <w:spacing w:val="2"/>
                      </w:rPr>
                      <w:t>冰山模型诊断框架</w:t>
                    </w:r>
                    <w:r>
                      <w:rPr>
                        <w:rFonts w:ascii="PingFang SC" w:hAnsi="PingFang SC" w:eastAsia="PingFang SC" w:cs="PingFang SC"/>
                        <w:sz w:val="22"/>
                        <w:szCs w:val="22"/>
                        <w:color w:val="1E40AF"/>
                        <w:spacing w:val="-3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2"/>
                        <w:szCs w:val="22"/>
                        <w:color w:val="1E40AF"/>
                        <w:spacing w:val="2"/>
                      </w:rPr>
                      <w:t>：四步法</w:t>
                    </w:r>
                  </w:p>
                  <w:p>
                    <w:pPr>
                      <w:ind w:left="32" w:right="20"/>
                      <w:spacing w:before="106" w:line="271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第一步【测】：用上表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"/>
                      </w:rPr>
                      <w:t>13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个核心指标对组织做全面体检，标出所有 </w:t>
                    </w:r>
                    <w:r>
                      <w:rPr>
                        <w:sz w:val="18"/>
                        <w:szCs w:val="18"/>
                        <w:color w:val="334155"/>
                      </w:rPr>
                      <w:drawing>
                        <wp:inline distT="0" distB="0" distL="0" distR="0">
                          <wp:extent cx="122872" cy="122872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2872" cy="1228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</w:rPr>
                      <w:t xml:space="preserve"> 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预警项。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</w:rPr>
                      <w:t>第二步【拆】：将预警项拆解为可操作的子指标，分配责任人（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-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</w:rPr>
                      <w:t>DRI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</w:rPr>
                      <w:t>）。</w:t>
                    </w:r>
                  </w:p>
                  <w:p>
                    <w:pPr>
                      <w:ind w:left="32"/>
                      <w:spacing w:line="187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第三步【比】：与行业基线（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"/>
                      </w:rPr>
                      <w:t>P50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"/>
                      </w:rPr>
                      <w:t>P75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）对比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-27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，找到最大差距项。</w:t>
                    </w:r>
                  </w:p>
                  <w:p>
                    <w:pPr>
                      <w:ind w:left="32"/>
                      <w:spacing w:before="104" w:line="187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3"/>
                      </w:rPr>
                      <w:t>第四步【行动】：优先处理「高差距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3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3"/>
                      </w:rPr>
                      <w:t>高可控性J  项，制定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3"/>
                      </w:rPr>
                      <w:t>90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415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334155"/>
                        <w:spacing w:val="2"/>
                      </w:rPr>
                      <w:t>天改进计划。</w:t>
                    </w:r>
                  </w:p>
                </w:txbxContent>
              </v:textbox>
            </v:shape>
            <v:shape id="_x0000_s28" style="position:absolute;left:0;top:0;width:75;height:2310;" filled="false" stroked="false" type="#_x0000_t75">
              <v:imagedata o:title="" r:id="rId13"/>
            </v:shape>
          </v:group>
        </w:pict>
      </w:r>
    </w:p>
    <w:p>
      <w:pPr>
        <w:spacing w:line="2310" w:lineRule="exact"/>
        <w:sectPr>
          <w:footerReference w:type="default" r:id="rId10"/>
          <w:pgSz w:w="11900" w:h="16839"/>
          <w:pgMar w:top="538" w:right="473" w:bottom="449" w:left="484" w:header="292" w:footer="303" w:gutter="0"/>
        </w:sectPr>
        <w:rPr/>
      </w:pPr>
    </w:p>
    <w:p>
      <w:pPr>
        <w:spacing w:line="31" w:lineRule="exact"/>
        <w:rPr/>
      </w:pP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3078286</wp:posOffset>
            </wp:positionH>
            <wp:positionV relativeFrom="page">
              <wp:posOffset>1114425</wp:posOffset>
            </wp:positionV>
            <wp:extent cx="1398463" cy="140969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8463" cy="140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389" w:type="dxa"/>
        <w:tblInd w:w="282" w:type="dxa"/>
        <w:shd w:val="clear" w:fill="F0F9FF"/>
        <w:tblLayout w:type="fixed"/>
        <w:tblBorders>
          <w:top w:val="single" w:color="BFDBFE" w:sz="14" w:space="0"/>
          <w:left w:val="single" w:color="BFDBFE" w:sz="14" w:space="0"/>
          <w:bottom w:val="single" w:color="BFDBFE" w:sz="14" w:space="0"/>
          <w:right w:val="single" w:color="BFDBFE" w:sz="14" w:space="0"/>
          <w:insideH w:val="single" w:color="BFDBFE" w:sz="14" w:space="0"/>
          <w:insideV w:val="single" w:color="BFDBFE" w:sz="14" w:space="0"/>
        </w:tblBorders>
      </w:tblPr>
      <w:tblGrid>
        <w:gridCol w:w="9091"/>
        <w:gridCol w:w="1298"/>
      </w:tblGrid>
      <w:tr>
        <w:trPr>
          <w:trHeight w:val="3740" w:hRule="atLeast"/>
        </w:trPr>
        <w:tc>
          <w:tcPr>
            <w:shd w:val="clear" w:fill="F0F9FF"/>
            <w:tcW w:w="9091" w:type="dxa"/>
            <w:vAlign w:val="top"/>
            <w:tcBorders>
              <w:right w:val="nil"/>
            </w:tcBorders>
          </w:tcPr>
          <w:p>
            <w:pPr>
              <w:pStyle w:val="TableText"/>
              <w:ind w:left="3899"/>
              <w:spacing w:before="321" w:line="207" w:lineRule="auto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E40AF"/>
                <w:spacing w:val="-2"/>
              </w:rPr>
              <w:t>鷗</w:t>
            </w:r>
            <w:r>
              <w:rPr>
                <w:sz w:val="24"/>
                <w:szCs w:val="24"/>
                <w:color w:val="1E40AF"/>
                <w:spacing w:val="73"/>
              </w:rPr>
              <w:t xml:space="preserve"> </w:t>
            </w:r>
            <w:r>
              <w:rPr>
                <w:sz w:val="24"/>
                <w:szCs w:val="24"/>
                <w:color w:val="1E40AF"/>
                <w:spacing w:val="-2"/>
              </w:rPr>
              <w:t>关注 </w:t>
            </w:r>
            <w:r>
              <w:rPr>
                <w:rFonts w:ascii="Arial" w:hAnsi="Arial" w:eastAsia="Arial" w:cs="Arial"/>
                <w:sz w:val="24"/>
                <w:szCs w:val="24"/>
                <w:color w:val="1E40AF"/>
                <w:spacing w:val="-2"/>
              </w:rPr>
              <w:t>AIHR</w:t>
            </w:r>
            <w:r>
              <w:rPr>
                <w:rFonts w:ascii="Arial" w:hAnsi="Arial" w:eastAsia="Arial" w:cs="Arial"/>
                <w:sz w:val="24"/>
                <w:szCs w:val="24"/>
                <w:color w:val="1E40AF"/>
                <w:spacing w:val="22"/>
              </w:rPr>
              <w:t xml:space="preserve"> </w:t>
            </w:r>
            <w:r>
              <w:rPr>
                <w:sz w:val="24"/>
                <w:szCs w:val="24"/>
                <w:color w:val="1E40AF"/>
                <w:spacing w:val="-2"/>
              </w:rPr>
              <w:t>数智引擎</w:t>
            </w:r>
          </w:p>
          <w:p>
            <w:pPr>
              <w:pStyle w:val="TableText"/>
              <w:ind w:left="2464"/>
              <w:spacing w:before="6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475569"/>
                <w:spacing w:val="-2"/>
              </w:rPr>
              <w:t>扫码关注公众号，获取更多 </w:t>
            </w:r>
            <w:r>
              <w:rPr>
                <w:rFonts w:ascii="Arial" w:hAnsi="Arial" w:eastAsia="Arial" w:cs="Arial"/>
                <w:sz w:val="18"/>
                <w:szCs w:val="18"/>
                <w:color w:val="475569"/>
                <w:spacing w:val="-2"/>
              </w:rPr>
              <w:t>AI</w:t>
            </w:r>
            <w:r>
              <w:rPr>
                <w:rFonts w:ascii="Arial" w:hAnsi="Arial" w:eastAsia="Arial" w:cs="Arial"/>
                <w:sz w:val="18"/>
                <w:szCs w:val="18"/>
                <w:color w:val="475569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475569"/>
                <w:spacing w:val="-2"/>
              </w:rPr>
              <w:t>+</w:t>
            </w:r>
            <w:r>
              <w:rPr>
                <w:rFonts w:ascii="Arial" w:hAnsi="Arial" w:eastAsia="Arial" w:cs="Arial"/>
                <w:sz w:val="18"/>
                <w:szCs w:val="18"/>
                <w:color w:val="475569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475569"/>
                <w:spacing w:val="-2"/>
              </w:rPr>
              <w:t>HR</w:t>
            </w:r>
            <w:r>
              <w:rPr>
                <w:rFonts w:ascii="Arial" w:hAnsi="Arial" w:eastAsia="Arial" w:cs="Arial"/>
                <w:sz w:val="18"/>
                <w:szCs w:val="18"/>
                <w:color w:val="475569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475569"/>
                <w:spacing w:val="-2"/>
              </w:rPr>
              <w:t>深度内容、实操工具与行业洞察</w:t>
            </w:r>
          </w:p>
          <w:p>
            <w:pPr>
              <w:spacing w:line="134" w:lineRule="exact"/>
              <w:rPr/>
            </w:pPr>
            <w:r/>
          </w:p>
          <w:tbl>
            <w:tblPr>
              <w:tblStyle w:val="TableNormal"/>
              <w:tblW w:w="2215" w:type="dxa"/>
              <w:tblInd w:w="4062" w:type="dxa"/>
              <w:tblLayout w:type="fixed"/>
              <w:tblBorders>
                <w:left w:val="single" w:color="93C5FD" w:sz="14" w:space="0"/>
                <w:bottom w:val="single" w:color="93C5FD" w:sz="14" w:space="0"/>
                <w:right w:val="single" w:color="93C5FD" w:sz="14" w:space="0"/>
                <w:top w:val="single" w:color="93C5FD" w:sz="14" w:space="0"/>
              </w:tblBorders>
            </w:tblPr>
            <w:tblGrid>
              <w:gridCol w:w="2215"/>
            </w:tblGrid>
            <w:tr>
              <w:trPr>
                <w:trHeight w:val="2180" w:hRule="atLeast"/>
              </w:trPr>
              <w:tc>
                <w:tcPr>
                  <w:tcW w:w="221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9FF"/>
            <w:tcW w:w="1298" w:type="dxa"/>
            <w:vAlign w:val="top"/>
            <w:tcBorders>
              <w:left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firstLine="1203"/>
              <w:spacing w:line="25" w:lineRule="exact"/>
              <w:rPr/>
            </w:pPr>
            <w:r>
              <w:rPr>
                <w:position w:val="-3"/>
              </w:rPr>
              <w:pict>
                <v:shape id="_x0000_s30" style="mso-position-vertical-relative:line;mso-position-horizontal-relative:char;width:3.7pt;height:3pt;" filled="false" strokecolor="#BFDBFE" strokeweight="1.50pt" coordsize="74,60" coordorigin="0,0" path="m58,15c52,21,45,26,38,31c30,36,23,40,15,44e">
                  <v:stroke joinstyle="miter" miterlimit="4"/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4"/>
      <w:pgSz w:w="11900" w:h="16839"/>
      <w:pgMar w:top="538" w:right="473" w:bottom="449" w:left="484" w:header="292" w:footer="30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andyzhang</w:t>
    </w:r>
    <w:r>
      <w:rPr>
        <w:spacing w:val="8"/>
      </w:rPr>
      <w:t>/</w:t>
    </w:r>
    <w:r>
      <w:rPr/>
      <w:t>WorkBuddy</w:t>
    </w:r>
    <w:r>
      <w:rPr>
        <w:spacing w:val="8"/>
      </w:rPr>
      <w:t>/2026-06-03-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19"/>
      </w:rPr>
      <w:t xml:space="preserve"> </w:t>
    </w:r>
    <w:r>
      <w:rPr>
        <w:spacing w:val="8"/>
      </w:rPr>
      <w:t>18/</w:t>
    </w:r>
    <w:r>
      <w:rPr/>
      <w:t>site</w:t>
    </w:r>
    <w:r>
      <w:rPr>
        <w:spacing w:val="8"/>
      </w:rPr>
      <w:t>/</w:t>
    </w:r>
    <w:r>
      <w:rPr/>
      <w:t>assets</w:t>
    </w:r>
    <w:r>
      <w:rPr>
        <w:spacing w:val="8"/>
      </w:rPr>
      <w:t>/</w:t>
    </w:r>
    <w:r>
      <w:rPr/>
      <w:t>iceberg</w:t>
    </w:r>
    <w:r>
      <w:rPr>
        <w:spacing w:val="7"/>
      </w:rPr>
      <w:t>-</w:t>
    </w:r>
    <w:r>
      <w:rPr/>
      <w:t>model</w:t>
    </w:r>
    <w:r>
      <w:rPr>
        <w:spacing w:val="7"/>
      </w:rPr>
      <w:t>.</w:t>
    </w:r>
    <w:r>
      <w:rPr/>
      <w:t>html                                                                                                                                      </w:t>
    </w:r>
    <w:r>
      <w:rPr>
        <w:spacing w:val="7"/>
      </w:rPr>
      <w:t>1/3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andyzhang</w:t>
    </w:r>
    <w:r>
      <w:rPr>
        <w:spacing w:val="8"/>
      </w:rPr>
      <w:t>/</w:t>
    </w:r>
    <w:r>
      <w:rPr/>
      <w:t>WorkBuddy</w:t>
    </w:r>
    <w:r>
      <w:rPr>
        <w:spacing w:val="8"/>
      </w:rPr>
      <w:t>/2026-06-03-</w:t>
    </w:r>
    <w:r>
      <w:rPr>
        <w:spacing w:val="-12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18/</w:t>
    </w:r>
    <w:r>
      <w:rPr/>
      <w:t>site</w:t>
    </w:r>
    <w:r>
      <w:rPr>
        <w:spacing w:val="8"/>
      </w:rPr>
      <w:t>/</w:t>
    </w:r>
    <w:r>
      <w:rPr/>
      <w:t>assets</w:t>
    </w:r>
    <w:r>
      <w:rPr>
        <w:spacing w:val="8"/>
      </w:rPr>
      <w:t>/</w:t>
    </w:r>
    <w:r>
      <w:rPr/>
      <w:t>iceberg</w:t>
    </w:r>
    <w:r>
      <w:rPr>
        <w:spacing w:val="8"/>
      </w:rPr>
      <w:t>-</w:t>
    </w:r>
    <w:r>
      <w:rPr/>
      <w:t>model</w:t>
    </w:r>
    <w:r>
      <w:rPr>
        <w:spacing w:val="8"/>
      </w:rPr>
      <w:t>.</w:t>
    </w:r>
    <w:r>
      <w:rPr/>
      <w:t>html                                                                                                                                      </w:t>
    </w:r>
    <w:r>
      <w:rPr>
        <w:spacing w:val="8"/>
      </w:rPr>
      <w:t>2/3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andyzhang</w:t>
    </w:r>
    <w:r>
      <w:rPr>
        <w:spacing w:val="8"/>
      </w:rPr>
      <w:t>/</w:t>
    </w:r>
    <w:r>
      <w:rPr/>
      <w:t>WorkBuddy</w:t>
    </w:r>
    <w:r>
      <w:rPr>
        <w:spacing w:val="8"/>
      </w:rPr>
      <w:t>/2026-06-03-</w:t>
    </w:r>
    <w:r>
      <w:rPr>
        <w:spacing w:val="-14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18/</w:t>
    </w:r>
    <w:r>
      <w:rPr/>
      <w:t>site</w:t>
    </w:r>
    <w:r>
      <w:rPr>
        <w:spacing w:val="8"/>
      </w:rPr>
      <w:t>/</w:t>
    </w:r>
    <w:r>
      <w:rPr/>
      <w:t>assets</w:t>
    </w:r>
    <w:r>
      <w:rPr>
        <w:spacing w:val="8"/>
      </w:rPr>
      <w:t>/</w:t>
    </w:r>
    <w:r>
      <w:rPr/>
      <w:t>iceberg</w:t>
    </w:r>
    <w:r>
      <w:rPr>
        <w:spacing w:val="8"/>
      </w:rPr>
      <w:t>-</w:t>
    </w:r>
    <w:r>
      <w:rPr/>
      <w:t>model</w:t>
    </w:r>
    <w:r>
      <w:rPr>
        <w:spacing w:val="8"/>
      </w:rPr>
      <w:t>.</w:t>
    </w:r>
    <w:r>
      <w:rPr/>
      <w:t>html                                                                                                                                      </w:t>
    </w:r>
    <w:r>
      <w:rPr>
        <w:spacing w:val="8"/>
      </w:rPr>
      <w:t>3/3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4" w:line="168" w:lineRule="auto"/>
      <w:rPr>
        <w:rFonts w:ascii="PingFang SC" w:hAnsi="PingFang SC" w:eastAsia="PingFang SC" w:cs="PingFang SC"/>
      </w:rPr>
    </w:pPr>
    <w:r>
      <w:rPr>
        <w:spacing w:val="6"/>
        <w:position w:val="1"/>
      </w:rPr>
      <w:t>2026/6/5 20:21</w:t>
    </w:r>
    <w:r>
      <w:rPr>
        <w:spacing w:val="1"/>
        <w:position w:val="1"/>
      </w:rPr>
      <w:t xml:space="preserve">                            </w:t>
    </w:r>
    <w:r>
      <w:rPr>
        <w:position w:val="1"/>
      </w:rPr>
      <w:t xml:space="preserve">                                                                      </w:t>
    </w:r>
    <w:r>
      <w:rPr>
        <w:rFonts w:ascii="PingFang SC" w:hAnsi="PingFang SC" w:eastAsia="PingFang SC" w:cs="PingFang SC"/>
        <w:spacing w:val="6"/>
      </w:rPr>
      <w:t>降本增效冰山模型 </w:t>
    </w:r>
    <w:r>
      <w:rPr>
        <w:spacing w:val="6"/>
      </w:rPr>
      <w:t>· </w:t>
    </w:r>
    <w:r>
      <w:rPr/>
      <w:t>AI</w:t>
    </w:r>
    <w:r>
      <w:rPr>
        <w:rFonts w:ascii="PingFang SC" w:hAnsi="PingFang SC" w:eastAsia="PingFang SC" w:cs="PingFang SC"/>
        <w:spacing w:val="6"/>
      </w:rPr>
      <w:t>时</w:t>
    </w:r>
    <w:r>
      <w:rPr>
        <w:rFonts w:ascii="PingFang SC" w:hAnsi="PingFang SC" w:eastAsia="PingFang SC" w:cs="PingFang SC"/>
        <w:spacing w:val="5"/>
      </w:rPr>
      <w:t>代版 </w:t>
    </w:r>
    <w:r>
      <w:rPr>
        <w:spacing w:val="5"/>
      </w:rPr>
      <w:t>| </w:t>
    </w:r>
    <w:r>
      <w:rPr/>
      <w:t>AIHR</w:t>
    </w:r>
    <w:r>
      <w:rPr>
        <w:rFonts w:ascii="PingFang SC" w:hAnsi="PingFang SC" w:eastAsia="PingFang SC" w:cs="PingFang SC"/>
        <w:spacing w:val="5"/>
      </w:rPr>
      <w:t>数智引擎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11.png"/><Relationship Id="rId14" Type="http://schemas.openxmlformats.org/officeDocument/2006/relationships/footer" Target="footer3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HeadlessChrome/149.0.0.0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降本增效冰山模型 · AI时代版 | AIHR数智引擎</dc:title>
  <dcterms:created xsi:type="dcterms:W3CDTF">2026-06-05T12:21:49Z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2026-06-05T20:22:39</vt:filetime>
  </property>
</Properties>
</file>