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44" w:lineRule="auto"/>
        <w:rPr>
          <w:rFonts w:ascii="Arial"/>
          <w:sz w:val="21"/>
        </w:rPr>
      </w:pPr>
      <w:r/>
    </w:p>
    <w:p>
      <w:pPr>
        <w:ind w:left="2226"/>
        <w:spacing w:before="191" w:line="208" w:lineRule="auto"/>
        <w:outlineLvl w:val="0"/>
        <w:rPr>
          <w:rFonts w:ascii="PingFang SC" w:hAnsi="PingFang SC" w:eastAsia="PingFang SC" w:cs="PingFang SC"/>
          <w:sz w:val="42"/>
          <w:szCs w:val="42"/>
        </w:rPr>
      </w:pPr>
      <w:r>
        <w:rPr>
          <w:rFonts w:ascii="PingFang SC" w:hAnsi="PingFang SC" w:eastAsia="PingFang SC" w:cs="PingFang SC"/>
          <w:sz w:val="42"/>
          <w:szCs w:val="42"/>
          <w:color w:val="1E40AF"/>
          <w:spacing w:val="7"/>
        </w:rPr>
        <w:t>砬</w:t>
      </w:r>
      <w:r>
        <w:rPr>
          <w:rFonts w:ascii="PingFang SC" w:hAnsi="PingFang SC" w:eastAsia="PingFang SC" w:cs="PingFang SC"/>
          <w:sz w:val="42"/>
          <w:szCs w:val="42"/>
          <w:color w:val="1E40AF"/>
          <w:spacing w:val="61"/>
        </w:rPr>
        <w:t xml:space="preserve"> </w:t>
      </w:r>
      <w:r>
        <w:rPr>
          <w:rFonts w:ascii="PingFang SC" w:hAnsi="PingFang SC" w:eastAsia="PingFang SC" w:cs="PingFang SC"/>
          <w:sz w:val="42"/>
          <w:szCs w:val="42"/>
          <w:color w:val="1E40AF"/>
          <w:spacing w:val="7"/>
        </w:rPr>
        <w:t>降本增效冰山模型</w:t>
      </w:r>
      <w:r>
        <w:rPr>
          <w:rFonts w:ascii="PingFang SC" w:hAnsi="PingFang SC" w:eastAsia="PingFang SC" w:cs="PingFang SC"/>
          <w:sz w:val="42"/>
          <w:szCs w:val="42"/>
          <w:color w:val="1E40AF"/>
          <w:spacing w:val="102"/>
        </w:rPr>
        <w:t xml:space="preserve"> </w:t>
      </w:r>
      <w:r>
        <w:rPr>
          <w:rFonts w:ascii="Arial" w:hAnsi="Arial" w:eastAsia="Arial" w:cs="Arial"/>
          <w:sz w:val="42"/>
          <w:szCs w:val="42"/>
          <w:color w:val="1E40AF"/>
          <w:spacing w:val="7"/>
        </w:rPr>
        <w:t>·</w:t>
      </w:r>
      <w:r>
        <w:rPr>
          <w:rFonts w:ascii="Arial" w:hAnsi="Arial" w:eastAsia="Arial" w:cs="Arial"/>
          <w:sz w:val="42"/>
          <w:szCs w:val="42"/>
          <w:color w:val="1E40AF"/>
          <w:spacing w:val="53"/>
        </w:rPr>
        <w:t xml:space="preserve"> </w:t>
      </w:r>
      <w:r>
        <w:rPr>
          <w:rFonts w:ascii="Arial" w:hAnsi="Arial" w:eastAsia="Arial" w:cs="Arial"/>
          <w:sz w:val="42"/>
          <w:szCs w:val="42"/>
          <w:color w:val="1E40AF"/>
        </w:rPr>
        <w:t>AI</w:t>
      </w:r>
      <w:r>
        <w:rPr>
          <w:rFonts w:ascii="Arial" w:hAnsi="Arial" w:eastAsia="Arial" w:cs="Arial"/>
          <w:sz w:val="42"/>
          <w:szCs w:val="42"/>
          <w:color w:val="1E40AF"/>
          <w:spacing w:val="81"/>
        </w:rPr>
        <w:t xml:space="preserve"> </w:t>
      </w:r>
      <w:r>
        <w:rPr>
          <w:rFonts w:ascii="PingFang SC" w:hAnsi="PingFang SC" w:eastAsia="PingFang SC" w:cs="PingFang SC"/>
          <w:sz w:val="42"/>
          <w:szCs w:val="42"/>
          <w:color w:val="1E40AF"/>
          <w:spacing w:val="7"/>
        </w:rPr>
        <w:t>时代版</w:t>
      </w:r>
    </w:p>
    <w:p>
      <w:pPr>
        <w:ind w:left="692"/>
        <w:spacing w:before="119" w:line="185" w:lineRule="auto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color w:val="4B5563"/>
          <w:spacing w:val="2"/>
        </w:rPr>
        <w:t>超越传统「裁员加减法J</w:t>
      </w:r>
      <w:r>
        <w:rPr>
          <w:rFonts w:ascii="PingFang SC" w:hAnsi="PingFang SC" w:eastAsia="PingFang SC" w:cs="PingFang SC"/>
          <w:sz w:val="22"/>
          <w:szCs w:val="22"/>
          <w:color w:val="4B5563"/>
          <w:spacing w:val="-1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color w:val="4B5563"/>
          <w:spacing w:val="2"/>
        </w:rPr>
        <w:t>。底层融入 </w:t>
      </w:r>
      <w:r>
        <w:rPr>
          <w:rFonts w:ascii="Arial" w:hAnsi="Arial" w:eastAsia="Arial" w:cs="Arial"/>
          <w:sz w:val="22"/>
          <w:szCs w:val="22"/>
          <w:color w:val="4B5563"/>
        </w:rPr>
        <w:t>AI</w:t>
      </w:r>
      <w:r>
        <w:rPr>
          <w:rFonts w:ascii="Arial" w:hAnsi="Arial" w:eastAsia="Arial" w:cs="Arial"/>
          <w:sz w:val="22"/>
          <w:szCs w:val="22"/>
          <w:color w:val="4B5563"/>
          <w:spacing w:val="23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color w:val="4B5563"/>
          <w:spacing w:val="2"/>
        </w:rPr>
        <w:t>杠杆率、数字资产留存度等 </w:t>
      </w:r>
      <w:r>
        <w:rPr>
          <w:rFonts w:ascii="Arial" w:hAnsi="Arial" w:eastAsia="Arial" w:cs="Arial"/>
          <w:sz w:val="22"/>
          <w:szCs w:val="22"/>
          <w:color w:val="4B5563"/>
        </w:rPr>
        <w:t>AI</w:t>
      </w:r>
      <w:r>
        <w:rPr>
          <w:rFonts w:ascii="Arial" w:hAnsi="Arial" w:eastAsia="Arial" w:cs="Arial"/>
          <w:sz w:val="22"/>
          <w:szCs w:val="22"/>
          <w:color w:val="4B5563"/>
          <w:spacing w:val="32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color w:val="4B5563"/>
          <w:spacing w:val="2"/>
        </w:rPr>
        <w:t>时代变量，让组织诊断真正</w:t>
      </w:r>
    </w:p>
    <w:p>
      <w:pPr>
        <w:ind w:left="4697"/>
        <w:spacing w:before="81" w:line="185" w:lineRule="auto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color w:val="4B5563"/>
          <w:spacing w:val="3"/>
        </w:rPr>
        <w:t>驱动智能决策。</w:t>
      </w:r>
    </w:p>
    <w:p>
      <w:pPr>
        <w:ind w:firstLine="670"/>
        <w:spacing w:before="223" w:line="45" w:lineRule="exact"/>
        <w:rPr/>
      </w:pPr>
      <w:r>
        <w:rPr/>
        <w:drawing>
          <wp:inline distT="0" distB="0" distL="0" distR="0">
            <wp:extent cx="6105525" cy="2857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55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8"/>
        <w:rPr/>
      </w:pPr>
      <w:r/>
    </w:p>
    <w:tbl>
      <w:tblPr>
        <w:tblStyle w:val="TableNormal"/>
        <w:tblW w:w="9580" w:type="dxa"/>
        <w:tblInd w:w="687" w:type="dxa"/>
        <w:tblLayout w:type="fixed"/>
        <w:tblBorders>
          <w:left w:val="single" w:color="CBD5E1" w:sz="14" w:space="0"/>
          <w:bottom w:val="single" w:color="CBD5E1" w:sz="14" w:space="0"/>
          <w:right w:val="single" w:color="CBD5E1" w:sz="14" w:space="0"/>
          <w:top w:val="single" w:color="CBD5E1" w:sz="16" w:space="0"/>
        </w:tblBorders>
      </w:tblPr>
      <w:tblGrid>
        <w:gridCol w:w="9580"/>
      </w:tblGrid>
      <w:tr>
        <w:trPr>
          <w:trHeight w:val="7035" w:hRule="atLeast"/>
        </w:trPr>
        <w:tc>
          <w:tcPr>
            <w:tcW w:w="9580" w:type="dxa"/>
            <w:vAlign w:val="top"/>
          </w:tcPr>
          <w:p>
            <w:pPr>
              <w:pStyle w:val="TableText"/>
              <w:ind w:firstLine="144"/>
              <w:spacing w:line="6582" w:lineRule="exact"/>
              <w:rPr/>
            </w:pPr>
            <w:r>
              <w:pict>
                <v:shape id="_x0000_s2" style="position:absolute;margin-left:-473.907pt;margin-top:-2pt;mso-position-vertical-relative:top-margin-area;mso-position-horizontal-relative:right-margin-area;width:4.7pt;height:2.15pt;z-index:251658240;" filled="false" strokecolor="#CBD5E1" strokeweight="1.50pt" coordsize="94,43" coordorigin="0,0" path="m15,27c25,23,35,20,45,18c56,16,67,15,78,15e">
                  <v:stroke joinstyle="miter" miterlimit="4"/>
                </v:shape>
              </w:pict>
            </w:r>
            <w:r>
              <w:rPr>
                <w:position w:val="-131"/>
              </w:rPr>
              <w:pict>
                <v:group id="_x0000_s4" style="mso-position-vertical-relative:line;mso-position-horizontal-relative:char;width:462.75pt;height:331.15pt;" filled="false" stroked="false" coordsize="9255,6623" coordorigin="0,0">
                  <v:shape id="_x0000_s6" style="position:absolute;left:0;top:0;width:9255;height:6623;" filled="false" stroked="false" type="#_x0000_t75">
                    <v:imagedata o:title="" r:id="rId4"/>
                  </v:shape>
                  <v:shape id="_x0000_s8" style="position:absolute;left:1847;top:2803;width:4240;height:369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3"/>
                            <w:spacing w:before="19" w:line="188" w:lineRule="auto"/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  <w:color w:val="B91C1C"/>
                              <w:spacing w:val="2"/>
                            </w:rPr>
                            <w:t>① 成本结构重组</w:t>
                          </w:r>
                        </w:p>
                        <w:p>
                          <w:pPr>
                            <w:ind w:left="28"/>
                            <w:spacing w:before="28" w:line="183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</w:rPr>
                            <w:t>真实成本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</w:rPr>
                            <w:t>显在薪酬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16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</w:rPr>
                            <w:t>隐性管理成本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13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</w:rPr>
                            <w:t>平台抽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成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+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1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机会成本</w:t>
                          </w:r>
                        </w:p>
                        <w:p>
                          <w:pPr>
                            <w:ind w:left="28"/>
                            <w:spacing w:before="20" w:line="163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3"/>
                            </w:rPr>
                            <w:t>关键指标：人效比（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-3"/>
                            </w:rPr>
                            <w:t>Rev/HC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3"/>
                            </w:rPr>
                            <w:t>）、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1D4ED8"/>
                              <w:spacing w:val="-3"/>
                            </w:rPr>
                            <w:t>人机协作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1D4ED8"/>
                              <w:spacing w:val="-3"/>
                            </w:rPr>
                            <w:t>ROI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1D4ED8"/>
                              <w:spacing w:val="-3"/>
                            </w:rPr>
                            <w:t>（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1D4ED8"/>
                              <w:spacing w:val="-3"/>
                            </w:rPr>
                            <w:t>AI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1D4ED8"/>
                              <w:spacing w:val="-3"/>
                            </w:rPr>
                            <w:t>杠杆率）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3"/>
                            </w:rPr>
                            <w:t>、单位人力成本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-3"/>
                            </w:rPr>
                            <w:t>ROI</w:t>
                          </w:r>
                        </w:p>
                        <w:p>
                          <w:pPr>
                            <w:ind w:left="20"/>
                            <w:spacing w:line="209" w:lineRule="auto"/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1"/>
                            </w:rPr>
                            <w:t>乡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3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B7280"/>
                            </w:rPr>
                            <w:t>HC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1"/>
                            </w:rPr>
                            <w:t>减少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B7280"/>
                              <w:spacing w:val="1"/>
                            </w:rPr>
                            <w:t>20%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B7280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1"/>
                            </w:rPr>
                            <w:t>≠ 成本减少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B7280"/>
                              <w:spacing w:val="1"/>
                            </w:rPr>
                            <w:t>20%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1"/>
                            </w:rPr>
                            <w:t>（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1"/>
                            </w:rPr>
                            <w:t>隐性成本占比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B7280"/>
                              <w:spacing w:val="1"/>
                            </w:rPr>
                            <w:t>60%+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1"/>
                            </w:rPr>
                            <w:t>）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</w:rPr>
                            <w:t>。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B7280"/>
                            </w:rPr>
                            <w:t>AI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</w:rPr>
                            <w:t>工具引入后，单位人力</w:t>
                          </w:r>
                        </w:p>
                        <w:p>
                          <w:pPr>
                            <w:ind w:left="23"/>
                            <w:spacing w:before="139" w:line="188" w:lineRule="auto"/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  <w:color w:val="92400E"/>
                              <w:spacing w:val="2"/>
                            </w:rPr>
                            <w:t>② 组织效能诊断</w:t>
                          </w:r>
                        </w:p>
                        <w:p>
                          <w:pPr>
                            <w:ind w:left="25"/>
                            <w:spacing w:before="28" w:line="190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1"/>
                            </w:rPr>
                            <w:t>裁员后幸存者的「幸存者综合征J  导致效能短期下降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1"/>
                            </w:rPr>
                            <w:t>15-25%</w:t>
                          </w:r>
                        </w:p>
                        <w:p>
                          <w:pPr>
                            <w:ind w:left="28"/>
                            <w:spacing w:before="15" w:line="163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</w:rPr>
                            <w:t>关键指标：协作熵值、决策延迟、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1D4ED8"/>
                            </w:rPr>
                            <w:t>数字资产留存度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</w:rPr>
                            <w:t>、跨部门摩擦成本</w:t>
                          </w:r>
                        </w:p>
                        <w:p>
                          <w:pPr>
                            <w:ind w:left="20"/>
                            <w:spacing w:line="209" w:lineRule="auto"/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2"/>
                            </w:rPr>
                            <w:t>乡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2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2"/>
                            </w:rPr>
                            <w:t>裁员后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B7280"/>
                              <w:spacing w:val="2"/>
                            </w:rPr>
                            <w:t>6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2"/>
                            </w:rPr>
                            <w:t>个月内，组织效能通常会先降后升，需预设「效能谷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1"/>
                            </w:rPr>
                            <w:t>底J</w:t>
                          </w:r>
                        </w:p>
                        <w:p>
                          <w:pPr>
                            <w:ind w:left="23"/>
                            <w:spacing w:before="139" w:line="188" w:lineRule="auto"/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  <w:color w:val="5B21B6"/>
                              <w:spacing w:val="2"/>
                            </w:rPr>
                            <w:t>③ 人才密度评估</w:t>
                          </w:r>
                        </w:p>
                        <w:p>
                          <w:pPr>
                            <w:ind w:left="28" w:right="180" w:firstLine="12"/>
                            <w:spacing w:before="27" w:line="185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「平均人才质量J  比「总人数J  更重要。净人才密度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高绩效人数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总人数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1"/>
                            </w:rPr>
                            <w:t>关键指标：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1"/>
                            </w:rPr>
                            <w:t>P90/P50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1"/>
                            </w:rPr>
                            <w:t>产出比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1"/>
                            </w:rPr>
                            <w:t>、关键岗位覆盖度、继任者准备度</w:t>
                          </w:r>
                        </w:p>
                        <w:p>
                          <w:pPr>
                            <w:ind w:left="20"/>
                            <w:spacing w:before="1" w:line="209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2"/>
                            </w:rPr>
                            <w:t>乡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2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2"/>
                            </w:rPr>
                            <w:t>低绩效员工裁员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B7280"/>
                            </w:rPr>
                            <w:t>ROI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2"/>
                            </w:rPr>
                            <w:t>为正，但高绩效员工主动离职风险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1"/>
                            </w:rPr>
                            <w:t>在裁员后上升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B7280"/>
                              <w:spacing w:val="1"/>
                            </w:rPr>
                            <w:t>3x</w:t>
                          </w:r>
                        </w:p>
                        <w:p>
                          <w:pPr>
                            <w:ind w:left="23"/>
                            <w:spacing w:before="139" w:line="188" w:lineRule="auto"/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  <w:color w:val="047857"/>
                              <w:spacing w:val="2"/>
                            </w:rPr>
                            <w:t>④ 流程冗余清理</w:t>
                          </w:r>
                        </w:p>
                        <w:p>
                          <w:pPr>
                            <w:ind w:left="28" w:right="20"/>
                            <w:spacing w:before="28" w:line="185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真正的降本来自流程再造（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BPR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24"/>
                              <w:w w:val="99"/>
                            </w:rPr>
                            <w:t>），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而非人头削减。每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1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元流程优化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3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  <w:spacing w:val="-1"/>
                            </w:rPr>
                            <w:t>元人力成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</w:rPr>
                            <w:t>关键指标：审批节点数、跨部门交接次数、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</w:rPr>
                            <w:t>SOP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</w:rPr>
                            <w:t>覆盖率、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374151"/>
                            </w:rPr>
                            <w:t>AI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74151"/>
                            </w:rPr>
                            <w:t>可替代流程占比</w:t>
                          </w:r>
                        </w:p>
                        <w:p>
                          <w:pPr>
                            <w:ind w:left="20"/>
                            <w:spacing w:line="209" w:lineRule="auto"/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2"/>
                            </w:rPr>
                            <w:t>乡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3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2"/>
                            </w:rPr>
                            <w:t>大厂平均有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B7280"/>
                              <w:spacing w:val="2"/>
                            </w:rPr>
                            <w:t>35%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B7280"/>
                              <w:spacing w:val="2"/>
                            </w:rPr>
                            <w:t>的流程步骤不创造用户价值，属于纯浪费</w:t>
                          </w:r>
                        </w:p>
                        <w:p>
                          <w:pPr>
                            <w:ind w:left="207"/>
                            <w:spacing w:before="173" w:line="190" w:lineRule="auto"/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4748B"/>
                              <w:spacing w:val="6"/>
                            </w:rPr>
                            <w:t>▽ 更深的水下：企业文化侵蚀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4748B"/>
                              <w:spacing w:val="6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4748B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4748B"/>
                              <w:spacing w:val="6"/>
                            </w:rPr>
                            <w:t>雇主品牌损伤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4748B"/>
                              <w:spacing w:val="6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64748B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4748B"/>
                              <w:spacing w:val="6"/>
                            </w:rPr>
                            <w:t>法务合规风险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4748B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4748B"/>
                              <w:spacing w:val="6"/>
                            </w:rPr>
                            <w:t>▽</w:t>
                          </w:r>
                        </w:p>
                      </w:txbxContent>
                    </v:textbox>
                  </v:shape>
                  <v:shape id="_x0000_s10" style="position:absolute;left:6433;top:2594;width:1849;height:397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508"/>
                            <w:spacing w:before="20" w:line="190" w:lineRule="auto"/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4748B"/>
                              <w:spacing w:val="3"/>
                            </w:rPr>
                            <w:t>海平面（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4748B"/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64748B"/>
                              <w:spacing w:val="3"/>
                            </w:rPr>
                            <w:t>可见线）</w:t>
                          </w:r>
                        </w:p>
                        <w:p>
                          <w:pPr>
                            <w:ind w:left="468"/>
                            <w:spacing w:before="186" w:line="211" w:lineRule="auto"/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1E293B"/>
                              <w:spacing w:val="10"/>
                            </w:rPr>
                            <w:t>ū 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4"/>
                              <w:szCs w:val="14"/>
                              <w:color w:val="1E293B"/>
                              <w:spacing w:val="10"/>
                            </w:rPr>
                            <w:t>量化诊断指标</w:t>
                          </w:r>
                        </w:p>
                        <w:p>
                          <w:pPr>
                            <w:ind w:left="23"/>
                            <w:spacing w:before="157" w:line="188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34155"/>
                              <w:spacing w:val="4"/>
                            </w:rPr>
                            <w:t>成本结构</w:t>
                          </w:r>
                        </w:p>
                        <w:p>
                          <w:pPr>
                            <w:ind w:left="24"/>
                            <w:spacing w:before="10" w:line="216" w:lineRule="auto"/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1"/>
                            </w:rPr>
                            <w:t>人效比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1"/>
                            </w:rPr>
                            <w:t>&lt;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1"/>
                            </w:rPr>
                            <w:t>1.2x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1"/>
                            </w:rPr>
                            <w:t>→ </w:t>
                          </w:r>
                          <w:r>
                            <w:rPr>
                              <w:sz w:val="11"/>
                              <w:szCs w:val="11"/>
                              <w:color w:val="475569"/>
                            </w:rPr>
                            <w:drawing>
                              <wp:inline distT="0" distB="0" distL="0" distR="0">
                                <wp:extent cx="76279" cy="76279"/>
                                <wp:effectExtent l="0" t="0" r="0" b="0"/>
                                <wp:docPr id="4" name="IM 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6279" cy="7627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1"/>
                            </w:rPr>
                            <w:t xml:space="preserve">  危险</w:t>
                          </w:r>
                        </w:p>
                        <w:p>
                          <w:pPr>
                            <w:ind w:left="20"/>
                            <w:spacing w:before="18" w:line="230" w:lineRule="auto"/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4ED8"/>
                            </w:rPr>
                            <w:t>AI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1D4ED8"/>
                              <w:spacing w:val="5"/>
                            </w:rPr>
                            <w:t>杠杆率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4ED8"/>
                              <w:spacing w:val="5"/>
                            </w:rPr>
                            <w:t>&lt;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4ED8"/>
                              <w:spacing w:val="13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4ED8"/>
                              <w:spacing w:val="5"/>
                            </w:rPr>
                            <w:t>0.5x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4ED8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1D4ED8"/>
                              <w:spacing w:val="5"/>
                            </w:rPr>
                            <w:t>→ </w:t>
                          </w:r>
                          <w:r>
                            <w:rPr>
                              <w:sz w:val="11"/>
                              <w:szCs w:val="11"/>
                              <w:color w:val="1D4ED8"/>
                            </w:rPr>
                            <w:drawing>
                              <wp:inline distT="0" distB="0" distL="0" distR="0">
                                <wp:extent cx="76279" cy="76279"/>
                                <wp:effectExtent l="0" t="0" r="0" b="0"/>
                                <wp:docPr id="6" name="IM 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6" name="IM 6"/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6279" cy="7627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1D4ED8"/>
                            </w:rPr>
                            <w:t xml:space="preserve"> 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1D4ED8"/>
                              <w:spacing w:val="5"/>
                            </w:rPr>
                            <w:t>预警</w:t>
                          </w:r>
                        </w:p>
                        <w:p>
                          <w:pPr>
                            <w:ind w:left="29"/>
                            <w:spacing w:before="4" w:line="216" w:lineRule="auto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4"/>
                            </w:rPr>
                            <w:t>隐性成本占比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1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4"/>
                            </w:rPr>
                            <w:t>&gt;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4"/>
                            </w:rPr>
                            <w:t>60%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4"/>
                            </w:rPr>
                            <w:t>→ </w:t>
                          </w:r>
                          <w:r>
                            <w:rPr>
                              <w:sz w:val="11"/>
                              <w:szCs w:val="11"/>
                              <w:color w:val="475569"/>
                            </w:rPr>
                            <w:drawing>
                              <wp:inline distT="0" distB="0" distL="0" distR="0">
                                <wp:extent cx="76279" cy="76279"/>
                                <wp:effectExtent l="0" t="0" r="0" b="0"/>
                                <wp:docPr id="8" name="IM 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8" name="IM 8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6279" cy="7627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25"/>
                            <w:spacing w:before="212" w:line="188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34155"/>
                              <w:spacing w:val="3"/>
                            </w:rPr>
                            <w:t>组织效能</w:t>
                          </w:r>
                        </w:p>
                        <w:p>
                          <w:pPr>
                            <w:ind w:left="24"/>
                            <w:spacing w:before="11" w:line="215" w:lineRule="auto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2"/>
                            </w:rPr>
                            <w:t>效能谷底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2"/>
                            </w:rPr>
                            <w:t>&gt;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2"/>
                            </w:rPr>
                            <w:t>6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2"/>
                            </w:rPr>
                            <w:t>个月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2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2"/>
                            </w:rPr>
                            <w:t>→ </w:t>
                          </w:r>
                          <w:r>
                            <w:rPr>
                              <w:sz w:val="11"/>
                              <w:szCs w:val="11"/>
                              <w:color w:val="475569"/>
                            </w:rPr>
                            <w:drawing>
                              <wp:inline distT="0" distB="0" distL="0" distR="0">
                                <wp:extent cx="76279" cy="76279"/>
                                <wp:effectExtent l="0" t="0" r="0" b="0"/>
                                <wp:docPr id="10" name="IM 1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" name="IM 10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6279" cy="7627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24"/>
                            <w:spacing w:before="17" w:line="230" w:lineRule="auto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1D4ED8"/>
                              <w:spacing w:val="6"/>
                            </w:rPr>
                            <w:t>数字资产留存度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4ED8"/>
                              <w:spacing w:val="6"/>
                            </w:rPr>
                            <w:t>&lt;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4ED8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4ED8"/>
                              <w:spacing w:val="6"/>
                            </w:rPr>
                            <w:t>50%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D4ED8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1D4ED8"/>
                              <w:spacing w:val="6"/>
                            </w:rPr>
                            <w:t>→ </w:t>
                          </w:r>
                          <w:r>
                            <w:rPr>
                              <w:sz w:val="11"/>
                              <w:szCs w:val="11"/>
                              <w:color w:val="1D4ED8"/>
                            </w:rPr>
                            <w:drawing>
                              <wp:inline distT="0" distB="0" distL="0" distR="0">
                                <wp:extent cx="76279" cy="76279"/>
                                <wp:effectExtent l="0" t="0" r="0" b="0"/>
                                <wp:docPr id="12" name="IM 1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2" name="IM 12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6279" cy="7627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23"/>
                            <w:spacing w:before="234" w:line="189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34155"/>
                              <w:spacing w:val="4"/>
                            </w:rPr>
                            <w:t>人才密度</w:t>
                          </w:r>
                        </w:p>
                        <w:p>
                          <w:pPr>
                            <w:ind w:left="25"/>
                            <w:spacing w:before="11" w:line="216" w:lineRule="auto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5"/>
                            </w:rPr>
                            <w:t>净人才密度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5"/>
                            </w:rPr>
                            <w:t>&lt;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1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5"/>
                            </w:rPr>
                            <w:t>25%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5"/>
                            </w:rPr>
                            <w:t>→ </w:t>
                          </w:r>
                          <w:r>
                            <w:rPr>
                              <w:sz w:val="11"/>
                              <w:szCs w:val="11"/>
                              <w:color w:val="475569"/>
                            </w:rPr>
                            <w:drawing>
                              <wp:inline distT="0" distB="0" distL="0" distR="0">
                                <wp:extent cx="76279" cy="76279"/>
                                <wp:effectExtent l="0" t="0" r="0" b="0"/>
                                <wp:docPr id="14" name="IM 1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4" name="IM 14"/>
                                        <pic:cNvPicPr/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6279" cy="7627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26"/>
                            <w:spacing w:before="17" w:line="215" w:lineRule="auto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4"/>
                            </w:rPr>
                            <w:t>高绩效主动离职率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4"/>
                            </w:rPr>
                            <w:t>&gt;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4"/>
                            </w:rPr>
                            <w:t>15%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475569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4"/>
                            </w:rPr>
                            <w:t>→ </w:t>
                          </w:r>
                          <w:r>
                            <w:rPr>
                              <w:sz w:val="11"/>
                              <w:szCs w:val="11"/>
                              <w:color w:val="475569"/>
                            </w:rPr>
                            <w:drawing>
                              <wp:inline distT="0" distB="0" distL="0" distR="0">
                                <wp:extent cx="76279" cy="76279"/>
                                <wp:effectExtent l="0" t="0" r="0" b="0"/>
                                <wp:docPr id="16" name="IM 1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6" name="IM 16"/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6279" cy="7627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25"/>
                            <w:spacing w:before="246" w:line="189" w:lineRule="auto"/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2"/>
                              <w:szCs w:val="12"/>
                              <w:color w:val="334155"/>
                              <w:spacing w:val="3"/>
                            </w:rPr>
                            <w:t>流程冗余</w:t>
                          </w:r>
                        </w:p>
                        <w:p>
                          <w:pPr>
                            <w:ind w:left="502"/>
                            <w:spacing w:before="189" w:line="208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E40AF"/>
                              <w:spacing w:val="6"/>
                            </w:rPr>
                            <w:t>Iceberg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E40A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1E40AF"/>
                              <w:spacing w:val="6"/>
                            </w:rPr>
                            <w:t>Diagnostic</w:t>
                          </w:r>
                        </w:p>
                        <w:p>
                          <w:pPr>
                            <w:ind w:right="20"/>
                            <w:spacing w:before="48" w:line="189" w:lineRule="auto"/>
                            <w:jc w:val="right"/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3"/>
                            </w:rPr>
                            <w:t>四步法：测 → 拆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3"/>
                            </w:rPr>
                            <w:t>→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3"/>
                            </w:rPr>
                            <w:t>⽐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1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3"/>
                            </w:rPr>
                            <w:t>→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475569"/>
                              <w:spacing w:val="3"/>
                            </w:rPr>
                            <w:t>行动</w:t>
                          </w:r>
                        </w:p>
                      </w:txbxContent>
                    </v:textbox>
                  </v:shape>
                  <v:shape id="_x0000_s12" style="position:absolute;left:2895;top:1334;width:1682;height:6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07"/>
                            <w:spacing w:before="20" w:line="182" w:lineRule="auto"/>
                            <w:rPr>
                              <w:rFonts w:ascii="PingFang SC" w:hAnsi="PingFang SC" w:eastAsia="PingFang SC" w:cs="PingFang SC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7"/>
                              <w:szCs w:val="17"/>
                              <w:color w:val="FFFFFF"/>
                              <w:spacing w:val="2"/>
                            </w:rPr>
                            <w:t>员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FFFFFF"/>
                              <w:spacing w:val="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FFFFFF"/>
                              <w:spacing w:val="2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7"/>
                              <w:szCs w:val="17"/>
                              <w:color w:val="FFFFFF"/>
                              <w:spacing w:val="2"/>
                            </w:rPr>
                            <w:t>降本口</w:t>
                          </w:r>
                        </w:p>
                        <w:p>
                          <w:pPr>
                            <w:ind w:left="305"/>
                            <w:spacing w:before="27" w:line="186" w:lineRule="auto"/>
                            <w:rPr>
                              <w:rFonts w:ascii="PingFang SC" w:hAnsi="PingFang SC" w:eastAsia="PingFang SC" w:cs="PingFang SC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3"/>
                              <w:szCs w:val="13"/>
                              <w:color w:val="E0E7FF"/>
                              <w:spacing w:val="3"/>
                            </w:rPr>
                            <w:t>看得见的「减法J</w:t>
                          </w:r>
                        </w:p>
                        <w:p>
                          <w:pPr>
                            <w:ind w:left="20"/>
                            <w:spacing w:before="45" w:line="190" w:lineRule="auto"/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C7D2FE"/>
                              <w:spacing w:val="5"/>
                            </w:rPr>
                            <w:t>员工感知最强烈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C7D2FE"/>
                              <w:spacing w:val="2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C7D2FE"/>
                              <w:spacing w:val="5"/>
                            </w:rPr>
                            <w:t>·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C7D2FE"/>
                              <w:spacing w:val="12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1"/>
                              <w:szCs w:val="11"/>
                              <w:color w:val="C7D2FE"/>
                              <w:spacing w:val="5"/>
                            </w:rPr>
                            <w:t>媒体叙事焦点</w:t>
                          </w:r>
                        </w:p>
                      </w:txbxContent>
                    </v:textbox>
                  </v:shape>
                  <v:shape id="_x0000_s14" style="position:absolute;left:5185;top:1642;width:287;height:13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1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93C5FD"/>
                              <w:spacing w:val="2"/>
                            </w:rPr>
                            <w:t>10%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footerReference w:type="default" r:id="rId2"/>
          <w:pgSz w:w="11900" w:h="16839"/>
          <w:pgMar w:top="538" w:right="473" w:bottom="449" w:left="484" w:header="292" w:footer="303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665"/>
        <w:spacing w:before="341" w:line="208" w:lineRule="auto"/>
        <w:rPr>
          <w:rFonts w:ascii="PingFang SC" w:hAnsi="PingFang SC" w:eastAsia="PingFang SC" w:cs="PingFang SC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1E40AF"/>
          <w:spacing w:val="9"/>
        </w:rPr>
        <w:t>ū</w:t>
      </w:r>
      <w:r>
        <w:rPr>
          <w:rFonts w:ascii="Arial" w:hAnsi="Arial" w:eastAsia="Arial" w:cs="Arial"/>
          <w:sz w:val="30"/>
          <w:szCs w:val="30"/>
          <w:color w:val="1E40AF"/>
          <w:spacing w:val="50"/>
        </w:rPr>
        <w:t xml:space="preserve"> </w:t>
      </w:r>
      <w:r>
        <w:rPr>
          <w:rFonts w:ascii="PingFang SC" w:hAnsi="PingFang SC" w:eastAsia="PingFang SC" w:cs="PingFang SC"/>
          <w:sz w:val="30"/>
          <w:szCs w:val="30"/>
          <w:color w:val="1E40AF"/>
          <w:spacing w:val="9"/>
        </w:rPr>
        <w:t>冰山模型</w:t>
      </w:r>
      <w:r>
        <w:rPr>
          <w:rFonts w:ascii="PingFang SC" w:hAnsi="PingFang SC" w:eastAsia="PingFang SC" w:cs="PingFang SC"/>
          <w:sz w:val="30"/>
          <w:szCs w:val="30"/>
          <w:color w:val="1E40AF"/>
          <w:spacing w:val="52"/>
        </w:rPr>
        <w:t xml:space="preserve"> </w:t>
      </w:r>
      <w:r>
        <w:rPr>
          <w:rFonts w:ascii="Arial" w:hAnsi="Arial" w:eastAsia="Arial" w:cs="Arial"/>
          <w:sz w:val="30"/>
          <w:szCs w:val="30"/>
          <w:color w:val="1E40AF"/>
          <w:spacing w:val="9"/>
        </w:rPr>
        <w:t>·</w:t>
      </w:r>
      <w:r>
        <w:rPr>
          <w:rFonts w:ascii="Arial" w:hAnsi="Arial" w:eastAsia="Arial" w:cs="Arial"/>
          <w:sz w:val="30"/>
          <w:szCs w:val="30"/>
          <w:color w:val="1E40AF"/>
          <w:spacing w:val="31"/>
        </w:rPr>
        <w:t xml:space="preserve"> </w:t>
      </w:r>
      <w:r>
        <w:rPr>
          <w:rFonts w:ascii="PingFang SC" w:hAnsi="PingFang SC" w:eastAsia="PingFang SC" w:cs="PingFang SC"/>
          <w:sz w:val="30"/>
          <w:szCs w:val="30"/>
          <w:color w:val="1E40AF"/>
          <w:spacing w:val="9"/>
        </w:rPr>
        <w:t>量化诊断指标表</w:t>
      </w:r>
    </w:p>
    <w:p>
      <w:pPr>
        <w:ind w:firstLine="670"/>
        <w:spacing w:before="56" w:line="30" w:lineRule="exact"/>
        <w:rPr/>
      </w:pPr>
      <w:r>
        <w:rPr/>
        <w:drawing>
          <wp:inline distT="0" distB="0" distL="0" distR="0">
            <wp:extent cx="6105525" cy="1905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5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0" w:lineRule="exact"/>
        <w:rPr/>
      </w:pPr>
      <w:r/>
    </w:p>
    <w:tbl>
      <w:tblPr>
        <w:tblStyle w:val="TableNormal"/>
        <w:tblW w:w="9599" w:type="dxa"/>
        <w:tblInd w:w="677" w:type="dxa"/>
        <w:tblLayout w:type="fixed"/>
        <w:tblBorders>
          <w:top w:val="single" w:color="E5E7EB" w:sz="6" w:space="0"/>
          <w:left w:val="single" w:color="E5E7EB" w:sz="6" w:space="0"/>
          <w:bottom w:val="single" w:color="E5E7EB" w:sz="6" w:space="0"/>
          <w:right w:val="single" w:color="E5E7EB" w:sz="6" w:space="0"/>
          <w:insideH w:val="single" w:color="E5E7EB" w:sz="6" w:space="0"/>
          <w:insideV w:val="single" w:color="E5E7EB" w:sz="6" w:space="0"/>
        </w:tblBorders>
      </w:tblPr>
      <w:tblGrid>
        <w:gridCol w:w="1250"/>
        <w:gridCol w:w="2022"/>
        <w:gridCol w:w="1048"/>
        <w:gridCol w:w="1048"/>
        <w:gridCol w:w="4231"/>
      </w:tblGrid>
      <w:tr>
        <w:trPr>
          <w:trHeight w:val="967" w:hRule="atLeast"/>
        </w:trPr>
        <w:tc>
          <w:tcPr>
            <w:shd w:val="clear" w:fill="1E40AF"/>
            <w:tcW w:w="1250" w:type="dxa"/>
            <w:vAlign w:val="top"/>
            <w:tcBorders>
              <w:left w:val="single" w:color="1E3A8A" w:sz="6" w:space="0"/>
              <w:bottom w:val="single" w:color="1E3A8A" w:sz="6" w:space="0"/>
              <w:right w:val="single" w:color="1E3A8A" w:sz="6" w:space="0"/>
              <w:top w:val="single" w:color="1E3A8A" w:sz="6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95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4"/>
              </w:rPr>
              <w:t>板块</w:t>
            </w:r>
          </w:p>
        </w:tc>
        <w:tc>
          <w:tcPr>
            <w:shd w:val="clear" w:fill="1E40AF"/>
            <w:tcW w:w="2022" w:type="dxa"/>
            <w:vAlign w:val="top"/>
            <w:tcBorders>
              <w:left w:val="single" w:color="1E3A8A" w:sz="6" w:space="0"/>
              <w:bottom w:val="single" w:color="1E3A8A" w:sz="6" w:space="0"/>
              <w:right w:val="single" w:color="1E3A8A" w:sz="6" w:space="0"/>
              <w:top w:val="single" w:color="1E3A8A" w:sz="6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9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2"/>
              </w:rPr>
              <w:t>核心指标</w:t>
            </w:r>
          </w:p>
        </w:tc>
        <w:tc>
          <w:tcPr>
            <w:shd w:val="clear" w:fill="1E40AF"/>
            <w:tcW w:w="1048" w:type="dxa"/>
            <w:vAlign w:val="top"/>
            <w:tcBorders>
              <w:left w:val="single" w:color="1E3A8A" w:sz="6" w:space="0"/>
              <w:bottom w:val="single" w:color="1E3A8A" w:sz="6" w:space="0"/>
              <w:right w:val="single" w:color="1E3A8A" w:sz="6" w:space="0"/>
              <w:top w:val="single" w:color="1E3A8A" w:sz="6" w:space="0"/>
            </w:tcBorders>
          </w:tcPr>
          <w:p>
            <w:pPr>
              <w:pStyle w:val="TableText"/>
              <w:ind w:left="149" w:right="261" w:hanging="2"/>
              <w:spacing w:before="231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2"/>
              </w:rPr>
              <w:t>健康基</w:t>
            </w:r>
            <w:r>
              <w:rPr>
                <w:sz w:val="21"/>
                <w:szCs w:val="21"/>
                <w:color w:val="FFFFFF"/>
              </w:rPr>
              <w:t>线</w:t>
            </w:r>
          </w:p>
        </w:tc>
        <w:tc>
          <w:tcPr>
            <w:shd w:val="clear" w:fill="1E40AF"/>
            <w:tcW w:w="1048" w:type="dxa"/>
            <w:vAlign w:val="top"/>
            <w:tcBorders>
              <w:left w:val="single" w:color="1E3A8A" w:sz="6" w:space="0"/>
              <w:bottom w:val="single" w:color="1E3A8A" w:sz="6" w:space="0"/>
              <w:right w:val="single" w:color="1E3A8A" w:sz="6" w:space="0"/>
              <w:top w:val="single" w:color="1E3A8A" w:sz="6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"/>
              <w:spacing w:before="9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3"/>
              </w:rPr>
              <w:t>预警线</w:t>
            </w:r>
          </w:p>
        </w:tc>
        <w:tc>
          <w:tcPr>
            <w:shd w:val="clear" w:fill="1E40AF"/>
            <w:tcW w:w="4231" w:type="dxa"/>
            <w:vAlign w:val="top"/>
            <w:tcBorders>
              <w:left w:val="single" w:color="1E3A8A" w:sz="6" w:space="0"/>
              <w:bottom w:val="single" w:color="1E3A8A" w:sz="6" w:space="0"/>
              <w:right w:val="single" w:color="1E3A8A" w:sz="6" w:space="0"/>
              <w:top w:val="single" w:color="1E3A8A" w:sz="6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9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2"/>
              </w:rPr>
              <w:t>诊断方法</w:t>
            </w:r>
          </w:p>
        </w:tc>
      </w:tr>
      <w:tr>
        <w:trPr>
          <w:trHeight w:val="1095" w:hRule="atLeast"/>
        </w:trPr>
        <w:tc>
          <w:tcPr>
            <w:tcW w:w="1250" w:type="dxa"/>
            <w:vAlign w:val="top"/>
            <w:tcBorders>
              <w:top w:val="single" w:color="1E3A8A" w:sz="6" w:space="0"/>
            </w:tcBorders>
          </w:tcPr>
          <w:p>
            <w:pPr>
              <w:spacing w:line="158" w:lineRule="exact"/>
              <w:rPr/>
            </w:pPr>
            <w:r/>
          </w:p>
          <w:tbl>
            <w:tblPr>
              <w:tblStyle w:val="TableNormal"/>
              <w:tblW w:w="910" w:type="dxa"/>
              <w:tblInd w:w="159" w:type="dxa"/>
              <w:shd w:val="clear" w:fill="FEE2E2"/>
              <w:tblLayout w:type="fixed"/>
              <w:tblBorders>
                <w:left w:val="single" w:color="FECACA" w:sz="8" w:space="0"/>
                <w:bottom w:val="single" w:color="FECACA" w:sz="8" w:space="0"/>
                <w:right w:val="single" w:color="FECACA" w:sz="8" w:space="0"/>
                <w:top w:val="single" w:color="FECACA" w:sz="8" w:space="0"/>
              </w:tblBorders>
            </w:tblPr>
            <w:tblGrid>
              <w:gridCol w:w="910"/>
            </w:tblGrid>
            <w:tr>
              <w:trPr>
                <w:trHeight w:val="725" w:hRule="atLeast"/>
              </w:trPr>
              <w:tc>
                <w:tcPr>
                  <w:shd w:val="clear" w:fill="FEE2E2"/>
                  <w:tcW w:w="910" w:type="dxa"/>
                  <w:vAlign w:val="top"/>
                </w:tcPr>
                <w:p>
                  <w:pPr>
                    <w:pStyle w:val="TableText"/>
                    <w:ind w:left="122" w:right="190" w:hanging="5"/>
                    <w:spacing w:before="98" w:line="21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B91C1C"/>
                      <w:spacing w:val="4"/>
                    </w:rPr>
                    <w:t>①成本</w:t>
                  </w:r>
                  <w:r>
                    <w:rPr>
                      <w:sz w:val="19"/>
                      <w:szCs w:val="19"/>
                      <w:color w:val="B91C1C"/>
                      <w:spacing w:val="1"/>
                    </w:rPr>
                    <w:t>结构</w:t>
                  </w:r>
                </w:p>
              </w:tc>
            </w:tr>
          </w:tbl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2022" w:type="dxa"/>
            <w:vAlign w:val="top"/>
            <w:tcBorders>
              <w:top w:val="single" w:color="1E3A8A" w:sz="6" w:space="0"/>
            </w:tcBorders>
          </w:tcPr>
          <w:p>
            <w:pPr>
              <w:pStyle w:val="TableText"/>
              <w:ind w:left="153"/>
              <w:spacing w:before="213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-1"/>
              </w:rPr>
              <w:t>人效比</w:t>
            </w:r>
          </w:p>
          <w:p>
            <w:pPr>
              <w:pStyle w:val="TableText"/>
              <w:ind w:left="189"/>
              <w:spacing w:before="4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2"/>
              </w:rPr>
              <w:t>（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</w:rPr>
              <w:t>Revenue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"/>
              </w:rPr>
              <w:t>/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</w:rPr>
              <w:t>HC</w:t>
            </w:r>
            <w:r>
              <w:rPr>
                <w:sz w:val="20"/>
                <w:szCs w:val="20"/>
                <w:color w:val="374151"/>
                <w:spacing w:val="2"/>
              </w:rPr>
              <w:t>）</w:t>
            </w:r>
          </w:p>
        </w:tc>
        <w:tc>
          <w:tcPr>
            <w:tcW w:w="1048" w:type="dxa"/>
            <w:vAlign w:val="top"/>
            <w:tcBorders>
              <w:top w:val="single" w:color="1E3A8A" w:sz="6" w:space="0"/>
            </w:tcBorders>
          </w:tcPr>
          <w:p>
            <w:pPr>
              <w:pStyle w:val="TableText"/>
              <w:ind w:left="158"/>
              <w:spacing w:before="215" w:line="20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-9"/>
              </w:rPr>
              <w:t>≥</w:t>
            </w:r>
            <w:r>
              <w:rPr>
                <w:sz w:val="20"/>
                <w:szCs w:val="20"/>
                <w:color w:val="374151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9"/>
              </w:rPr>
              <w:t>1.5x</w:t>
            </w:r>
          </w:p>
        </w:tc>
        <w:tc>
          <w:tcPr>
            <w:tcW w:w="1048" w:type="dxa"/>
            <w:vAlign w:val="top"/>
            <w:tcBorders>
              <w:top w:val="single" w:color="1E3A8A" w:sz="6" w:space="0"/>
            </w:tcBorders>
          </w:tcPr>
          <w:p>
            <w:pPr>
              <w:ind w:left="159"/>
              <w:spacing w:before="215" w:line="250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7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7"/>
              </w:rPr>
              <w:t>1.2x</w:t>
            </w:r>
          </w:p>
        </w:tc>
        <w:tc>
          <w:tcPr>
            <w:tcW w:w="4231" w:type="dxa"/>
            <w:vAlign w:val="top"/>
            <w:tcBorders>
              <w:top w:val="single" w:color="1E3A8A" w:sz="6" w:space="0"/>
            </w:tcBorders>
          </w:tcPr>
          <w:p>
            <w:pPr>
              <w:pStyle w:val="TableText"/>
              <w:ind w:left="165"/>
              <w:spacing w:before="214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3"/>
              </w:rPr>
              <w:t>对标行业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3"/>
              </w:rPr>
              <w:t>P50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31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3"/>
              </w:rPr>
              <w:t>，计算全员产出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3"/>
              </w:rPr>
              <w:t>/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3"/>
              </w:rPr>
              <w:t>全员</w:t>
            </w:r>
            <w:r>
              <w:rPr>
                <w:sz w:val="20"/>
                <w:szCs w:val="20"/>
                <w:color w:val="374151"/>
                <w:spacing w:val="2"/>
              </w:rPr>
              <w:t>成本</w:t>
            </w:r>
          </w:p>
        </w:tc>
      </w:tr>
      <w:tr>
        <w:trPr>
          <w:trHeight w:val="990" w:hRule="atLeast"/>
        </w:trPr>
        <w:tc>
          <w:tcPr>
            <w:tcW w:w="12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61"/>
              <w:spacing w:before="213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-1"/>
              </w:rPr>
              <w:t>隐性成本占比</w:t>
            </w:r>
          </w:p>
        </w:tc>
        <w:tc>
          <w:tcPr>
            <w:tcW w:w="1048" w:type="dxa"/>
            <w:vAlign w:val="top"/>
          </w:tcPr>
          <w:p>
            <w:pPr>
              <w:ind w:left="151"/>
              <w:spacing w:before="215"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7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7"/>
              </w:rPr>
              <w:t>40%</w:t>
            </w:r>
          </w:p>
        </w:tc>
        <w:tc>
          <w:tcPr>
            <w:tcW w:w="1048" w:type="dxa"/>
            <w:vAlign w:val="top"/>
          </w:tcPr>
          <w:p>
            <w:pPr>
              <w:ind w:left="159"/>
              <w:spacing w:before="215"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6"/>
              </w:rPr>
              <w:t>&gt;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6"/>
              </w:rPr>
              <w:t>60%</w:t>
            </w:r>
          </w:p>
        </w:tc>
        <w:tc>
          <w:tcPr>
            <w:tcW w:w="4231" w:type="dxa"/>
            <w:vAlign w:val="top"/>
          </w:tcPr>
          <w:p>
            <w:pPr>
              <w:pStyle w:val="TableText"/>
              <w:ind w:left="169" w:right="345" w:hanging="1"/>
              <w:spacing w:before="215" w:line="229" w:lineRule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"/>
              </w:rPr>
              <w:t>(</w:t>
            </w:r>
            <w:r>
              <w:rPr>
                <w:sz w:val="20"/>
                <w:szCs w:val="20"/>
                <w:color w:val="374151"/>
                <w:spacing w:val="2"/>
              </w:rPr>
              <w:t>管理成本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"/>
              </w:rPr>
              <w:t>+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2"/>
              </w:rPr>
              <w:t>平台抽成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"/>
              </w:rPr>
              <w:t>+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2"/>
              </w:rPr>
              <w:t>机会成本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"/>
              </w:rPr>
              <w:t>)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"/>
              </w:rPr>
              <w:t>/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0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1"/>
              </w:rPr>
              <w:t>总人</w:t>
            </w:r>
            <w:r>
              <w:rPr>
                <w:sz w:val="20"/>
                <w:szCs w:val="20"/>
                <w:color w:val="374151"/>
                <w:spacing w:val="-2"/>
              </w:rPr>
              <w:t>力成本</w:t>
            </w:r>
          </w:p>
        </w:tc>
      </w:tr>
      <w:tr>
        <w:trPr>
          <w:trHeight w:val="1335" w:hRule="atLeast"/>
        </w:trPr>
        <w:tc>
          <w:tcPr>
            <w:tcW w:w="12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58"/>
              <w:spacing w:before="214" w:line="185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-2"/>
              </w:rPr>
              <w:t>单位人力成本</w:t>
            </w:r>
            <w:r>
              <w:rPr>
                <w:sz w:val="20"/>
                <w:szCs w:val="20"/>
                <w:color w:val="374151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2"/>
              </w:rPr>
              <w:t>ROI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58"/>
              <w:spacing w:before="248" w:line="16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</w:rPr>
              <w:t>≥</w:t>
            </w:r>
          </w:p>
          <w:p>
            <w:pPr>
              <w:ind w:left="154"/>
              <w:spacing w:before="67"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9"/>
              </w:rPr>
              <w:t>200%</w:t>
            </w:r>
          </w:p>
        </w:tc>
        <w:tc>
          <w:tcPr>
            <w:tcW w:w="1048" w:type="dxa"/>
            <w:vAlign w:val="top"/>
          </w:tcPr>
          <w:p>
            <w:pPr>
              <w:ind w:left="159"/>
              <w:spacing w:before="215"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1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1"/>
              </w:rPr>
              <w:t>150%</w:t>
            </w:r>
          </w:p>
        </w:tc>
        <w:tc>
          <w:tcPr>
            <w:tcW w:w="4231" w:type="dxa"/>
            <w:vAlign w:val="top"/>
          </w:tcPr>
          <w:p>
            <w:pPr>
              <w:pStyle w:val="TableText"/>
              <w:ind w:left="163" w:right="314"/>
              <w:spacing w:before="213" w:line="231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2"/>
              </w:rPr>
              <w:t>领先指标：关键业务节点交付周期缩短率</w:t>
            </w:r>
            <w:r>
              <w:rPr>
                <w:sz w:val="20"/>
                <w:szCs w:val="20"/>
                <w:color w:val="374151"/>
                <w:spacing w:val="1"/>
              </w:rPr>
              <w:t>滞后验证</w:t>
            </w:r>
            <w:r>
              <w:rPr>
                <w:sz w:val="20"/>
                <w:szCs w:val="20"/>
                <w:color w:val="374151"/>
                <w:spacing w:val="-36"/>
              </w:rPr>
              <w:t>：（</w:t>
            </w:r>
            <w:r>
              <w:rPr>
                <w:sz w:val="20"/>
                <w:szCs w:val="20"/>
                <w:color w:val="374151"/>
                <w:spacing w:val="1"/>
              </w:rPr>
              <w:t>产出增量 一 人力成本增量）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"/>
              </w:rPr>
              <w:t>/</w:t>
            </w:r>
            <w:r>
              <w:rPr>
                <w:sz w:val="20"/>
                <w:szCs w:val="20"/>
                <w:color w:val="374151"/>
                <w:spacing w:val="1"/>
              </w:rPr>
              <w:t>人力成本增量</w:t>
            </w:r>
          </w:p>
        </w:tc>
      </w:tr>
      <w:tr>
        <w:trPr>
          <w:trHeight w:val="1005" w:hRule="atLeast"/>
        </w:trPr>
        <w:tc>
          <w:tcPr>
            <w:tcW w:w="12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54" w:right="184" w:hanging="7"/>
              <w:spacing w:before="213" w:line="239" w:lineRule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</w:rPr>
              <w:t>AI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2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1"/>
              </w:rPr>
              <w:t>杠杆率（人机协</w:t>
            </w:r>
            <w:r>
              <w:rPr>
                <w:sz w:val="20"/>
                <w:szCs w:val="20"/>
                <w:color w:val="374151"/>
                <w:spacing w:val="-4"/>
              </w:rPr>
              <w:t>作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4"/>
              </w:rPr>
              <w:t>ROI</w:t>
            </w:r>
            <w:r>
              <w:rPr>
                <w:sz w:val="20"/>
                <w:szCs w:val="20"/>
                <w:color w:val="374151"/>
                <w:spacing w:val="-4"/>
              </w:rPr>
              <w:t>）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58"/>
              <w:spacing w:before="215" w:line="20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-9"/>
              </w:rPr>
              <w:t>≥</w:t>
            </w:r>
            <w:r>
              <w:rPr>
                <w:sz w:val="20"/>
                <w:szCs w:val="20"/>
                <w:color w:val="374151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9"/>
              </w:rPr>
              <w:t>1.0x</w:t>
            </w:r>
          </w:p>
        </w:tc>
        <w:tc>
          <w:tcPr>
            <w:tcW w:w="1048" w:type="dxa"/>
            <w:vAlign w:val="top"/>
          </w:tcPr>
          <w:p>
            <w:pPr>
              <w:ind w:left="159"/>
              <w:spacing w:before="215" w:line="248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"/>
              </w:rPr>
              <w:t>0.5x</w:t>
            </w:r>
          </w:p>
        </w:tc>
        <w:tc>
          <w:tcPr>
            <w:tcW w:w="4231" w:type="dxa"/>
            <w:vAlign w:val="top"/>
          </w:tcPr>
          <w:p>
            <w:pPr>
              <w:pStyle w:val="TableText"/>
              <w:ind w:left="164" w:right="310" w:firstLine="34"/>
              <w:spacing w:before="213" w:line="2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-6"/>
              </w:rPr>
              <w:t>（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6"/>
              </w:rPr>
              <w:t>AI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31"/>
                <w:w w:val="101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-6"/>
              </w:rPr>
              <w:t>工具引入后单位人力产出 一</w:t>
            </w:r>
            <w:r>
              <w:rPr>
                <w:sz w:val="20"/>
                <w:szCs w:val="20"/>
                <w:color w:val="374151"/>
                <w:spacing w:val="15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-6"/>
              </w:rPr>
              <w:t>引入前）</w:t>
            </w:r>
            <w:r>
              <w:rPr>
                <w:sz w:val="20"/>
                <w:szCs w:val="20"/>
                <w:color w:val="37415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4"/>
              </w:rPr>
              <w:t>/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31"/>
                <w:w w:val="101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4"/>
              </w:rPr>
              <w:t>引入前单位人力产出</w:t>
            </w:r>
          </w:p>
        </w:tc>
      </w:tr>
      <w:tr>
        <w:trPr>
          <w:trHeight w:val="1095" w:hRule="atLeast"/>
        </w:trPr>
        <w:tc>
          <w:tcPr>
            <w:tcW w:w="1250" w:type="dxa"/>
            <w:vAlign w:val="top"/>
          </w:tcPr>
          <w:p>
            <w:pPr>
              <w:spacing w:line="158" w:lineRule="exact"/>
              <w:rPr/>
            </w:pPr>
            <w:r/>
          </w:p>
          <w:tbl>
            <w:tblPr>
              <w:tblStyle w:val="TableNormal"/>
              <w:tblW w:w="910" w:type="dxa"/>
              <w:tblInd w:w="159" w:type="dxa"/>
              <w:shd w:val="clear" w:fill="FEF3C7"/>
              <w:tblLayout w:type="fixed"/>
              <w:tblBorders>
                <w:left w:val="single" w:color="FDE68A" w:sz="8" w:space="0"/>
                <w:bottom w:val="single" w:color="FDE68A" w:sz="8" w:space="0"/>
                <w:right w:val="single" w:color="FDE68A" w:sz="8" w:space="0"/>
                <w:top w:val="single" w:color="FDE68A" w:sz="8" w:space="0"/>
              </w:tblBorders>
            </w:tblPr>
            <w:tblGrid>
              <w:gridCol w:w="910"/>
            </w:tblGrid>
            <w:tr>
              <w:trPr>
                <w:trHeight w:val="725" w:hRule="atLeast"/>
              </w:trPr>
              <w:tc>
                <w:tcPr>
                  <w:shd w:val="clear" w:fill="FEF3C7"/>
                  <w:tcW w:w="910" w:type="dxa"/>
                  <w:vAlign w:val="top"/>
                </w:tcPr>
                <w:p>
                  <w:pPr>
                    <w:pStyle w:val="TableText"/>
                    <w:ind w:left="119" w:right="190" w:hanging="2"/>
                    <w:spacing w:before="98" w:line="21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92400E"/>
                      <w:spacing w:val="4"/>
                    </w:rPr>
                    <w:t>②组织</w:t>
                  </w:r>
                  <w:r>
                    <w:rPr>
                      <w:sz w:val="19"/>
                      <w:szCs w:val="19"/>
                      <w:color w:val="92400E"/>
                      <w:spacing w:val="2"/>
                    </w:rPr>
                    <w:t>效能</w:t>
                  </w:r>
                </w:p>
              </w:tc>
            </w:tr>
          </w:tbl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58" w:right="239" w:hanging="5"/>
              <w:spacing w:before="213" w:line="2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1"/>
              </w:rPr>
              <w:t>裁员后效能谷底时</w:t>
            </w:r>
            <w:r>
              <w:rPr>
                <w:sz w:val="20"/>
                <w:szCs w:val="20"/>
                <w:color w:val="374151"/>
              </w:rPr>
              <w:t>⻓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51"/>
              <w:spacing w:before="215" w:line="196" w:lineRule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1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1"/>
              </w:rPr>
              <w:t>3</w:t>
            </w:r>
            <w:r>
              <w:rPr>
                <w:sz w:val="20"/>
                <w:szCs w:val="20"/>
                <w:color w:val="374151"/>
                <w:spacing w:val="-1"/>
              </w:rPr>
              <w:t>个月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59"/>
              <w:spacing w:before="215" w:line="196" w:lineRule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1"/>
              </w:rPr>
              <w:t>&gt;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1"/>
              </w:rPr>
              <w:t>6</w:t>
            </w:r>
            <w:r>
              <w:rPr>
                <w:sz w:val="20"/>
                <w:szCs w:val="20"/>
                <w:color w:val="374151"/>
                <w:spacing w:val="-1"/>
              </w:rPr>
              <w:t>个月</w:t>
            </w:r>
          </w:p>
        </w:tc>
        <w:tc>
          <w:tcPr>
            <w:tcW w:w="4231" w:type="dxa"/>
            <w:vAlign w:val="top"/>
          </w:tcPr>
          <w:p>
            <w:pPr>
              <w:pStyle w:val="TableText"/>
              <w:ind w:left="167"/>
              <w:spacing w:before="214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1"/>
              </w:rPr>
              <w:t>追踪幸存者人均产出，找到谷底拐点</w:t>
            </w:r>
          </w:p>
        </w:tc>
      </w:tr>
      <w:tr>
        <w:trPr>
          <w:trHeight w:val="990" w:hRule="atLeast"/>
        </w:trPr>
        <w:tc>
          <w:tcPr>
            <w:tcW w:w="12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55"/>
              <w:spacing w:before="214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1"/>
              </w:rPr>
              <w:t>协作熵值变化</w:t>
            </w:r>
          </w:p>
        </w:tc>
        <w:tc>
          <w:tcPr>
            <w:tcW w:w="1048" w:type="dxa"/>
            <w:vAlign w:val="top"/>
          </w:tcPr>
          <w:p>
            <w:pPr>
              <w:ind w:left="151"/>
              <w:spacing w:before="215"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2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2"/>
              </w:rPr>
              <w:t>+10%</w:t>
            </w:r>
          </w:p>
        </w:tc>
        <w:tc>
          <w:tcPr>
            <w:tcW w:w="1048" w:type="dxa"/>
            <w:vAlign w:val="top"/>
          </w:tcPr>
          <w:p>
            <w:pPr>
              <w:ind w:left="159"/>
              <w:spacing w:before="215" w:line="272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position w:val="1"/>
              </w:rPr>
              <w:t>&gt;</w:t>
            </w:r>
          </w:p>
          <w:p>
            <w:pPr>
              <w:ind w:left="159"/>
              <w:spacing w:before="57"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8"/>
              </w:rPr>
              <w:t>+30%</w:t>
            </w:r>
          </w:p>
        </w:tc>
        <w:tc>
          <w:tcPr>
            <w:tcW w:w="4231" w:type="dxa"/>
            <w:vAlign w:val="top"/>
          </w:tcPr>
          <w:p>
            <w:pPr>
              <w:pStyle w:val="TableText"/>
              <w:ind w:left="164"/>
              <w:spacing w:before="21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4"/>
              </w:rPr>
              <w:t>飞书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4"/>
              </w:rPr>
              <w:t>/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6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4"/>
              </w:rPr>
              <w:t>钉钉后台导出：</w:t>
            </w:r>
          </w:p>
          <w:p>
            <w:pPr>
              <w:pStyle w:val="TableText"/>
              <w:ind w:left="168"/>
              <w:spacing w:before="3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3"/>
              </w:rPr>
              <w:t>单项目平均拉群数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3"/>
              </w:rPr>
              <w:t>/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8"/>
                <w:w w:val="101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3"/>
              </w:rPr>
              <w:t>跨部门会议日历周占比</w:t>
            </w:r>
          </w:p>
        </w:tc>
      </w:tr>
      <w:tr>
        <w:trPr>
          <w:trHeight w:val="1005" w:hRule="atLeast"/>
        </w:trPr>
        <w:tc>
          <w:tcPr>
            <w:tcW w:w="12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55"/>
              <w:spacing w:before="214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1"/>
              </w:rPr>
              <w:t>数字资产留存度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58"/>
              <w:spacing w:before="215" w:line="206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4"/>
              </w:rPr>
              <w:t>≥</w:t>
            </w:r>
            <w:r>
              <w:rPr>
                <w:sz w:val="20"/>
                <w:szCs w:val="20"/>
                <w:color w:val="374151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4"/>
              </w:rPr>
              <w:t>80%</w:t>
            </w:r>
          </w:p>
        </w:tc>
        <w:tc>
          <w:tcPr>
            <w:tcW w:w="1048" w:type="dxa"/>
            <w:vAlign w:val="top"/>
          </w:tcPr>
          <w:p>
            <w:pPr>
              <w:ind w:left="159"/>
              <w:spacing w:before="215"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6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6"/>
              </w:rPr>
              <w:t>50%</w:t>
            </w:r>
          </w:p>
        </w:tc>
        <w:tc>
          <w:tcPr>
            <w:tcW w:w="4231" w:type="dxa"/>
            <w:vAlign w:val="top"/>
          </w:tcPr>
          <w:p>
            <w:pPr>
              <w:pStyle w:val="TableText"/>
              <w:ind w:left="175" w:right="1149" w:hanging="4"/>
              <w:spacing w:before="216" w:line="2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-4"/>
              </w:rPr>
              <w:t>离职员工经验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4"/>
              </w:rPr>
              <w:t>AI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46"/>
                <w:w w:val="101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-4"/>
              </w:rPr>
              <w:t>向量化留存率：</w:t>
            </w:r>
            <w:r>
              <w:rPr>
                <w:sz w:val="20"/>
                <w:szCs w:val="20"/>
                <w:color w:val="374151"/>
                <w:spacing w:val="3"/>
              </w:rPr>
              <w:t>已归档知识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3"/>
              </w:rPr>
              <w:t>/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3"/>
              </w:rPr>
              <w:t>关键岗位知识总量</w:t>
            </w:r>
          </w:p>
        </w:tc>
      </w:tr>
      <w:tr>
        <w:trPr>
          <w:trHeight w:val="1095" w:hRule="atLeast"/>
        </w:trPr>
        <w:tc>
          <w:tcPr>
            <w:tcW w:w="1250" w:type="dxa"/>
            <w:vAlign w:val="top"/>
          </w:tcPr>
          <w:p>
            <w:pPr>
              <w:pStyle w:val="TableText"/>
              <w:ind w:firstLine="149"/>
              <w:spacing w:before="158" w:line="765" w:lineRule="exact"/>
              <w:rPr/>
            </w:pPr>
            <w:r>
              <w:rPr>
                <w:position w:val="-15"/>
              </w:rPr>
              <w:pict>
                <v:group id="_x0000_s16" style="mso-position-vertical-relative:line;mso-position-horizontal-relative:char;width:46.5pt;height:38.25pt;" filled="false" stroked="false" coordsize="930,765" coordorigin="0,0">
                  <v:shape id="_x0000_s18" style="position:absolute;left:-20;top:-20;width:970;height:80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910" w:type="dxa"/>
                            <w:tblInd w:w="30" w:type="dxa"/>
                            <w:tblLayout w:type="fixed"/>
                            <w:tblBorders>
                              <w:left w:val="single" w:color="A7F3D0" w:sz="8" w:space="0"/>
                              <w:bottom w:val="single" w:color="A7F3D0" w:sz="8" w:space="0"/>
                              <w:right w:val="single" w:color="A7F3D0" w:sz="8" w:space="0"/>
                              <w:top w:val="single" w:color="A7F3D0" w:sz="8" w:space="0"/>
                            </w:tblBorders>
                          </w:tblPr>
                          <w:tblGrid>
                            <w:gridCol w:w="910"/>
                          </w:tblGrid>
                          <w:tr>
                            <w:trPr>
                              <w:trHeight w:val="725" w:hRule="atLeast"/>
                            </w:trPr>
                            <w:tc>
                              <w:tcPr>
                                <w:shd w:val="clear" w:fill="D3FAE6"/>
                                <w:tcW w:w="910" w:type="dxa"/>
                                <w:vAlign w:val="top"/>
                              </w:tcPr>
                              <w:p>
                                <w:pPr>
                                  <w:ind w:left="124" w:right="190" w:hanging="7"/>
                                  <w:spacing w:before="98" w:line="214" w:lineRule="auto"/>
                                  <w:rPr>
                                    <w:rFonts w:ascii="PingFang SC" w:hAnsi="PingFang SC" w:eastAsia="PingFang SC" w:cs="PingFang SC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PingFang SC" w:hAnsi="PingFang SC" w:eastAsia="PingFang SC" w:cs="PingFang SC"/>
                                    <w:sz w:val="19"/>
                                    <w:szCs w:val="19"/>
                                    <w:color w:val="065F46"/>
                                    <w:spacing w:val="4"/>
                                  </w:rPr>
                                  <w:t>③人才</w:t>
                                </w:r>
                                <w:r>
                                  <w:rPr>
                                    <w:rFonts w:ascii="PingFang SC" w:hAnsi="PingFang SC" w:eastAsia="PingFang SC" w:cs="PingFang SC"/>
                                    <w:sz w:val="19"/>
                                    <w:szCs w:val="19"/>
                                    <w:color w:val="065F46"/>
                                  </w:rPr>
                                  <w:t>密度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55"/>
              <w:spacing w:before="214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</w:rPr>
              <w:t>净人才密度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58"/>
              <w:spacing w:before="215" w:line="206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3"/>
              </w:rPr>
              <w:t>≥</w:t>
            </w:r>
            <w:r>
              <w:rPr>
                <w:sz w:val="20"/>
                <w:szCs w:val="20"/>
                <w:color w:val="374151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3"/>
              </w:rPr>
              <w:t>35%</w:t>
            </w:r>
          </w:p>
        </w:tc>
        <w:tc>
          <w:tcPr>
            <w:tcW w:w="1048" w:type="dxa"/>
            <w:vAlign w:val="top"/>
          </w:tcPr>
          <w:p>
            <w:pPr>
              <w:ind w:left="159"/>
              <w:spacing w:before="215"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5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5"/>
              </w:rPr>
              <w:t>25%</w:t>
            </w:r>
          </w:p>
        </w:tc>
        <w:tc>
          <w:tcPr>
            <w:tcW w:w="4231" w:type="dxa"/>
            <w:vAlign w:val="top"/>
          </w:tcPr>
          <w:p>
            <w:pPr>
              <w:pStyle w:val="TableText"/>
              <w:ind w:left="168"/>
              <w:spacing w:before="214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8"/>
              </w:rPr>
              <w:t>高绩效人数（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</w:rPr>
              <w:t>Top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8"/>
              </w:rPr>
              <w:t>2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</w:rPr>
              <w:t>buckets</w:t>
            </w:r>
            <w:r>
              <w:rPr>
                <w:sz w:val="20"/>
                <w:szCs w:val="20"/>
                <w:color w:val="374151"/>
                <w:spacing w:val="8"/>
              </w:rPr>
              <w:t>）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8"/>
              </w:rPr>
              <w:t>/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8"/>
              </w:rPr>
              <w:t>总人数</w:t>
            </w:r>
          </w:p>
        </w:tc>
      </w:tr>
      <w:tr>
        <w:trPr>
          <w:trHeight w:val="660" w:hRule="atLeast"/>
        </w:trPr>
        <w:tc>
          <w:tcPr>
            <w:tcW w:w="12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58"/>
              <w:spacing w:before="213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1"/>
              </w:rPr>
              <w:t>高绩效主动离职率</w:t>
            </w:r>
          </w:p>
        </w:tc>
        <w:tc>
          <w:tcPr>
            <w:tcW w:w="1048" w:type="dxa"/>
            <w:vAlign w:val="top"/>
          </w:tcPr>
          <w:p>
            <w:pPr>
              <w:ind w:left="151"/>
              <w:spacing w:before="215"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5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5"/>
              </w:rPr>
              <w:t>8%</w:t>
            </w:r>
          </w:p>
        </w:tc>
        <w:tc>
          <w:tcPr>
            <w:tcW w:w="1048" w:type="dxa"/>
            <w:vAlign w:val="top"/>
          </w:tcPr>
          <w:p>
            <w:pPr>
              <w:ind w:left="159"/>
              <w:spacing w:before="215"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4"/>
              </w:rPr>
              <w:t>&gt;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4"/>
              </w:rPr>
              <w:t>15%</w:t>
            </w:r>
          </w:p>
        </w:tc>
        <w:tc>
          <w:tcPr>
            <w:tcW w:w="4231" w:type="dxa"/>
            <w:vAlign w:val="top"/>
          </w:tcPr>
          <w:p>
            <w:pPr>
              <w:pStyle w:val="TableText"/>
              <w:ind w:left="168"/>
              <w:spacing w:before="21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3"/>
              </w:rPr>
              <w:t>高绩效员工主动离职数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3"/>
              </w:rPr>
              <w:t>/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32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3"/>
              </w:rPr>
              <w:t>高绩效总数</w:t>
            </w:r>
          </w:p>
        </w:tc>
      </w:tr>
      <w:tr>
        <w:trPr>
          <w:trHeight w:val="990" w:hRule="atLeast"/>
        </w:trPr>
        <w:tc>
          <w:tcPr>
            <w:tcW w:w="12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61"/>
              <w:spacing w:before="213" w:line="186" w:lineRule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5"/>
              </w:rPr>
              <w:t>P90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5"/>
              </w:rPr>
              <w:t>/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5"/>
              </w:rPr>
              <w:t>P50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5"/>
              </w:rPr>
              <w:t>产出比</w:t>
            </w:r>
          </w:p>
        </w:tc>
        <w:tc>
          <w:tcPr>
            <w:tcW w:w="1048" w:type="dxa"/>
            <w:vAlign w:val="top"/>
          </w:tcPr>
          <w:p>
            <w:pPr>
              <w:ind w:left="151"/>
              <w:spacing w:before="215" w:line="248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</w:rPr>
              <w:t>2.5x</w:t>
            </w:r>
          </w:p>
        </w:tc>
        <w:tc>
          <w:tcPr>
            <w:tcW w:w="1048" w:type="dxa"/>
            <w:vAlign w:val="top"/>
          </w:tcPr>
          <w:p>
            <w:pPr>
              <w:ind w:left="159"/>
              <w:spacing w:before="215" w:line="250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"/>
              </w:rPr>
              <w:t>&gt;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"/>
              </w:rPr>
              <w:t>4x</w:t>
            </w:r>
          </w:p>
        </w:tc>
        <w:tc>
          <w:tcPr>
            <w:tcW w:w="4231" w:type="dxa"/>
            <w:vAlign w:val="top"/>
          </w:tcPr>
          <w:p>
            <w:pPr>
              <w:pStyle w:val="TableText"/>
              <w:ind w:left="168"/>
              <w:spacing w:before="21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3"/>
              </w:rPr>
              <w:t>顶尖人才产出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3"/>
              </w:rPr>
              <w:t>/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34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3"/>
              </w:rPr>
              <w:t>中位人才产出</w:t>
            </w:r>
          </w:p>
          <w:p>
            <w:pPr>
              <w:pStyle w:val="TableText"/>
              <w:ind w:left="195"/>
              <w:spacing w:before="60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6B7280"/>
                <w:spacing w:val="5"/>
              </w:rPr>
              <w:t>（越大表示人才密度越不均匀）</w:t>
            </w:r>
          </w:p>
        </w:tc>
      </w:tr>
      <w:tr>
        <w:trPr>
          <w:trHeight w:val="1095" w:hRule="atLeast"/>
        </w:trPr>
        <w:tc>
          <w:tcPr>
            <w:tcW w:w="1250" w:type="dxa"/>
            <w:vAlign w:val="top"/>
          </w:tcPr>
          <w:p>
            <w:pPr>
              <w:spacing w:line="158" w:lineRule="exact"/>
              <w:rPr/>
            </w:pPr>
            <w:r/>
          </w:p>
          <w:tbl>
            <w:tblPr>
              <w:tblStyle w:val="TableNormal"/>
              <w:tblW w:w="910" w:type="dxa"/>
              <w:tblInd w:w="159" w:type="dxa"/>
              <w:shd w:val="clear" w:fill="D1FAE5"/>
              <w:tblLayout w:type="fixed"/>
              <w:tblBorders>
                <w:left w:val="single" w:color="A7F3D0" w:sz="8" w:space="0"/>
                <w:bottom w:val="single" w:color="A7F3D0" w:sz="8" w:space="0"/>
                <w:right w:val="single" w:color="A7F3D0" w:sz="8" w:space="0"/>
                <w:top w:val="single" w:color="A7F3D0" w:sz="8" w:space="0"/>
              </w:tblBorders>
            </w:tblPr>
            <w:tblGrid>
              <w:gridCol w:w="910"/>
            </w:tblGrid>
            <w:tr>
              <w:trPr>
                <w:trHeight w:val="725" w:hRule="atLeast"/>
              </w:trPr>
              <w:tc>
                <w:tcPr>
                  <w:shd w:val="clear" w:fill="D1FAE5"/>
                  <w:tcW w:w="910" w:type="dxa"/>
                  <w:vAlign w:val="top"/>
                </w:tcPr>
                <w:p>
                  <w:pPr>
                    <w:pStyle w:val="TableText"/>
                    <w:ind w:left="125" w:right="190" w:hanging="8"/>
                    <w:spacing w:before="98" w:line="21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65F46"/>
                      <w:spacing w:val="4"/>
                    </w:rPr>
                    <w:t>④流程</w:t>
                  </w:r>
                  <w:r>
                    <w:rPr>
                      <w:sz w:val="19"/>
                      <w:szCs w:val="19"/>
                      <w:color w:val="065F46"/>
                      <w:spacing w:val="-1"/>
                    </w:rPr>
                    <w:t>冗余</w:t>
                  </w:r>
                </w:p>
              </w:tc>
            </w:tr>
          </w:tbl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61" w:right="239" w:hanging="7"/>
              <w:spacing w:before="213" w:line="24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1"/>
              </w:rPr>
              <w:t>不创造价值步骤占</w:t>
            </w:r>
            <w:r>
              <w:rPr>
                <w:sz w:val="20"/>
                <w:szCs w:val="20"/>
                <w:color w:val="374151"/>
              </w:rPr>
              <w:t>⽐</w:t>
            </w:r>
          </w:p>
        </w:tc>
        <w:tc>
          <w:tcPr>
            <w:tcW w:w="1048" w:type="dxa"/>
            <w:vAlign w:val="top"/>
          </w:tcPr>
          <w:p>
            <w:pPr>
              <w:ind w:left="151"/>
              <w:spacing w:before="215"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5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5"/>
              </w:rPr>
              <w:t>20%</w:t>
            </w:r>
          </w:p>
        </w:tc>
        <w:tc>
          <w:tcPr>
            <w:tcW w:w="1048" w:type="dxa"/>
            <w:vAlign w:val="top"/>
          </w:tcPr>
          <w:p>
            <w:pPr>
              <w:ind w:left="159"/>
              <w:spacing w:before="215"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6"/>
              </w:rPr>
              <w:t>&gt;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6"/>
              </w:rPr>
              <w:t>35%</w:t>
            </w:r>
          </w:p>
        </w:tc>
        <w:tc>
          <w:tcPr>
            <w:tcW w:w="4231" w:type="dxa"/>
            <w:vAlign w:val="top"/>
          </w:tcPr>
          <w:p>
            <w:pPr>
              <w:pStyle w:val="TableText"/>
              <w:ind w:left="168" w:right="251" w:hanging="10"/>
              <w:spacing w:before="215" w:line="242" w:lineRule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</w:rPr>
              <w:t>Valueless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</w:rPr>
              <w:t>Steps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9"/>
              </w:rPr>
              <w:t xml:space="preserve"> /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</w:rPr>
              <w:t>Total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</w:rPr>
              <w:t>Steps</w:t>
            </w:r>
            <w:r>
              <w:rPr>
                <w:sz w:val="20"/>
                <w:szCs w:val="20"/>
                <w:color w:val="374151"/>
                <w:spacing w:val="19"/>
              </w:rPr>
              <w:t>（基于价值</w:t>
            </w:r>
            <w:r>
              <w:rPr>
                <w:sz w:val="20"/>
                <w:szCs w:val="20"/>
                <w:color w:val="374151"/>
                <w:spacing w:val="-1"/>
              </w:rPr>
              <w:t>流映射）</w:t>
            </w:r>
          </w:p>
        </w:tc>
      </w:tr>
      <w:tr>
        <w:trPr>
          <w:trHeight w:val="660" w:hRule="atLeast"/>
        </w:trPr>
        <w:tc>
          <w:tcPr>
            <w:tcW w:w="12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47"/>
              <w:spacing w:before="213" w:line="186" w:lineRule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</w:rPr>
              <w:t>AI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374151"/>
              </w:rPr>
              <w:t>可替代流程占比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158"/>
              <w:spacing w:before="215" w:line="206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5"/>
              </w:rPr>
              <w:t>≥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5"/>
              </w:rPr>
              <w:t>40%</w:t>
            </w:r>
          </w:p>
        </w:tc>
        <w:tc>
          <w:tcPr>
            <w:tcW w:w="1048" w:type="dxa"/>
            <w:vAlign w:val="top"/>
          </w:tcPr>
          <w:p>
            <w:pPr>
              <w:ind w:left="159"/>
              <w:spacing w:before="215" w:line="245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5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5"/>
              </w:rPr>
              <w:t>20%</w:t>
            </w:r>
          </w:p>
        </w:tc>
        <w:tc>
          <w:tcPr>
            <w:tcW w:w="4231" w:type="dxa"/>
            <w:vAlign w:val="top"/>
          </w:tcPr>
          <w:p>
            <w:pPr>
              <w:pStyle w:val="TableText"/>
              <w:ind w:left="157"/>
              <w:spacing w:before="215" w:line="196" w:lineRule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</w:rPr>
              <w:t>AI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8"/>
                <w:w w:val="101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3"/>
              </w:rPr>
              <w:t>可完全替代的步骤数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3"/>
              </w:rPr>
              <w:t>/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0"/>
              </w:rPr>
              <w:t xml:space="preserve"> </w:t>
            </w:r>
            <w:r>
              <w:rPr>
                <w:sz w:val="20"/>
                <w:szCs w:val="20"/>
                <w:color w:val="374151"/>
                <w:spacing w:val="3"/>
              </w:rPr>
              <w:t>总步骤数</w:t>
            </w:r>
          </w:p>
        </w:tc>
      </w:tr>
      <w:tr>
        <w:trPr>
          <w:trHeight w:val="668" w:hRule="atLeast"/>
        </w:trPr>
        <w:tc>
          <w:tcPr>
            <w:tcW w:w="1250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2" w:type="dxa"/>
            <w:vAlign w:val="top"/>
            <w:tcBorders>
              <w:bottom w:val="nil"/>
            </w:tcBorders>
          </w:tcPr>
          <w:p>
            <w:pPr>
              <w:pStyle w:val="TableText"/>
              <w:ind w:left="154"/>
              <w:spacing w:before="214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1"/>
              </w:rPr>
              <w:t>跨部门交接次数</w:t>
            </w:r>
          </w:p>
        </w:tc>
        <w:tc>
          <w:tcPr>
            <w:tcW w:w="1048" w:type="dxa"/>
            <w:vAlign w:val="top"/>
            <w:tcBorders>
              <w:bottom w:val="nil"/>
            </w:tcBorders>
          </w:tcPr>
          <w:p>
            <w:pPr>
              <w:pStyle w:val="TableText"/>
              <w:ind w:left="151"/>
              <w:spacing w:before="215" w:line="196" w:lineRule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1"/>
              </w:rPr>
              <w:t>&lt;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1"/>
              </w:rPr>
              <w:t>3</w:t>
            </w:r>
            <w:r>
              <w:rPr>
                <w:sz w:val="20"/>
                <w:szCs w:val="20"/>
                <w:color w:val="374151"/>
                <w:spacing w:val="-1"/>
              </w:rPr>
              <w:t>次</w:t>
            </w:r>
          </w:p>
        </w:tc>
        <w:tc>
          <w:tcPr>
            <w:tcW w:w="1048" w:type="dxa"/>
            <w:vAlign w:val="top"/>
            <w:tcBorders>
              <w:bottom w:val="nil"/>
            </w:tcBorders>
          </w:tcPr>
          <w:p>
            <w:pPr>
              <w:pStyle w:val="TableText"/>
              <w:ind w:left="159"/>
              <w:spacing w:before="215" w:line="196" w:lineRule="auto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1"/>
              </w:rPr>
              <w:t>&gt;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374151"/>
                <w:spacing w:val="-1"/>
              </w:rPr>
              <w:t>5</w:t>
            </w:r>
            <w:r>
              <w:rPr>
                <w:sz w:val="20"/>
                <w:szCs w:val="20"/>
                <w:color w:val="374151"/>
                <w:spacing w:val="-1"/>
              </w:rPr>
              <w:t>次</w:t>
            </w:r>
          </w:p>
        </w:tc>
        <w:tc>
          <w:tcPr>
            <w:tcW w:w="4231" w:type="dxa"/>
            <w:vAlign w:val="top"/>
            <w:tcBorders>
              <w:bottom w:val="nil"/>
            </w:tcBorders>
          </w:tcPr>
          <w:p>
            <w:pPr>
              <w:pStyle w:val="TableText"/>
              <w:ind w:left="165"/>
              <w:spacing w:before="214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74151"/>
                <w:spacing w:val="1"/>
              </w:rPr>
              <w:t>端到端流程中跨部门传递的次数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"/>
          <w:pgSz w:w="11900" w:h="16839"/>
          <w:pgMar w:top="538" w:right="473" w:bottom="449" w:left="484" w:header="292" w:footer="30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14" w:lineRule="auto"/>
        <w:rPr>
          <w:rFonts w:ascii="Arial"/>
          <w:sz w:val="21"/>
        </w:rPr>
      </w:pPr>
      <w:r/>
    </w:p>
    <w:p>
      <w:pPr>
        <w:ind w:firstLine="670"/>
        <w:spacing w:line="2685" w:lineRule="exact"/>
        <w:rPr/>
      </w:pPr>
      <w:r>
        <w:rPr>
          <w:position w:val="-53"/>
        </w:rPr>
        <w:pict>
          <v:group id="_x0000_s20" style="mso-position-vertical-relative:line;mso-position-horizontal-relative:char;width:480.75pt;height:134.25pt;" filled="false" stroked="false" coordsize="9615,2685" coordorigin="0,0">
            <v:rect id="_x0000_s22" style="position:absolute;left:37;top:0;width:9578;height:2685;" fillcolor="#EFF6FF" filled="true" stroked="false"/>
            <v:shape id="_x0000_s24" style="position:absolute;left:380;top:305;width:7083;height:20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1" w:lineRule="auto"/>
                      <w:rPr>
                        <w:rFonts w:ascii="PingFang SC" w:hAnsi="PingFang SC" w:eastAsia="PingFang SC" w:cs="PingFang SC"/>
                        <w:sz w:val="25"/>
                        <w:szCs w:val="25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5"/>
                        <w:szCs w:val="25"/>
                        <w:color w:val="1E40AF"/>
                        <w:spacing w:val="1"/>
                      </w:rPr>
                      <w:t>會</w:t>
                    </w:r>
                    <w:r>
                      <w:rPr>
                        <w:rFonts w:ascii="PingFang SC" w:hAnsi="PingFang SC" w:eastAsia="PingFang SC" w:cs="PingFang SC"/>
                        <w:sz w:val="25"/>
                        <w:szCs w:val="25"/>
                        <w:color w:val="1E40AF"/>
                        <w:spacing w:val="7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25"/>
                        <w:szCs w:val="25"/>
                        <w:color w:val="1E40AF"/>
                        <w:spacing w:val="1"/>
                      </w:rPr>
                      <w:t>冰山模型诊断框架</w:t>
                    </w:r>
                    <w:r>
                      <w:rPr>
                        <w:rFonts w:ascii="PingFang SC" w:hAnsi="PingFang SC" w:eastAsia="PingFang SC" w:cs="PingFang SC"/>
                        <w:sz w:val="25"/>
                        <w:szCs w:val="25"/>
                        <w:color w:val="1E40AF"/>
                        <w:spacing w:val="-4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25"/>
                        <w:szCs w:val="25"/>
                        <w:color w:val="1E40AF"/>
                        <w:spacing w:val="1"/>
                      </w:rPr>
                      <w:t>：四步法</w:t>
                    </w:r>
                  </w:p>
                  <w:p>
                    <w:pPr>
                      <w:ind w:left="33" w:right="128"/>
                      <w:spacing w:before="156" w:line="262" w:lineRule="auto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1E40AF"/>
                        <w:spacing w:val="-5"/>
                      </w:rPr>
                      <w:t>第一步【测】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5"/>
                      </w:rPr>
                      <w:t>：用上表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334155"/>
                        <w:spacing w:val="-5"/>
                      </w:rPr>
                      <w:t>12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334155"/>
                        <w:spacing w:val="19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5"/>
                      </w:rPr>
                      <w:t>个指标对组织做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6"/>
                      </w:rPr>
                      <w:t>全面体检，标出所有 </w:t>
                    </w:r>
                    <w:r>
                      <w:rPr>
                        <w:sz w:val="21"/>
                        <w:szCs w:val="21"/>
                        <w:color w:val="334155"/>
                      </w:rPr>
                      <w:drawing>
                        <wp:inline distT="0" distB="0" distL="0" distR="0">
                          <wp:extent cx="137617" cy="137617"/>
                          <wp:effectExtent l="0" t="0" r="0" b="0"/>
                          <wp:docPr id="20" name="IM 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" name="IM 20"/>
                                  <pic:cNvPicPr/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7617" cy="13761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6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6"/>
                      </w:rPr>
                      <w:t>预警项。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1E40AF"/>
                        <w:spacing w:val="-8"/>
                      </w:rPr>
                      <w:t>第二步【拆】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8"/>
                      </w:rPr>
                      <w:t>：将预警项拆解为可操作的子指标，分配责任人（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334155"/>
                        <w:spacing w:val="-8"/>
                      </w:rPr>
                      <w:t>DRI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8"/>
                      </w:rPr>
                      <w:t>）。</w:t>
                    </w:r>
                  </w:p>
                  <w:p>
                    <w:pPr>
                      <w:ind w:left="33"/>
                      <w:spacing w:before="1" w:line="181" w:lineRule="auto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1E40AF"/>
                        <w:spacing w:val="-5"/>
                      </w:rPr>
                      <w:t>第三步【比】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5"/>
                      </w:rPr>
                      <w:t>：与行业基线（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334155"/>
                        <w:spacing w:val="-5"/>
                      </w:rPr>
                      <w:t>P50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334155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334155"/>
                        <w:spacing w:val="-5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33415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334155"/>
                        <w:spacing w:val="-5"/>
                      </w:rPr>
                      <w:t>P75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5"/>
                      </w:rPr>
                      <w:t>）对比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3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5"/>
                      </w:rPr>
                      <w:t>，找到最大差距项。</w:t>
                    </w:r>
                  </w:p>
                  <w:p>
                    <w:pPr>
                      <w:spacing w:before="115" w:line="182" w:lineRule="auto"/>
                      <w:jc w:val="right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1E40AF"/>
                        <w:spacing w:val="-5"/>
                      </w:rPr>
                      <w:t>第四步【行动】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5"/>
                      </w:rPr>
                      <w:t>：优先处理「高差距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334155"/>
                        <w:spacing w:val="-5"/>
                      </w:rPr>
                      <w:t>+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334155"/>
                        <w:spacing w:val="3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5"/>
                      </w:rPr>
                      <w:t>高可控性J  项，制定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334155"/>
                        <w:spacing w:val="-5"/>
                      </w:rPr>
                      <w:t>90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334155"/>
                        <w:spacing w:val="2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color w:val="334155"/>
                        <w:spacing w:val="-5"/>
                      </w:rPr>
                      <w:t>天改进计划。</w:t>
                    </w:r>
                  </w:p>
                </w:txbxContent>
              </v:textbox>
            </v:shape>
            <v:shape id="_x0000_s26" style="position:absolute;left:0;top:0;width:75;height:2685;" filled="false" stroked="false" type="#_x0000_t75">
              <v:imagedata o:title="" r:id="rId16"/>
            </v:shape>
          </v:group>
        </w:pict>
      </w:r>
    </w:p>
    <w:p>
      <w:pPr>
        <w:spacing w:before="178"/>
        <w:rPr/>
      </w:pPr>
      <w:r/>
    </w:p>
    <w:tbl>
      <w:tblPr>
        <w:tblStyle w:val="TableNormal"/>
        <w:tblW w:w="9579" w:type="dxa"/>
        <w:tblInd w:w="687" w:type="dxa"/>
        <w:tblLayout w:type="fixed"/>
        <w:tblBorders>
          <w:top w:val="single" w:color="BFDBFE" w:sz="14" w:space="0"/>
          <w:left w:val="single" w:color="BFDBFE" w:sz="14" w:space="0"/>
          <w:bottom w:val="single" w:color="BFDBFE" w:sz="14" w:space="0"/>
          <w:right w:val="single" w:color="BFDBFE" w:sz="14" w:space="0"/>
          <w:insideH w:val="single" w:color="BFDBFE" w:sz="14" w:space="0"/>
          <w:insideV w:val="single" w:color="BFDBFE" w:sz="14" w:space="0"/>
        </w:tblBorders>
      </w:tblPr>
      <w:tblGrid>
        <w:gridCol w:w="8700"/>
        <w:gridCol w:w="879"/>
      </w:tblGrid>
      <w:tr>
        <w:trPr>
          <w:trHeight w:val="817" w:hRule="atLeast"/>
        </w:trPr>
        <w:tc>
          <w:tcPr>
            <w:tcW w:w="9579" w:type="dxa"/>
            <w:vAlign w:val="top"/>
            <w:gridSpan w:val="2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67"/>
              <w:spacing w:before="127" w:line="194" w:lineRule="auto"/>
              <w:outlineLvl w:val="0"/>
              <w:rPr>
                <w:sz w:val="28"/>
                <w:szCs w:val="2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-173359</wp:posOffset>
                      </wp:positionV>
                      <wp:extent cx="6067425" cy="3086100"/>
                      <wp:effectExtent l="0" t="0" r="0" b="0"/>
                      <wp:wrapNone/>
                      <wp:docPr id="22" name="Rect 22"/>
                      <wp:cNvGraphicFramePr/>
                      <a:graphic>
                        <a:graphicData uri="http://schemas.microsoft.com/office/word/2010/wordprocessingShape">
                          <wps:wsp>
                            <wps:cNvPr id="22" name="Rect 22"/>
                            <wps:cNvSpPr/>
                            <wps:spPr>
                              <a:xfrm>
                                <a:off x="-3175" y="-173359"/>
                                <a:ext cx="6067425" cy="3086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9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8" style="position:absolute;margin-left:-0.25pt;margin-top:-13.6503pt;mso-position-vertical-relative:text;mso-position-horizontal-relative:text;width:477.75pt;height:243pt;z-index:-251656192;" fillcolor="#F0F9FF" filled="true" stroked="false"/>
                  </w:pict>
                </mc:Fallback>
              </mc:AlternateContent>
            </w:r>
            <w:r>
              <w:rPr>
                <w:sz w:val="28"/>
                <w:szCs w:val="28"/>
                <w:color w:val="1E40AF"/>
                <w:spacing w:val="3"/>
              </w:rPr>
              <w:t>鷗</w:t>
            </w:r>
            <w:r>
              <w:rPr>
                <w:sz w:val="28"/>
                <w:szCs w:val="28"/>
                <w:color w:val="1E40AF"/>
                <w:spacing w:val="58"/>
              </w:rPr>
              <w:t xml:space="preserve"> </w:t>
            </w:r>
            <w:r>
              <w:rPr>
                <w:sz w:val="28"/>
                <w:szCs w:val="28"/>
                <w:color w:val="1E40AF"/>
                <w:spacing w:val="3"/>
              </w:rPr>
              <w:t>关注 </w:t>
            </w:r>
            <w:r>
              <w:rPr>
                <w:rFonts w:ascii="Arial" w:hAnsi="Arial" w:eastAsia="Arial" w:cs="Arial"/>
                <w:sz w:val="28"/>
                <w:szCs w:val="28"/>
                <w:color w:val="1E40AF"/>
              </w:rPr>
              <w:t>AIHR</w:t>
            </w:r>
            <w:r>
              <w:rPr>
                <w:rFonts w:ascii="Arial" w:hAnsi="Arial" w:eastAsia="Arial" w:cs="Arial"/>
                <w:sz w:val="28"/>
                <w:szCs w:val="28"/>
                <w:color w:val="1E40AF"/>
                <w:spacing w:val="28"/>
              </w:rPr>
              <w:t xml:space="preserve"> </w:t>
            </w:r>
            <w:r>
              <w:rPr>
                <w:sz w:val="28"/>
                <w:szCs w:val="28"/>
                <w:color w:val="1E40AF"/>
                <w:spacing w:val="3"/>
              </w:rPr>
              <w:t>数智引擎</w:t>
            </w:r>
          </w:p>
        </w:tc>
      </w:tr>
      <w:tr>
        <w:trPr>
          <w:trHeight w:val="4032" w:hRule="atLeast"/>
        </w:trPr>
        <w:tc>
          <w:tcPr>
            <w:tcW w:w="8700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607"/>
              <w:spacing w:before="113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475569"/>
                <w:spacing w:val="-2"/>
              </w:rPr>
              <w:t>扫码关注公众号，获取更多 </w:t>
            </w:r>
            <w:r>
              <w:rPr>
                <w:rFonts w:ascii="Arial" w:hAnsi="Arial" w:eastAsia="Arial" w:cs="Arial"/>
                <w:sz w:val="21"/>
                <w:szCs w:val="21"/>
                <w:color w:val="475569"/>
                <w:spacing w:val="-2"/>
              </w:rPr>
              <w:t>AI</w:t>
            </w:r>
            <w:r>
              <w:rPr>
                <w:rFonts w:ascii="Arial" w:hAnsi="Arial" w:eastAsia="Arial" w:cs="Arial"/>
                <w:sz w:val="21"/>
                <w:szCs w:val="21"/>
                <w:color w:val="475569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color w:val="475569"/>
                <w:spacing w:val="-2"/>
              </w:rPr>
              <w:t>+</w:t>
            </w:r>
            <w:r>
              <w:rPr>
                <w:rFonts w:ascii="Arial" w:hAnsi="Arial" w:eastAsia="Arial" w:cs="Arial"/>
                <w:sz w:val="21"/>
                <w:szCs w:val="21"/>
                <w:color w:val="475569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color w:val="475569"/>
                <w:spacing w:val="-2"/>
              </w:rPr>
              <w:t>HR</w:t>
            </w:r>
            <w:r>
              <w:rPr>
                <w:rFonts w:ascii="Arial" w:hAnsi="Arial" w:eastAsia="Arial" w:cs="Arial"/>
                <w:sz w:val="21"/>
                <w:szCs w:val="21"/>
                <w:color w:val="475569"/>
                <w:spacing w:val="22"/>
              </w:rPr>
              <w:t xml:space="preserve"> </w:t>
            </w:r>
            <w:r>
              <w:rPr>
                <w:sz w:val="21"/>
                <w:szCs w:val="21"/>
                <w:color w:val="475569"/>
                <w:spacing w:val="-2"/>
              </w:rPr>
              <w:t>深度内容、实操工具与行业洞察</w:t>
            </w:r>
          </w:p>
          <w:p>
            <w:pPr>
              <w:ind w:firstLine="3267"/>
              <w:spacing w:before="196" w:line="3062" w:lineRule="exact"/>
              <w:rPr/>
            </w:pPr>
            <w:r>
              <w:rPr>
                <w:position w:val="-61"/>
              </w:rPr>
              <w:drawing>
                <wp:inline distT="0" distB="0" distL="0" distR="0">
                  <wp:extent cx="1931618" cy="1944243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31618" cy="1944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9" w:type="dxa"/>
            <w:vAlign w:val="top"/>
            <w:tcBorders>
              <w:left w:val="nil"/>
              <w:top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firstLine="765"/>
              <w:spacing w:line="57" w:lineRule="exact"/>
              <w:rPr/>
            </w:pPr>
            <w:r>
              <w:rPr>
                <w:position w:val="-4"/>
              </w:rPr>
              <w:pict>
                <v:shape id="_x0000_s30" style="mso-position-vertical-relative:line;mso-position-horizontal-relative:char;width:5.25pt;height:4.55pt;" filled="false" strokecolor="#BFDBFE" strokeweight="1.50pt" coordsize="105,91" coordorigin="0,0" path="m89,15c83,24,76,32,68,40c60,47,52,54,43,60c34,66,25,71,15,75e">
                  <v:stroke joinstyle="miter" miterlimit="4"/>
                </v:shape>
              </w:pict>
            </w:r>
          </w:p>
        </w:tc>
      </w:tr>
    </w:tbl>
    <w:p>
      <w:pPr>
        <w:spacing w:line="456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425578</wp:posOffset>
            </wp:positionH>
            <wp:positionV relativeFrom="paragraph">
              <wp:posOffset>190252</wp:posOffset>
            </wp:positionV>
            <wp:extent cx="6105525" cy="952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5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811"/>
        <w:spacing w:before="81" w:line="182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94A3B8"/>
          <w:spacing w:val="-1"/>
        </w:rPr>
        <w:t>AIHR</w:t>
      </w:r>
      <w:r>
        <w:rPr>
          <w:rFonts w:ascii="Arial" w:hAnsi="Arial" w:eastAsia="Arial" w:cs="Arial"/>
          <w:sz w:val="18"/>
          <w:szCs w:val="18"/>
          <w:color w:val="94A3B8"/>
          <w:spacing w:val="27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94A3B8"/>
          <w:spacing w:val="-1"/>
        </w:rPr>
        <w:t>数智引擎</w:t>
      </w:r>
      <w:r>
        <w:rPr>
          <w:rFonts w:ascii="PingFang SC" w:hAnsi="PingFang SC" w:eastAsia="PingFang SC" w:cs="PingFang SC"/>
          <w:sz w:val="18"/>
          <w:szCs w:val="18"/>
          <w:color w:val="94A3B8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94A3B8"/>
          <w:spacing w:val="-1"/>
        </w:rPr>
        <w:t>·</w:t>
      </w:r>
      <w:r>
        <w:rPr>
          <w:rFonts w:ascii="Arial" w:hAnsi="Arial" w:eastAsia="Arial" w:cs="Arial"/>
          <w:sz w:val="18"/>
          <w:szCs w:val="18"/>
          <w:color w:val="94A3B8"/>
          <w:spacing w:val="24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94A3B8"/>
          <w:spacing w:val="-1"/>
        </w:rPr>
        <w:t>降本增效冰山模型</w:t>
      </w:r>
      <w:r>
        <w:rPr>
          <w:rFonts w:ascii="PingFang SC" w:hAnsi="PingFang SC" w:eastAsia="PingFang SC" w:cs="PingFang SC"/>
          <w:sz w:val="18"/>
          <w:szCs w:val="18"/>
          <w:color w:val="94A3B8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94A3B8"/>
          <w:spacing w:val="-1"/>
        </w:rPr>
        <w:t>· AI</w:t>
      </w:r>
      <w:r>
        <w:rPr>
          <w:rFonts w:ascii="Arial" w:hAnsi="Arial" w:eastAsia="Arial" w:cs="Arial"/>
          <w:sz w:val="18"/>
          <w:szCs w:val="18"/>
          <w:color w:val="94A3B8"/>
          <w:spacing w:val="24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94A3B8"/>
          <w:spacing w:val="-1"/>
        </w:rPr>
        <w:t>时代版 </w:t>
      </w:r>
      <w:r>
        <w:rPr>
          <w:rFonts w:ascii="Arial" w:hAnsi="Arial" w:eastAsia="Arial" w:cs="Arial"/>
          <w:sz w:val="18"/>
          <w:szCs w:val="18"/>
          <w:color w:val="94A3B8"/>
          <w:spacing w:val="-1"/>
        </w:rPr>
        <w:t>v2.0  ·</w:t>
      </w:r>
      <w:r>
        <w:rPr>
          <w:rFonts w:ascii="Arial" w:hAnsi="Arial" w:eastAsia="Arial" w:cs="Arial"/>
          <w:sz w:val="18"/>
          <w:szCs w:val="18"/>
          <w:color w:val="94A3B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94A3B8"/>
          <w:spacing w:val="-1"/>
        </w:rPr>
        <w:t>2026</w:t>
      </w:r>
      <w:r>
        <w:rPr>
          <w:rFonts w:ascii="PingFang SC" w:hAnsi="PingFang SC" w:eastAsia="PingFang SC" w:cs="PingFang SC"/>
          <w:sz w:val="18"/>
          <w:szCs w:val="18"/>
          <w:color w:val="94A3B8"/>
          <w:spacing w:val="-1"/>
        </w:rPr>
        <w:t>年</w:t>
      </w:r>
      <w:r>
        <w:rPr>
          <w:rFonts w:ascii="Arial" w:hAnsi="Arial" w:eastAsia="Arial" w:cs="Arial"/>
          <w:sz w:val="18"/>
          <w:szCs w:val="18"/>
          <w:color w:val="94A3B8"/>
          <w:spacing w:val="-1"/>
        </w:rPr>
        <w:t>6</w:t>
      </w:r>
      <w:r>
        <w:rPr>
          <w:rFonts w:ascii="PingFang SC" w:hAnsi="PingFang SC" w:eastAsia="PingFang SC" w:cs="PingFang SC"/>
          <w:sz w:val="18"/>
          <w:szCs w:val="18"/>
          <w:color w:val="94A3B8"/>
          <w:spacing w:val="-1"/>
        </w:rPr>
        <w:t>月</w:t>
      </w:r>
    </w:p>
    <w:sectPr>
      <w:footerReference w:type="default" r:id="rId14"/>
      <w:pgSz w:w="11900" w:h="16839"/>
      <w:pgMar w:top="538" w:right="473" w:bottom="449" w:left="484" w:header="292" w:footer="30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8"/>
      </w:rPr>
      <w:t>ﬁ</w:t>
    </w:r>
    <w:r>
      <w:rPr/>
      <w:t>le</w:t>
    </w:r>
    <w:r>
      <w:rPr>
        <w:spacing w:val="8"/>
      </w:rPr>
      <w:t>:///</w:t>
    </w:r>
    <w:r>
      <w:rPr/>
      <w:t>Users</w:t>
    </w:r>
    <w:r>
      <w:rPr>
        <w:spacing w:val="8"/>
      </w:rPr>
      <w:t>/</w:t>
    </w:r>
    <w:r>
      <w:rPr/>
      <w:t>andyzhang</w:t>
    </w:r>
    <w:r>
      <w:rPr>
        <w:spacing w:val="8"/>
      </w:rPr>
      <w:t>/</w:t>
    </w:r>
    <w:r>
      <w:rPr/>
      <w:t>WorkBuddy</w:t>
    </w:r>
    <w:r>
      <w:rPr>
        <w:spacing w:val="8"/>
      </w:rPr>
      <w:t>/2026-06-03-</w:t>
    </w:r>
    <w:r>
      <w:rPr>
        <w:spacing w:val="-20"/>
      </w:rPr>
      <w:t xml:space="preserve"> </w:t>
    </w:r>
    <w:r>
      <w:rPr>
        <w:spacing w:val="8"/>
      </w:rPr>
      <w:t>17-</w:t>
    </w:r>
    <w:r>
      <w:rPr>
        <w:spacing w:val="-20"/>
      </w:rPr>
      <w:t xml:space="preserve"> </w:t>
    </w:r>
    <w:r>
      <w:rPr>
        <w:spacing w:val="8"/>
      </w:rPr>
      <w:t>17-</w:t>
    </w:r>
    <w:r>
      <w:rPr>
        <w:spacing w:val="-19"/>
      </w:rPr>
      <w:t xml:space="preserve"> </w:t>
    </w:r>
    <w:r>
      <w:rPr>
        <w:spacing w:val="8"/>
      </w:rPr>
      <w:t>18/</w:t>
    </w:r>
    <w:r>
      <w:rPr/>
      <w:t>site</w:t>
    </w:r>
    <w:r>
      <w:rPr>
        <w:spacing w:val="8"/>
      </w:rPr>
      <w:t>/</w:t>
    </w:r>
    <w:r>
      <w:rPr/>
      <w:t>assets</w:t>
    </w:r>
    <w:r>
      <w:rPr>
        <w:spacing w:val="8"/>
      </w:rPr>
      <w:t>/</w:t>
    </w:r>
    <w:r>
      <w:rPr/>
      <w:t>iceberg</w:t>
    </w:r>
    <w:r>
      <w:rPr>
        <w:spacing w:val="7"/>
      </w:rPr>
      <w:t>-</w:t>
    </w:r>
    <w:r>
      <w:rPr/>
      <w:t>model</w:t>
    </w:r>
    <w:r>
      <w:rPr>
        <w:spacing w:val="7"/>
      </w:rPr>
      <w:t>.</w:t>
    </w:r>
    <w:r>
      <w:rPr/>
      <w:t>html                                                                                                                                      </w:t>
    </w:r>
    <w:r>
      <w:rPr>
        <w:spacing w:val="7"/>
      </w:rPr>
      <w:t>1/3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8"/>
      </w:rPr>
      <w:t>ﬁ</w:t>
    </w:r>
    <w:r>
      <w:rPr/>
      <w:t>le</w:t>
    </w:r>
    <w:r>
      <w:rPr>
        <w:spacing w:val="8"/>
      </w:rPr>
      <w:t>:///</w:t>
    </w:r>
    <w:r>
      <w:rPr/>
      <w:t>Users</w:t>
    </w:r>
    <w:r>
      <w:rPr>
        <w:spacing w:val="8"/>
      </w:rPr>
      <w:t>/</w:t>
    </w:r>
    <w:r>
      <w:rPr/>
      <w:t>andyzhang</w:t>
    </w:r>
    <w:r>
      <w:rPr>
        <w:spacing w:val="8"/>
      </w:rPr>
      <w:t>/</w:t>
    </w:r>
    <w:r>
      <w:rPr/>
      <w:t>WorkBuddy</w:t>
    </w:r>
    <w:r>
      <w:rPr>
        <w:spacing w:val="8"/>
      </w:rPr>
      <w:t>/2026-06-03-</w:t>
    </w:r>
    <w:r>
      <w:rPr>
        <w:spacing w:val="-12"/>
      </w:rPr>
      <w:t xml:space="preserve"> </w:t>
    </w:r>
    <w:r>
      <w:rPr>
        <w:spacing w:val="8"/>
      </w:rPr>
      <w:t>17-</w:t>
    </w:r>
    <w:r>
      <w:rPr>
        <w:spacing w:val="-20"/>
      </w:rPr>
      <w:t xml:space="preserve"> </w:t>
    </w:r>
    <w:r>
      <w:rPr>
        <w:spacing w:val="8"/>
      </w:rPr>
      <w:t>17-</w:t>
    </w:r>
    <w:r>
      <w:rPr>
        <w:spacing w:val="-20"/>
      </w:rPr>
      <w:t xml:space="preserve"> </w:t>
    </w:r>
    <w:r>
      <w:rPr>
        <w:spacing w:val="8"/>
      </w:rPr>
      <w:t>18/</w:t>
    </w:r>
    <w:r>
      <w:rPr/>
      <w:t>site</w:t>
    </w:r>
    <w:r>
      <w:rPr>
        <w:spacing w:val="8"/>
      </w:rPr>
      <w:t>/</w:t>
    </w:r>
    <w:r>
      <w:rPr/>
      <w:t>assets</w:t>
    </w:r>
    <w:r>
      <w:rPr>
        <w:spacing w:val="8"/>
      </w:rPr>
      <w:t>/</w:t>
    </w:r>
    <w:r>
      <w:rPr/>
      <w:t>iceberg</w:t>
    </w:r>
    <w:r>
      <w:rPr>
        <w:spacing w:val="8"/>
      </w:rPr>
      <w:t>-</w:t>
    </w:r>
    <w:r>
      <w:rPr/>
      <w:t>model</w:t>
    </w:r>
    <w:r>
      <w:rPr>
        <w:spacing w:val="8"/>
      </w:rPr>
      <w:t>.</w:t>
    </w:r>
    <w:r>
      <w:rPr/>
      <w:t>html                                                                                                                                      </w:t>
    </w:r>
    <w:r>
      <w:rPr>
        <w:spacing w:val="8"/>
      </w:rPr>
      <w:t>2/3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9" w:lineRule="auto"/>
      <w:jc w:val="right"/>
      <w:rPr/>
    </w:pPr>
    <w:r>
      <w:rPr>
        <w:spacing w:val="8"/>
      </w:rPr>
      <w:t>ﬁ</w:t>
    </w:r>
    <w:r>
      <w:rPr/>
      <w:t>le</w:t>
    </w:r>
    <w:r>
      <w:rPr>
        <w:spacing w:val="8"/>
      </w:rPr>
      <w:t>:///</w:t>
    </w:r>
    <w:r>
      <w:rPr/>
      <w:t>Users</w:t>
    </w:r>
    <w:r>
      <w:rPr>
        <w:spacing w:val="8"/>
      </w:rPr>
      <w:t>/</w:t>
    </w:r>
    <w:r>
      <w:rPr/>
      <w:t>andyzhang</w:t>
    </w:r>
    <w:r>
      <w:rPr>
        <w:spacing w:val="8"/>
      </w:rPr>
      <w:t>/</w:t>
    </w:r>
    <w:r>
      <w:rPr/>
      <w:t>WorkBuddy</w:t>
    </w:r>
    <w:r>
      <w:rPr>
        <w:spacing w:val="8"/>
      </w:rPr>
      <w:t>/2026-06-03-</w:t>
    </w:r>
    <w:r>
      <w:rPr>
        <w:spacing w:val="-14"/>
      </w:rPr>
      <w:t xml:space="preserve"> </w:t>
    </w:r>
    <w:r>
      <w:rPr>
        <w:spacing w:val="8"/>
      </w:rPr>
      <w:t>17-</w:t>
    </w:r>
    <w:r>
      <w:rPr>
        <w:spacing w:val="-20"/>
      </w:rPr>
      <w:t xml:space="preserve"> </w:t>
    </w:r>
    <w:r>
      <w:rPr>
        <w:spacing w:val="8"/>
      </w:rPr>
      <w:t>17-</w:t>
    </w:r>
    <w:r>
      <w:rPr>
        <w:spacing w:val="-20"/>
      </w:rPr>
      <w:t xml:space="preserve"> </w:t>
    </w:r>
    <w:r>
      <w:rPr>
        <w:spacing w:val="8"/>
      </w:rPr>
      <w:t>18/</w:t>
    </w:r>
    <w:r>
      <w:rPr/>
      <w:t>site</w:t>
    </w:r>
    <w:r>
      <w:rPr>
        <w:spacing w:val="8"/>
      </w:rPr>
      <w:t>/</w:t>
    </w:r>
    <w:r>
      <w:rPr/>
      <w:t>assets</w:t>
    </w:r>
    <w:r>
      <w:rPr>
        <w:spacing w:val="8"/>
      </w:rPr>
      <w:t>/</w:t>
    </w:r>
    <w:r>
      <w:rPr/>
      <w:t>iceberg</w:t>
    </w:r>
    <w:r>
      <w:rPr>
        <w:spacing w:val="8"/>
      </w:rPr>
      <w:t>-</w:t>
    </w:r>
    <w:r>
      <w:rPr/>
      <w:t>model</w:t>
    </w:r>
    <w:r>
      <w:rPr>
        <w:spacing w:val="8"/>
      </w:rPr>
      <w:t>.</w:t>
    </w:r>
    <w:r>
      <w:rPr/>
      <w:t>html                                                                                                                                      </w:t>
    </w:r>
    <w:r>
      <w:rPr>
        <w:spacing w:val="8"/>
      </w:rPr>
      <w:t>3/3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4" w:line="168" w:lineRule="auto"/>
      <w:rPr>
        <w:rFonts w:ascii="PingFang SC" w:hAnsi="PingFang SC" w:eastAsia="PingFang SC" w:cs="PingFang SC"/>
      </w:rPr>
    </w:pPr>
    <w:r>
      <w:rPr>
        <w:spacing w:val="5"/>
        <w:position w:val="1"/>
      </w:rPr>
      <w:t>2026/6/5</w:t>
    </w:r>
    <w:r>
      <w:rPr>
        <w:spacing w:val="31"/>
        <w:position w:val="1"/>
      </w:rPr>
      <w:t xml:space="preserve"> </w:t>
    </w:r>
    <w:r>
      <w:rPr>
        <w:spacing w:val="5"/>
        <w:position w:val="1"/>
      </w:rPr>
      <w:t>19:46</w:t>
    </w:r>
    <w:r>
      <w:rPr>
        <w:spacing w:val="1"/>
        <w:position w:val="1"/>
      </w:rPr>
      <w:t xml:space="preserve">                            </w:t>
    </w:r>
    <w:r>
      <w:rPr>
        <w:position w:val="1"/>
      </w:rPr>
      <w:t xml:space="preserve">                                                                      </w:t>
    </w:r>
    <w:r>
      <w:rPr>
        <w:rFonts w:ascii="PingFang SC" w:hAnsi="PingFang SC" w:eastAsia="PingFang SC" w:cs="PingFang SC"/>
        <w:spacing w:val="5"/>
      </w:rPr>
      <w:t>降本增效冰山模型 </w:t>
    </w:r>
    <w:r>
      <w:rPr>
        <w:spacing w:val="5"/>
      </w:rPr>
      <w:t>· </w:t>
    </w:r>
    <w:r>
      <w:rPr/>
      <w:t>AI</w:t>
    </w:r>
    <w:r>
      <w:rPr>
        <w:rFonts w:ascii="PingFang SC" w:hAnsi="PingFang SC" w:eastAsia="PingFang SC" w:cs="PingFang SC"/>
        <w:spacing w:val="5"/>
      </w:rPr>
      <w:t>时代版 </w:t>
    </w:r>
    <w:r>
      <w:rPr>
        <w:spacing w:val="5"/>
      </w:rPr>
      <w:t>| </w:t>
    </w:r>
    <w:r>
      <w:rPr/>
      <w:t>AIHR</w:t>
    </w:r>
    <w:r>
      <w:rPr>
        <w:rFonts w:ascii="PingFang SC" w:hAnsi="PingFang SC" w:eastAsia="PingFang SC" w:cs="PingFang SC"/>
        <w:spacing w:val="5"/>
      </w:rPr>
      <w:t>数智引擎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1"/>
      <w:szCs w:val="1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footer" Target="footer1.xml"/><Relationship Id="rId19" Type="http://schemas.openxmlformats.org/officeDocument/2006/relationships/settings" Target="settings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footer" Target="footer3.xml"/><Relationship Id="rId13" Type="http://schemas.openxmlformats.org/officeDocument/2006/relationships/image" Target="media/image10.png"/><Relationship Id="rId12" Type="http://schemas.openxmlformats.org/officeDocument/2006/relationships/footer" Target="footer2.xm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(Macintosh; Intel Mac OS X 10_15_7) AppleWebKit/537.36 (KHTML, like Gecko) HeadlessChrome/149.0.0.0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降本增效冰山模型 · AI时代版 | AIHR数智引擎</dc:title>
  <dcterms:created xsi:type="dcterms:W3CDTF">2026-06-05T11:46:05Z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2026-06-05T19:49:32</vt:filetime>
  </property>
</Properties>
</file>