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sz w:val="44"/>
        </w:rPr>
        <w:t>EIC PATHFINDER OPEN 2026</w:t>
      </w:r>
    </w:p>
    <w:p>
      <w:pPr>
        <w:jc w:val="center"/>
      </w:pPr>
      <w:r>
        <w:rPr>
          <w:b/>
          <w:sz w:val="28"/>
        </w:rPr>
        <w:t>APPLICATION — FORM B</w:t>
      </w:r>
    </w:p>
    <w:p>
      <w:pPr/>
    </w:p>
    <w:p>
      <w:pPr>
        <w:jc w:val="center"/>
      </w:pPr>
      <w:r>
        <w:rPr>
          <w:b/>
          <w:sz w:val="36"/>
        </w:rPr>
        <w:t>CDATA-LONGEVITY</w:t>
      </w:r>
    </w:p>
    <w:p>
      <w:pPr>
        <w:jc w:val="center"/>
      </w:pPr>
      <w:r>
        <w:rPr>
          <w:i/>
          <w:sz w:val="26"/>
        </w:rPr>
        <w:t>Centriolar Damage Accumulation as a Universal Clock of Biological Aging:</w:t>
        <w:br/>
        <w:t>From Computational Model to Validated Biomarker</w:t>
      </w:r>
    </w:p>
    <w:p>
      <w:pPr/>
    </w:p>
    <w:p>
      <w:pPr/>
    </w:p>
    <w:p>
      <w:pPr/>
    </w:p>
    <w:p>
      <w:pPr>
        <w:spacing w:before="320" w:after="120"/>
      </w:pPr>
      <w:r>
        <w:rPr>
          <w:b/>
          <w:sz w:val="32"/>
        </w:rPr>
        <w:t>SECTION 1 — EXCELLENCE</w:t>
      </w:r>
    </w:p>
    <w:p>
      <w:pPr>
        <w:spacing w:before="40" w:after="80"/>
      </w:pPr>
      <w:r>
        <w:rPr>
          <w:i/>
          <w:sz w:val="19"/>
        </w:rPr>
        <w:t>Max 12 pages. Criteria: Soundness of concept; Credibility of proposed approach; Transformative potential; Novelty beyond state-of-the-art.</w:t>
      </w:r>
    </w:p>
    <w:p>
      <w:pPr>
        <w:spacing w:before="240" w:after="80"/>
      </w:pPr>
      <w:r>
        <w:rPr>
          <w:b/>
          <w:sz w:val="24"/>
        </w:rPr>
        <w:t>1.1  Concept and Vision</w:t>
      </w:r>
    </w:p>
    <w:p>
      <w:pPr>
        <w:spacing w:before="40" w:after="100"/>
      </w:pPr>
      <w:r>
        <w:rPr>
          <w:sz w:val="21"/>
        </w:rPr>
        <w:t>Aging is the single largest risk factor for all chronic non-communicable diseases — cardiovascular disease, neurodegeneration, cancer, and metabolic syndrome — yet no mechanistic, quantitative, and experimentally falsifiable theory of its causation has reached clinical translation. The Centriolar Damage Accumulation Theory of Aging (CDATA) fills this gap.</w:t>
      </w:r>
    </w:p>
    <w:p>
      <w:pPr>
        <w:spacing w:before="40" w:after="100"/>
      </w:pPr>
      <w:r>
        <w:rPr>
          <w:sz w:val="21"/>
        </w:rPr>
        <w:t>CDATA proposes that the primary, irreversible driver of organismal aging is the progressive accumulation of post-translational modifications and structural damage to centriolar distal appendages — specifically to CEP164, CEP89, Ninein, and CEP170 — in adult stem cells. Damaged centrioles lose the ability to nucleate functional primary cilia; this disrupts niche signalling (Shh, Wnt, Notch), shifts stem-cell divisions from asymmetric (self-renewal) to symmetric (exhaustion or clonal expansion), and ultimately depletes the regenerative capacity of every tissue in a tissue-specific, ordered sequence.</w:t>
      </w:r>
    </w:p>
    <w:p>
      <w:pPr>
        <w:spacing w:before="40" w:after="100"/>
      </w:pPr>
      <w:r>
        <w:rPr>
          <w:sz w:val="21"/>
        </w:rPr>
        <w:t>This project — CDATA-LONGEVITY — will: (1) validate CDATA quantitative predictions against human biological samples across the adult lifespan; (2) establish a panel of centriolar integrity biomarkers measurable in peripheral blood; and (3) develop an open-source validated computational simulator as a precision longevity tool for both basic research and clinical risk stratification.</w:t>
      </w:r>
    </w:p>
    <w:p>
      <w:pPr>
        <w:spacing w:before="240" w:after="80"/>
      </w:pPr>
      <w:r>
        <w:rPr>
          <w:b/>
          <w:sz w:val="24"/>
        </w:rPr>
        <w:t>1.2  Novelty and Transformative Potential</w:t>
      </w:r>
    </w:p>
    <w:p>
      <w:pPr>
        <w:spacing w:before="40" w:after="100"/>
      </w:pPr>
      <w:r>
        <w:rPr>
          <w:sz w:val="21"/>
        </w:rPr>
        <w:t>CDATA differs categorically from existing aging theories: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CDATA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Hallmarks of Aging</w:t>
              <w:br/>
              <w:t>(López-Otín)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Telomere Theory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Inflammaging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Mechanistic causal driver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✓ Single mechanism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 12 parallel hallmarks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 Downstream effect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Quantitative predictions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✓ Tissue ages, r&gt;0.65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 Qualitative only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 No lifespan prediction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Unifies normal/longevity/progeria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✓ Under 1 parameter set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Concrete intervention target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✓ CEP164/CEP89 repair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Telomerase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Anti-inflammatories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Computational falsifiable model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✓ cell_dt, 198 tests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✗</w:t>
            </w:r>
          </w:p>
        </w:tc>
      </w:tr>
    </w:tbl>
    <w:p>
      <w:pPr>
        <w:spacing w:before="80" w:after="80"/>
      </w:pPr>
    </w:p>
    <w:p>
      <w:pPr>
        <w:spacing w:before="40" w:after="100"/>
      </w:pPr>
      <w:r>
        <w:rPr>
          <w:sz w:val="21"/>
        </w:rPr>
        <w:t>CDATA is the only aging theory that: (a) predicts the chronological order of tissue exhaustion (skin 50–55 y → intestinal crypts 55–60 y → haematopoietic 60–65 y → muscle 70–75 y → neural last); (b) unifies lifespan data for normal aging (76–78 y), longevity (95+ y), and Hutchinson-Gilford Progeria Syndrome (~20 y) under one parameter set; and (c) offers a concrete intervention target (centriolar appendage repair).</w:t>
      </w:r>
    </w:p>
    <w:p>
      <w:pPr>
        <w:spacing w:before="240" w:after="80"/>
      </w:pPr>
      <w:r>
        <w:rPr>
          <w:b/>
          <w:sz w:val="24"/>
        </w:rPr>
        <w:t>1.3  Scientific Foundation and Prior Work</w:t>
      </w:r>
    </w:p>
    <w:p>
      <w:pPr>
        <w:spacing w:before="40" w:after="100"/>
      </w:pPr>
      <w:r>
        <w:rPr>
          <w:sz w:val="21"/>
        </w:rPr>
        <w:t>CDATA rests on 20 years of peer-reviewed publications by the PI:</w:t>
      </w:r>
    </w:p>
    <w:p>
      <w:pPr>
        <w:pStyle w:val="ListBullet"/>
        <w:spacing w:before="20" w:after="40"/>
      </w:pPr>
      <w:r>
        <w:rPr>
          <w:sz w:val="21"/>
        </w:rPr>
        <w:t>Tkemaladze J. &amp; Chichinadze K. (2005). Centriolar mechanisms of differentiation and replicative aging of higher animal cells. Biochemistry (Moscow), 70(11).</w:t>
      </w:r>
    </w:p>
    <w:p>
      <w:pPr>
        <w:pStyle w:val="ListBullet"/>
        <w:spacing w:before="20" w:after="40"/>
      </w:pPr>
      <w:r>
        <w:rPr>
          <w:sz w:val="21"/>
        </w:rPr>
        <w:t>Tkemaladze J. (2023). Reduction, proliferation, and differentiation defects of stem cells over time: a consequence of selective accumulation of old centrioles in the stem cells? Molecular Biology Reports, 50(3):2751–2761. DOI: 10.1007/s11033-022-08229-5.</w:t>
      </w:r>
    </w:p>
    <w:p>
      <w:pPr>
        <w:pStyle w:val="ListBullet"/>
        <w:spacing w:before="20" w:after="40"/>
      </w:pPr>
      <w:r>
        <w:rPr>
          <w:sz w:val="21"/>
        </w:rPr>
        <w:t>Tkemaladze J. (2026). Old Centrioles Make Old Bodies. Annals of Rejuvenation Science, 1(1). DOI: 10.65649/yx9sn772.</w:t>
      </w:r>
    </w:p>
    <w:p>
      <w:pPr>
        <w:pStyle w:val="ListBullet"/>
        <w:spacing w:before="20" w:after="40"/>
      </w:pPr>
      <w:r>
        <w:rPr>
          <w:sz w:val="21"/>
        </w:rPr>
        <w:t>[Accepted 2026] Tkemaladze J. (2026). CDATA computational simulation: validation against human biological aging trajectories. npj Aging (Nature Portfolio) — manuscript accepted March 2026. DOI: pending assignment.</w:t>
      </w:r>
    </w:p>
    <w:p>
      <w:pPr>
        <w:spacing w:before="40" w:after="100"/>
      </w:pPr>
      <w:r>
        <w:rPr>
          <w:sz w:val="21"/>
        </w:rPr>
        <w:t>The computational simulator (cell_dt, Rust, open source: github.com/djabbat/cell_dt) implements 6 molecular damage tracks (A: cilia loss; B: spindle failure; C: telomere shortening; D: epigenetic clock; E: mitochondrial dysfunction; F: division rate modulation), 11 tissue types, and passes 198 unit tests. Calibration demonstrates lifespan predictions within 2–3% of observed population medians across three aging phenotypes.</w:t>
      </w:r>
    </w:p>
    <w:p>
      <w:pPr>
        <w:spacing w:before="240" w:after="80"/>
      </w:pPr>
      <w:r>
        <w:rPr>
          <w:b/>
          <w:sz w:val="24"/>
        </w:rPr>
        <w:t>1.4  Methodology</w:t>
      </w:r>
    </w:p>
    <w:p>
      <w:pPr>
        <w:spacing w:before="160" w:after="40"/>
      </w:pPr>
      <w:r>
        <w:rPr>
          <w:b/>
          <w:sz w:val="21"/>
        </w:rPr>
        <w:t>Work Package 1 — Human Cohort Validation (months 1–24)</w:t>
      </w:r>
    </w:p>
    <w:p>
      <w:pPr>
        <w:spacing w:before="40" w:after="100"/>
      </w:pPr>
      <w:r>
        <w:rPr>
          <w:sz w:val="21"/>
        </w:rPr>
        <w:t>Design: Prospective cross-sectional study. n=288 enrolled (accounting for 20% dropout); minimum evaluable set n=240, age-stratified: 20–35 (n=60), 36–50 (n=60), 51–65 (n=60), 66–80 (n=60). Recruitment: Georgian Technical University (GTU), Tbilisi (Faculty of Biomedical Engineering) + Kutaisi International University Hospital.</w:t>
      </w:r>
    </w:p>
    <w:p>
      <w:pPr>
        <w:pStyle w:val="ListBullet"/>
        <w:spacing w:before="20" w:after="40"/>
      </w:pPr>
      <w:r>
        <w:rPr>
          <w:sz w:val="21"/>
        </w:rPr>
        <w:t>Primary endpoint: Centriolar appendage integrity index (CAII) — super-resolution immunofluorescence (Ultrastructure Expansion Microscopy, U-ExM; ~20 nm lateral resolution) for CEP164, CEP89, Ninein, CEP170 in skin fibroblast biopsies; quantified as mean appendage length (nm) per centriole pair. U-ExM protocol: Gambarotto et al. (2019) Nat Methods 16:71–76. Confocal acquisition on Leica SP8 STED available at GTU Biomedical Engineering imaging core (77 Kostava St, Tbilisi).</w:t>
      </w:r>
    </w:p>
    <w:p>
      <w:pPr>
        <w:pStyle w:val="ListBullet"/>
        <w:spacing w:before="20" w:after="40"/>
      </w:pPr>
      <w:r>
        <w:rPr>
          <w:sz w:val="21"/>
        </w:rPr>
        <w:t>Secondary endpoints: Primary cilia length &amp; frequency; myeloid:lymphoid ratio (proxy for HSC asymmetric division failure); frailty index (SPPB battery); inflammatory panel (IL-6, TNF-α, CRP, GDF-15)</w:t>
      </w:r>
    </w:p>
    <w:p>
      <w:pPr>
        <w:pStyle w:val="ListBullet"/>
        <w:spacing w:before="20" w:after="40"/>
      </w:pPr>
      <w:r>
        <w:rPr>
          <w:sz w:val="21"/>
        </w:rPr>
        <w:t>CDATA prediction to validate: CAII decreases monotonically with age at rate 0.0020–0.0027 /year per appendage protein (derived from calibrated cell_dt simulator track A parameters; see github.com/djabbat/cell_dt, configs/normal_aging.toml); correlation with frailty index r &gt; 0.65 (predicted by myeloid_shift_module output at CAII &lt; 0.7).</w:t>
      </w:r>
    </w:p>
    <w:p>
      <w:pPr>
        <w:spacing w:before="160" w:after="40"/>
      </w:pPr>
      <w:r>
        <w:rPr>
          <w:b/>
          <w:sz w:val="21"/>
        </w:rPr>
        <w:t>Work Package 2 — Peripheral Blood Biomarker (months 6–30)</w:t>
      </w:r>
    </w:p>
    <w:p>
      <w:pPr>
        <w:spacing w:before="40" w:after="100"/>
      </w:pPr>
      <w:r>
        <w:rPr>
          <w:sz w:val="21"/>
        </w:rPr>
        <w:t>Goal: Develop a minimally-invasive proxy for CAII using peripheral blood. Rationale: skin biopsy is impractical for population screening.</w:t>
      </w:r>
    </w:p>
    <w:p>
      <w:pPr>
        <w:pStyle w:val="ListBullet"/>
        <w:spacing w:before="20" w:after="40"/>
      </w:pPr>
      <w:r>
        <w:rPr>
          <w:sz w:val="21"/>
        </w:rPr>
        <w:t>Approach: Isolate CD34+/CD133+/KDR+ early EPCs and CD14+ monocyte-derived macrophages from 20 ml EDTA blood by magnetic bead separation (Miltenyi MACS; CD34 MicroBeads + CD14 MicroBeads). Feasibility basis: EPC frequency in adults = 1–10 cells/ml; from 20 ml → 20–200 EPCs, sufficient for protein quantification by Proximity Ligation Assay (PLA detects single-molecule events). Protocol adapted from Vasa et al. (2001) Circ Res 89:e1–e7.</w:t>
      </w:r>
    </w:p>
    <w:p>
      <w:pPr>
        <w:pStyle w:val="ListBullet"/>
        <w:spacing w:before="20" w:after="40"/>
      </w:pPr>
      <w:r>
        <w:rPr>
          <w:sz w:val="21"/>
        </w:rPr>
        <w:t>Measure CEP164 / Ninein protein levels by ELISA and proximity ligation assay</w:t>
      </w:r>
    </w:p>
    <w:p>
      <w:pPr>
        <w:pStyle w:val="ListBullet"/>
        <w:spacing w:before="20" w:after="40"/>
      </w:pPr>
      <w:r>
        <w:rPr>
          <w:sz w:val="21"/>
        </w:rPr>
        <w:t>Train ML model (elastic net regression): CAII_skin ~ blood_proxy (train:test 70:30)</w:t>
      </w:r>
    </w:p>
    <w:p>
      <w:pPr>
        <w:pStyle w:val="ListBullet"/>
        <w:spacing w:before="20" w:after="40"/>
      </w:pPr>
      <w:r>
        <w:rPr>
          <w:sz w:val="21"/>
        </w:rPr>
        <w:t>Deliverable: validated blood-based CAII proxy, sensitivity ≥ 0.80, specificity ≥ 0.75</w:t>
      </w:r>
    </w:p>
    <w:p>
      <w:pPr>
        <w:spacing w:before="160" w:after="40"/>
      </w:pPr>
      <w:r>
        <w:rPr>
          <w:b/>
          <w:sz w:val="21"/>
        </w:rPr>
        <w:t>Work Package 3 — Simulator Enhancement &amp; Open Platform (months 1–36)</w:t>
      </w:r>
    </w:p>
    <w:p>
      <w:pPr>
        <w:spacing w:before="40" w:after="100"/>
      </w:pPr>
      <w:r>
        <w:rPr>
          <w:sz w:val="21"/>
        </w:rPr>
        <w:t>Extend cell_dt simulator to incorporate cohort validation data:</w:t>
      </w:r>
    </w:p>
    <w:p>
      <w:pPr>
        <w:pStyle w:val="ListBullet"/>
        <w:spacing w:before="20" w:after="40"/>
      </w:pPr>
      <w:r>
        <w:rPr>
          <w:sz w:val="21"/>
        </w:rPr>
        <w:t>Bayesian parameter fitting: update track A–F rate constants from WP1 measurements</w:t>
      </w:r>
    </w:p>
    <w:p>
      <w:pPr>
        <w:pStyle w:val="ListBullet"/>
        <w:spacing w:before="20" w:after="40"/>
      </w:pPr>
      <w:r>
        <w:rPr>
          <w:sz w:val="21"/>
        </w:rPr>
        <w:t>Add pharmacological intervention module: senolytics, NAD+ boosters, telomerase, caloric restriction — predict healthspan extension per intervention</w:t>
      </w:r>
    </w:p>
    <w:p>
      <w:pPr>
        <w:pStyle w:val="ListBullet"/>
        <w:spacing w:before="20" w:after="40"/>
      </w:pPr>
      <w:r>
        <w:rPr>
          <w:sz w:val="21"/>
        </w:rPr>
        <w:t>Web API: /api/cdata/predict — input age + CAII → output frailty trajectory + intervention ranking</w:t>
      </w:r>
    </w:p>
    <w:p>
      <w:pPr>
        <w:pStyle w:val="ListBullet"/>
        <w:spacing w:before="20" w:after="40"/>
      </w:pPr>
      <w:r>
        <w:rPr>
          <w:sz w:val="21"/>
        </w:rPr>
        <w:t>Deliverable: open-source CDATA v2.0 platform; Docker image; tutorial published on GitHub + Zenodo</w:t>
      </w:r>
    </w:p>
    <w:p>
      <w:pPr>
        <w:spacing w:before="160" w:after="40"/>
      </w:pPr>
      <w:r>
        <w:rPr>
          <w:b/>
          <w:sz w:val="21"/>
        </w:rPr>
        <w:t>Work Package 4 — Dissemination &amp; Ethics (months 1–36)</w:t>
      </w:r>
    </w:p>
    <w:p>
      <w:pPr>
        <w:pStyle w:val="ListBullet"/>
        <w:spacing w:before="20" w:after="40"/>
      </w:pPr>
      <w:r>
        <w:rPr>
          <w:sz w:val="21"/>
        </w:rPr>
        <w:t>Ethics approval: GTU Ethics Committee + Kutaisi University Hospital IRB (Month 1–3). Letters of Intent from GTU (Faculty of Biomedical Engineering) and KIU Hospital — Annex 1. Consortium Agreement (Phasis Academy ↔ GTU): drafted via EEN Georgia / GITA legal template, signed Month 1–2 (Milestone M0).</w:t>
      </w:r>
    </w:p>
    <w:p>
      <w:pPr>
        <w:pStyle w:val="ListBullet"/>
        <w:spacing w:before="20" w:after="40"/>
      </w:pPr>
      <w:r>
        <w:rPr>
          <w:sz w:val="21"/>
        </w:rPr>
        <w:t>Data management plan: GDPR-compliant; data on EU-hosted repository (EUDAT B2SHARE)</w:t>
      </w:r>
    </w:p>
    <w:p>
      <w:pPr>
        <w:pStyle w:val="ListBullet"/>
        <w:spacing w:before="20" w:after="40"/>
      </w:pPr>
      <w:r>
        <w:rPr>
          <w:sz w:val="21"/>
        </w:rPr>
        <w:t>Publications: ≥4 peer-reviewed (Nature Aging, Cell Reports, Aging Cell)</w:t>
      </w:r>
    </w:p>
    <w:p>
      <w:pPr>
        <w:pStyle w:val="ListBullet"/>
        <w:spacing w:before="20" w:after="40"/>
      </w:pPr>
      <w:r>
        <w:rPr>
          <w:sz w:val="21"/>
        </w:rPr>
        <w:t>Open access: all papers gold OA; simulator MIT license; dataset CC-BY 4.0</w:t>
      </w:r>
    </w:p>
    <w:p>
      <w:pPr>
        <w:pStyle w:val="ListBullet"/>
        <w:spacing w:before="20" w:after="40"/>
      </w:pPr>
      <w:r>
        <w:rPr>
          <w:sz w:val="21"/>
        </w:rPr>
        <w:t>Patent: blood-based CAII proxy as aging biomarker (month 18–24)</w:t>
      </w:r>
    </w:p>
    <w:p>
      <w:pPr/>
    </w:p>
    <w:p>
      <w:pPr>
        <w:spacing w:before="320" w:after="120"/>
      </w:pPr>
      <w:r>
        <w:rPr>
          <w:b/>
          <w:sz w:val="32"/>
        </w:rPr>
        <w:t>SECTION 2 — IMPACT</w:t>
      </w:r>
    </w:p>
    <w:p>
      <w:pPr>
        <w:spacing w:before="40" w:after="80"/>
      </w:pPr>
      <w:r>
        <w:rPr>
          <w:i/>
          <w:sz w:val="19"/>
        </w:rPr>
        <w:t>Criteria: Scientific impact; Societal &amp; economic impact; Sustainability beyond grant period.</w:t>
      </w:r>
    </w:p>
    <w:p>
      <w:pPr>
        <w:spacing w:before="240" w:after="80"/>
      </w:pPr>
      <w:r>
        <w:rPr>
          <w:b/>
          <w:sz w:val="24"/>
        </w:rPr>
        <w:t>2.1  Scientific Impact</w:t>
      </w:r>
    </w:p>
    <w:p>
      <w:pPr>
        <w:spacing w:before="40" w:after="100"/>
      </w:pPr>
      <w:r>
        <w:rPr>
          <w:sz w:val="21"/>
        </w:rPr>
        <w:t>CDATA-LONGEVITY will deliver the first mechanistic, tissue-resolved, quantitatively falsifiable human validation study of a novel aging theory. Key scientific contributions:</w:t>
      </w:r>
    </w:p>
    <w:p>
      <w:pPr>
        <w:pStyle w:val="ListBullet"/>
        <w:spacing w:before="20" w:after="40"/>
      </w:pPr>
      <w:r>
        <w:rPr>
          <w:sz w:val="21"/>
        </w:rPr>
        <w:t>First experimental confirmation (or falsification) of the CDATA theory in human tissue — a decisive scientific milestone regardless of outcome</w:t>
      </w:r>
    </w:p>
    <w:p>
      <w:pPr>
        <w:pStyle w:val="ListBullet"/>
        <w:spacing w:before="20" w:after="40"/>
      </w:pPr>
      <w:r>
        <w:rPr>
          <w:sz w:val="21"/>
        </w:rPr>
        <w:t>First blood-based centriolar integrity proxy — enables population-level aging studies without biopsy</w:t>
      </w:r>
    </w:p>
    <w:p>
      <w:pPr>
        <w:pStyle w:val="ListBullet"/>
        <w:spacing w:before="20" w:after="40"/>
      </w:pPr>
      <w:r>
        <w:rPr>
          <w:sz w:val="21"/>
        </w:rPr>
        <w:t>First computational simulator integrating all 6 CDATA tracks with prospective human data</w:t>
      </w:r>
    </w:p>
    <w:p>
      <w:pPr>
        <w:pStyle w:val="ListBullet"/>
        <w:spacing w:before="20" w:after="40"/>
      </w:pPr>
      <w:r>
        <w:rPr>
          <w:sz w:val="21"/>
        </w:rPr>
        <w:t>Open platform enabling any research group worldwide to run patient-specific aging simulations</w:t>
      </w:r>
    </w:p>
    <w:p>
      <w:pPr>
        <w:spacing w:before="240" w:after="80"/>
      </w:pPr>
      <w:r>
        <w:rPr>
          <w:b/>
          <w:sz w:val="24"/>
        </w:rPr>
        <w:t>2.2  Societal and Economic Impact</w:t>
      </w:r>
    </w:p>
    <w:p>
      <w:pPr>
        <w:spacing w:before="40" w:after="100"/>
      </w:pPr>
      <w:r>
        <w:rPr>
          <w:sz w:val="21"/>
        </w:rPr>
        <w:t>Aging-related diseases cost the EU &gt;€700 billion annually (EuroHealthNet, 2024). CDATA-LONGEVITY addresses this through:</w:t>
      </w:r>
    </w:p>
    <w:p>
      <w:pPr>
        <w:pStyle w:val="ListBullet"/>
        <w:spacing w:before="20" w:after="40"/>
      </w:pPr>
      <w:r>
        <w:rPr>
          <w:sz w:val="21"/>
        </w:rPr>
        <w:t>Clinical stratification: identify patients at risk of accelerated aging 10–15 years before symptom onset</w:t>
      </w:r>
    </w:p>
    <w:p>
      <w:pPr>
        <w:pStyle w:val="ListBullet"/>
        <w:spacing w:before="20" w:after="40"/>
      </w:pPr>
      <w:r>
        <w:rPr>
          <w:sz w:val="21"/>
        </w:rPr>
        <w:t>Drug development: CAII as primary endpoint in longevity drug trials — reduces trial duration and cost</w:t>
      </w:r>
    </w:p>
    <w:p>
      <w:pPr>
        <w:pStyle w:val="ListBullet"/>
        <w:spacing w:before="20" w:after="40"/>
      </w:pPr>
      <w:r>
        <w:rPr>
          <w:sz w:val="21"/>
        </w:rPr>
        <w:t>Personalised prevention: lifestyle and pharmacological interventions ranked by predicted CAII impact</w:t>
      </w:r>
    </w:p>
    <w:p>
      <w:pPr>
        <w:pStyle w:val="ListBullet"/>
        <w:spacing w:before="20" w:after="40"/>
      </w:pPr>
      <w:r>
        <w:rPr>
          <w:sz w:val="21"/>
        </w:rPr>
        <w:t>Economic: 1-year delay in age-related disability onset = €3,200/person/year saved (WHO HALE data)</w:t>
      </w:r>
    </w:p>
    <w:p>
      <w:pPr>
        <w:spacing w:before="240" w:after="80"/>
      </w:pPr>
      <w:r>
        <w:rPr>
          <w:b/>
          <w:sz w:val="24"/>
        </w:rPr>
        <w:t>2.3  Pathway to Innovation and TRL Progression</w:t>
      </w:r>
    </w:p>
    <w:p>
      <w:pPr>
        <w:spacing w:before="40" w:after="100"/>
      </w:pPr>
      <w:r>
        <w:rPr>
          <w:sz w:val="21"/>
        </w:rPr>
        <w:t>TRL 3 (proof of concept in silico) → TRL 5 (validated in relevant environment) within 36 months:</w:t>
      </w:r>
    </w:p>
    <w:p>
      <w:pPr>
        <w:pStyle w:val="ListBullet"/>
        <w:spacing w:before="20" w:after="40"/>
      </w:pPr>
      <w:r>
        <w:rPr>
          <w:sz w:val="21"/>
        </w:rPr>
        <w:t>Month 12: CAII biomarker protocol validated in 60 subjects (TRL 4)</w:t>
      </w:r>
    </w:p>
    <w:p>
      <w:pPr>
        <w:pStyle w:val="ListBullet"/>
        <w:spacing w:before="20" w:after="40"/>
      </w:pPr>
      <w:r>
        <w:rPr>
          <w:sz w:val="21"/>
        </w:rPr>
        <w:t>Month 24: Blood proxy assay validated (TRL 5); patent filed</w:t>
      </w:r>
    </w:p>
    <w:p>
      <w:pPr>
        <w:pStyle w:val="ListBullet"/>
        <w:spacing w:before="20" w:after="40"/>
      </w:pPr>
      <w:r>
        <w:rPr>
          <w:sz w:val="21"/>
        </w:rPr>
        <w:t>Month 30: Open CDATA platform released; API integrated with AIM clinical AI</w:t>
      </w:r>
    </w:p>
    <w:p>
      <w:pPr>
        <w:pStyle w:val="ListBullet"/>
        <w:spacing w:before="20" w:after="40"/>
      </w:pPr>
      <w:r>
        <w:rPr>
          <w:sz w:val="21"/>
        </w:rPr>
        <w:t>Month 36: 4 publications; regulatory pre-submission meeting (IVD pathway, EU MDR)</w:t>
      </w:r>
    </w:p>
    <w:p>
      <w:pPr>
        <w:spacing w:before="240" w:after="80"/>
      </w:pPr>
      <w:r>
        <w:rPr>
          <w:b/>
          <w:sz w:val="24"/>
        </w:rPr>
        <w:t>2.4  Sustainability</w:t>
      </w:r>
    </w:p>
    <w:p>
      <w:pPr>
        <w:spacing w:before="40" w:after="100"/>
      </w:pPr>
      <w:r>
        <w:rPr>
          <w:sz w:val="21"/>
        </w:rPr>
        <w:t>Post-grant sustainability through three streams:</w:t>
      </w:r>
    </w:p>
    <w:p>
      <w:pPr>
        <w:pStyle w:val="ListBullet"/>
        <w:spacing w:before="20" w:after="40"/>
      </w:pPr>
      <w:r>
        <w:rPr>
          <w:sz w:val="21"/>
        </w:rPr>
        <w:t>Commercial: blood-based CAII kit licensed to IVD manufacturer; target revenue stream year 5 post-grant</w:t>
      </w:r>
    </w:p>
    <w:p>
      <w:pPr>
        <w:pStyle w:val="ListBullet"/>
        <w:spacing w:before="20" w:after="40"/>
      </w:pPr>
      <w:r>
        <w:rPr>
          <w:sz w:val="21"/>
        </w:rPr>
        <w:t>Academic: CDATA platform as standard tool in aging research community (target: 500+ citations by year 5)</w:t>
      </w:r>
    </w:p>
    <w:p>
      <w:pPr>
        <w:pStyle w:val="ListBullet"/>
        <w:spacing w:before="20" w:after="40"/>
      </w:pPr>
      <w:r>
        <w:rPr>
          <w:sz w:val="21"/>
        </w:rPr>
        <w:t>Clinical: integration of CAII into national preventive medicine programs. Georgia MoH discussions initiated (letter of intent from National Centre for Disease Control &amp; Public Health of Georgia, [TO ATTACH]). EU partner: negotiation with Estonian Biobank (University of Tartu) for population-level CAII reference dataset post-grant.</w:t>
      </w:r>
    </w:p>
    <w:p>
      <w:pPr/>
    </w:p>
    <w:p>
      <w:pPr>
        <w:spacing w:before="320" w:after="120"/>
      </w:pPr>
      <w:r>
        <w:rPr>
          <w:b/>
          <w:sz w:val="32"/>
        </w:rPr>
        <w:t>SECTION 3 — IMPLEMENTATION</w:t>
      </w:r>
    </w:p>
    <w:p>
      <w:pPr>
        <w:spacing w:before="240" w:after="80"/>
      </w:pPr>
      <w:r>
        <w:rPr>
          <w:b/>
          <w:sz w:val="24"/>
        </w:rPr>
        <w:t>3.1  Consortium</w:t>
      </w:r>
    </w:p>
    <w:p>
      <w:pPr>
        <w:spacing w:before="40" w:after="100"/>
      </w:pPr>
      <w:r>
        <w:rPr>
          <w:sz w:val="21"/>
        </w:rPr>
        <w:t>Consortium Structure:</w:t>
        <w:br/>
        <w:br/>
        <w:t>Beneficiary 1 — Lead: Phasis Academy (ფაზისის აკადემია), Poti, Georgia</w:t>
        <w:br/>
        <w:t>Role: Project coordination, theory development, simulator (WP3), dissemination (WP4)</w:t>
        <w:br/>
        <w:t>PIC number: [TO BE REGISTERED — contact a.goletiani@mes.gov.ge]</w:t>
        <w:br/>
        <w:t>Georgia is an Associated Country to Horizon Europe (Association Agreement effective 2023); 100% reimbursement rate applies.</w:t>
        <w:br/>
        <w:br/>
        <w:t>Beneficiary 2: Georgian Technical University (GTU) — ტექნიკური უნივერსიტეტი, Tbilisi, Georgia</w:t>
        <w:br/>
        <w:t>Former name: Tbilisi State Polytechnic Institute (founded 1922)</w:t>
        <w:br/>
        <w:t>PIC number: 983636358 (registered in EU Funding &amp; Tenders Portal)</w:t>
        <w:br/>
        <w:t>Faculty: Biomedical Engineering (ABET-accredited) + Faculty of Medicine</w:t>
        <w:br/>
        <w:t>Horizon Europe track record: active participant (FORGE-AI, grant 101216703)</w:t>
        <w:br/>
        <w:t>Role: Human cohort recruitment (WP1), super-resolution imaging core, blood biomarker laboratory (WP2), local IRB oversight</w:t>
        <w:br/>
        <w:t>Scientific contact: Faculty of Biomedical Engineering, GTU (Dean's office: +995 32 2 36 02 85; bmegtu.wordpress.com). Administrative/international contact: International Relations Dept., adavitashvili@gtu.ge. Rector: Prof. David Gurgenidze, rectoroffice@gtu.ge</w:t>
        <w:br/>
        <w:t>Address: 77 Kostava Street, 0171 Tbilisi, Georgia</w:t>
        <w:br/>
        <w:br/>
        <w:t>Associated Partner (no EU funding): Kutaisi International University Hospital — clinical recruitment support, patient access</w:t>
        <w:br/>
        <w:br/>
        <w:t>IP and Data: All IP generated belongs to the consortium (Phasis Academy — background IP on CDATA theory and cell_dt; GTU — foreground IP on CAII biomarker protocol and blood proxy assay). cell_dt simulator remains MIT-licensed open-source.</w:t>
      </w:r>
    </w:p>
    <w:p>
      <w:pPr>
        <w:spacing w:before="240" w:after="80"/>
      </w:pPr>
      <w:r>
        <w:rPr>
          <w:b/>
          <w:sz w:val="24"/>
        </w:rPr>
        <w:t>3.2  Work Plan and Milestones</w:t>
      </w:r>
    </w:p>
    <w:p>
      <w:pPr>
        <w:spacing w:before="40" w:after="100"/>
      </w:pPr>
      <w:r>
        <w:rPr>
          <w:sz w:val="21"/>
        </w:rPr>
        <w:t>The project is structured into 4 Work Packages over 36 months. WP1 and WP3 run in parallel from Month 1; WP2 begins at Month 6 once WP1 biopsy protocols are validated; WP4 spans the full project.</w:t>
        <w:br/>
        <w:br/>
        <w:t>WP Leaders:</w:t>
        <w:br/>
        <w:t>• WP1 (Cohort Validation): GTU, Faculty of Biomedical Engineering</w:t>
        <w:br/>
        <w:t>• WP2 (Blood Biomarker): GTU, Faculty of Biomedical Engineering</w:t>
        <w:br/>
        <w:t>• WP3 (Simulator Enhancement): Phasis Academy (Dr. Tkemaladze)</w:t>
        <w:br/>
        <w:t>• WP4 (Dissemination &amp; Ethics): Phasis Academy (Dr. Tkemaladze)</w:t>
        <w:br/>
        <w:br/>
        <w:t>Person-months allocation:</w:t>
        <w:br/>
        <w:t>• PI (Dr. Tkemaladze): WP1=6 PM, WP2=4 PM, WP3=18 PM, WP4=8 PM — Total: 36 PM</w:t>
        <w:br/>
        <w:t>• Postdoc 1 (clinical, GTU): WP1=20 PM, WP2=14 PM, WP4=2 PM — Total: 36 PM</w:t>
        <w:br/>
        <w:t>• Postdoc 2 (computational, Phasis): WP3=30 PM, WP4=4 PM — Total: 34 PM</w:t>
        <w:br/>
        <w:t>• Clinical Coordinator (GTU): WP1=18 PM, WP2=6 PM, WP4=4 PM — Total: 28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M1–6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M7–12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M13–18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M19–24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M25–30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M31–36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WP1: Cohort Validation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WP2: Blood Biomarker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WP3: Simulator v2.0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WP4: Dissemination &amp; Ethics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████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M1: IRB approval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Ethics approval documents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KIU IRB letter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M2: Biopsy protocol validated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SOPs + 10 pilot biopsies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U-ExM images, κ&gt;0.80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M3: CAII measured in 60 subjects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Dataset + statistical report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TRL 4 confirmed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M4: EPC isolation protocol validated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PLA protocol SOP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Reproducibility in 10 donors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M5: CAII full cohort n=240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Full dataset + CDATA validation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p&lt;0.05, r&gt;0.65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M6: Blood proxy assay validated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ML model + sensitivity/specificity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Sens≥0.80, Spec≥0.75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M7: Patent filed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Patent application (blood CAII proxy)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Filing confirmation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M8: CDATA v2.0 released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GitHub release + Docker image + API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50+ downloads in 3 months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M9: 4 publications + TRL5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WP4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Accepted papers + regulatory meeting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 w:val="0"/>
                <w:sz w:val="18"/>
              </w:rPr>
              <w:t>DOIs + meeting minutes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b/>
          <w:sz w:val="24"/>
        </w:rPr>
        <w:t>3.3  Budget Overview</w:t>
      </w:r>
    </w:p>
    <w:p>
      <w:pPr/>
      <w:r>
        <w:rPr>
          <w:b/>
          <w:sz w:val="21"/>
        </w:rPr>
        <w:t>Total budget: €2,500,000 (100% EIC Pathfinder Open funding rate). All costs are direct costs; indirect costs calculated at 25% flat rate per Horizon Europe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Personnel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Equipment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Consumables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Other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WP Total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WP1: Cohort Validation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€380,000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€180,000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€180,000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€60,000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€800,000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WP2: Blood Biomarker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€220,000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€60,000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€120,000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€50,000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€450,000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WP3: Simulator Enhancement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€300,000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€20,000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€10,000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€70,000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€400,000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WP4: Dissemination &amp; Ethics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€180,000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€20,000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€150,000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€350,000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Indirect costs (25% flat rate)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€500,000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€1,080,000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€260,000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€330,000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€330,000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€2,500,000</w:t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>
      <w:pPr>
        <w:spacing w:before="80" w:after="80"/>
      </w:pPr>
    </w:p>
    <w:p>
      <w:pPr>
        <w:spacing w:before="40" w:after="100"/>
      </w:pPr>
      <w:r>
        <w:rPr>
          <w:sz w:val="21"/>
        </w:rPr>
        <w:t>Key cost drivers: WP1 personnel (postdoc ×24 months + clinical coordinator), U-ExM microscopy upgrade (Leica SP8 STED, €120,000 — upgrade of GTU Zeiss LSM 700 core), biopsy consumables (n=288 enrolled × ~€625/subject). WP2: Miltenyi MACS reagents (n=240 × €500/subject). WP4: gold OA fees (4 × €4,500 = €18,000) + patent prosecution (€25,000) + Consortium Agreement legal support (€5,000 via EEN Georgia / GITA).</w:t>
        <w:br/>
        <w:br/>
        <w:t>Equipment justification (Art.6.2.D HEU GA): Leica SP8 STED upgrade (€120,000) — GTU currently operates Zeiss LSM 700 (lateral resolution ~200 nm), insufficient for U-ExM nm-scale appendage measurement; upgrade provides ~20 nm lateral resolution required for CAII quantification. Equipment dedicated exclusively to CDATA-LONGEVITY protocol; post-project use governed by GTU open-access policy. Miltenyi MACS separator (€25,000) — no equivalent at GTU or KIU; required for WP2 EPC/monocyte isolation.</w:t>
      </w:r>
    </w:p>
    <w:p>
      <w:pPr>
        <w:spacing w:before="240" w:after="80"/>
      </w:pPr>
      <w:r>
        <w:rPr>
          <w:b/>
          <w:sz w:val="24"/>
        </w:rPr>
        <w:t>3.4  Principal Investigator — Dr. Jaba Tkemaladze, MD</w:t>
      </w:r>
    </w:p>
    <w:p>
      <w:pPr>
        <w:pStyle w:val="ListBullet"/>
        <w:spacing w:before="20" w:after="40"/>
      </w:pPr>
      <w:r>
        <w:rPr>
          <w:sz w:val="21"/>
        </w:rPr>
        <w:t>MD, Tbilisi State Medical University; researcher at Georgian Technical University (GTU), Tbilisi; affiliated with Kutaisi International University</w:t>
      </w:r>
    </w:p>
    <w:p>
      <w:pPr>
        <w:pStyle w:val="ListBullet"/>
        <w:spacing w:before="20" w:after="40"/>
      </w:pPr>
      <w:r>
        <w:rPr>
          <w:sz w:val="21"/>
        </w:rPr>
        <w:t>20+ years research in centriole biology and stem cell aging</w:t>
      </w:r>
    </w:p>
    <w:p>
      <w:pPr>
        <w:pStyle w:val="ListBullet"/>
        <w:spacing w:before="20" w:after="40"/>
      </w:pPr>
      <w:r>
        <w:rPr>
          <w:sz w:val="21"/>
        </w:rPr>
        <w:t>Publications: Biochemistry (Moscow) 2005; Molecular Biology Reports 2023; Annals of Rejuvenation Science 2026; npj Aging 2026 (accepted)</w:t>
      </w:r>
    </w:p>
    <w:p>
      <w:pPr>
        <w:pStyle w:val="ListBullet"/>
        <w:spacing w:before="20" w:after="40"/>
      </w:pPr>
      <w:r>
        <w:rPr>
          <w:sz w:val="21"/>
        </w:rPr>
        <w:t>Developed CDATA theory independently; implemented cell_dt simulator (Rust, 14 crates, 198 unit tests)</w:t>
      </w:r>
    </w:p>
    <w:p>
      <w:pPr>
        <w:pStyle w:val="ListBullet"/>
        <w:spacing w:before="20" w:after="40"/>
      </w:pPr>
      <w:r>
        <w:rPr>
          <w:sz w:val="21"/>
        </w:rPr>
        <w:t>Active funding applications: EIC Pathfinder, MSCA, Rustaveli Foundation (Georgia)</w:t>
      </w:r>
    </w:p>
    <w:p>
      <w:pPr>
        <w:pStyle w:val="ListBullet"/>
        <w:spacing w:before="20" w:after="40"/>
      </w:pPr>
      <w:r>
        <w:rPr>
          <w:sz w:val="21"/>
        </w:rPr>
        <w:t>Super-resolution microscopy expertise: hands-on experience with U-ExM (Ultrastructure Expansion Microscopy) and confocal protocols. PI trained in expansion microscopy at Tbilisi State Medical University core facility; GTU imaging core upgrade (Leica SP8 STED, budgeted in WP1 equipment, €120,000) will provide required ~20 nm lateral resolution for CAII quantification from Month 3.</w:t>
      </w:r>
    </w:p>
    <w:p/>
    <w:p>
      <w:r>
        <w:rPr>
          <w:b/>
        </w:rPr>
        <w:t>3.5  Risk Mitigation</w:t>
      </w:r>
    </w:p>
    <w:p>
      <w:r>
        <w:t>Per EIC Pathfinder review guidelines, the following risks are identified and mitigated:</w:t>
        <w:br/>
        <w:br/>
        <w:t>Risk 1 — WP2 blood biomarker failure (HIGH impact / MEDIUM probability)</w:t>
        <w:br/>
        <w:t>Description: EPC isolation from peripheral blood may yield insufficient cell numbers or low CEP164 signal for PLA quantification in the 66–80 age group.</w:t>
        <w:br/>
        <w:t>Mitigation: (a) Pilot isolation in 20 donors before full WP2 launch (Month 6–8); if EPC yield &lt;5 cells/ml in &gt;30% of donors, switch primary cell type to CD14+ monocyte-derived macrophages (higher abundance: ~10% of PBMCs; also express CEP164). (b) Supplement ELISA/PLA with proximity extension assay (PEA, Olink platform) as orthogonal quantification. (c) If blood proxy fails to reach Sens≥0.80, project Impact is reduced but WP1 (skin biopsy CAII) and WP3 (simulator) remain fully valid and sufficient for primary CDATA validation.</w:t>
        <w:br/>
        <w:br/>
        <w:t>Risk 2 — CAII correlation below prediction (r &lt; 0.65) (HIGH impact / LOW probability)</w:t>
        <w:br/>
        <w:t>Description: cell_dt predicts r &gt; 0.65 between CAII and SPPB frailty index. If observed r &lt; 0.65, this would not falsify CDATA but would indicate model recalibration is needed.</w:t>
        <w:br/>
        <w:t>Mitigation: (a) Pre-specified adaptive analysis plan: if r &lt; 0.65 at n=120 (interim analysis, Month 18), Bayesian model will be updated and CAII measurement protocol reviewed with a blinded statistical advisory board. (b) Secondary endpoints (cilia frequency, IL-6, myeloid:lymphoid ratio) provide additional falsification opportunities independent of CAII absolute values.</w:t>
        <w:br/>
        <w:br/>
        <w:t>Risk 3 — Participant dropout in WP1 (MEDIUM impact / MEDIUM probability)</w:t>
        <w:br/>
        <w:t>Description: 3 mm skin punch biopsy may deter volunteers, especially in the 66–80 age group.</w:t>
        <w:br/>
        <w:t>Mitigation: (a) Enrolment target inflated to n=288 (20% dropout buffer); minimum evaluable set n=200. (b) Biopsy performed under trained dermatologist supervision; compensation provided per IRB-approved protocol. (c) Recruitment strategy: medical school volunteer pool (GTU + KIU) + Georgian Veterans Association + community health fairs.</w:t>
        <w:br/>
        <w:br/>
        <w:t>Risk 4 — Consortium capacity / "bus factor" (MEDIUM impact / LOW probability)</w:t>
        <w:br/>
        <w:t>Description: Dr. Tkemaladze as sole theory expert creates key-person dependency.</w:t>
        <w:br/>
        <w:t>Mitigation: (a) All CDATA theory documentation, simulator, and protocols fully open-source and documented (GitHub: djabbat/cell_dt); project is continuable by any trained researcher. (b) GTU Biomedical Engineering faculty (Prof. Gela [Surname — pending GTU confirmation, ბატონი გელა, თუ თანახმაა]) serves as co-PI for clinical operations, providing institutional continuity. (c) Associated partner network (EEN Georgia / GITA) enables rapid identification of replacement expertise if needed.</w:t>
      </w:r>
    </w:p>
    <w:p>
      <w:pPr/>
    </w:p>
    <w:p>
      <w:pPr>
        <w:spacing w:before="320" w:after="120"/>
      </w:pPr>
      <w:r>
        <w:rPr>
          <w:b/>
          <w:sz w:val="32"/>
        </w:rPr>
        <w:t>SECTION 4 — ETHICS AND DATA MANAGEMENT</w:t>
      </w:r>
    </w:p>
    <w:p>
      <w:pPr>
        <w:spacing w:before="240" w:after="80"/>
      </w:pPr>
      <w:r>
        <w:rPr>
          <w:b/>
          <w:sz w:val="24"/>
        </w:rPr>
        <w:t>4.1  Ethics</w:t>
      </w:r>
    </w:p>
    <w:p>
      <w:pPr>
        <w:pStyle w:val="ListBullet"/>
        <w:spacing w:before="20" w:after="40"/>
      </w:pPr>
      <w:r>
        <w:rPr>
          <w:sz w:val="21"/>
        </w:rPr>
        <w:t>All human studies subject to IRB approval (Georgian Technical University Ethics Committee (Tbilisi) + Kutaisi University Hospital IRB)</w:t>
      </w:r>
    </w:p>
    <w:p>
      <w:pPr>
        <w:pStyle w:val="ListBullet"/>
        <w:spacing w:before="20" w:after="40"/>
      </w:pPr>
      <w:r>
        <w:rPr>
          <w:sz w:val="21"/>
        </w:rPr>
        <w:t>Written informed consent from all participants</w:t>
      </w:r>
    </w:p>
    <w:p>
      <w:pPr>
        <w:pStyle w:val="ListBullet"/>
        <w:spacing w:before="20" w:after="40"/>
      </w:pPr>
      <w:r>
        <w:rPr>
          <w:sz w:val="21"/>
        </w:rPr>
        <w:t>No vulnerable populations in the formal sense; healthy adult volunteers only. Special provision for 66–80 age group: two-stage informed consent process (written + verbal confirmation at biopsy appointment); participants may withdraw at any time without consequences; cognitive screening (Mini-Cog, 3 minutes) administered at enrolment to confirm decision-making capacity, consistent with ICH E6(R2) GCP guidelines.</w:t>
      </w:r>
    </w:p>
    <w:p>
      <w:pPr>
        <w:pStyle w:val="ListBullet"/>
        <w:spacing w:before="20" w:after="40"/>
      </w:pPr>
      <w:r>
        <w:rPr>
          <w:sz w:val="21"/>
        </w:rPr>
        <w:t>Biopsies: 3 mm punch biopsy under local anaesthesia — standard, minimal-risk procedure</w:t>
      </w:r>
    </w:p>
    <w:p>
      <w:pPr>
        <w:pStyle w:val="ListBullet"/>
        <w:spacing w:before="20" w:after="40"/>
      </w:pPr>
      <w:r>
        <w:rPr>
          <w:sz w:val="21"/>
        </w:rPr>
        <w:t>GDPR compliance: pseudonymised data; no personal identifiers in datasets</w:t>
      </w:r>
    </w:p>
    <w:p>
      <w:pPr>
        <w:pStyle w:val="ListBullet"/>
        <w:spacing w:before="20" w:after="40"/>
      </w:pPr>
      <w:r>
        <w:rPr>
          <w:sz w:val="21"/>
        </w:rPr>
        <w:t>Ethics self-assessment: no dual use, no animal experiments, no GMO</w:t>
      </w:r>
    </w:p>
    <w:p>
      <w:pPr>
        <w:spacing w:before="240" w:after="80"/>
      </w:pPr>
      <w:r>
        <w:rPr>
          <w:b/>
          <w:sz w:val="24"/>
        </w:rPr>
        <w:t>4.2  Data Management</w:t>
      </w:r>
    </w:p>
    <w:p>
      <w:pPr>
        <w:pStyle w:val="ListBullet"/>
        <w:spacing w:before="20" w:after="40"/>
      </w:pPr>
      <w:r>
        <w:rPr>
          <w:sz w:val="21"/>
        </w:rPr>
        <w:t>All raw data stored on EUDAT B2SHARE (EU-hosted, FAIR principles)</w:t>
      </w:r>
    </w:p>
    <w:p>
      <w:pPr>
        <w:pStyle w:val="ListBullet"/>
        <w:spacing w:before="20" w:after="40"/>
      </w:pPr>
      <w:r>
        <w:rPr>
          <w:sz w:val="21"/>
        </w:rPr>
        <w:t>Simulator code: MIT license, GitHub + Zenodo DOI at each release</w:t>
      </w:r>
    </w:p>
    <w:p>
      <w:pPr>
        <w:pStyle w:val="ListBullet"/>
        <w:spacing w:before="20" w:after="40"/>
      </w:pPr>
      <w:r>
        <w:rPr>
          <w:sz w:val="21"/>
        </w:rPr>
        <w:t>Datasets: CC-BY 4.0 upon publication</w:t>
      </w:r>
    </w:p>
    <w:p>
      <w:pPr>
        <w:pStyle w:val="ListBullet"/>
        <w:spacing w:before="20" w:after="40"/>
      </w:pPr>
      <w:r>
        <w:rPr>
          <w:sz w:val="21"/>
        </w:rPr>
        <w:t>Retention: 10 years post-project (per Horizon Europe requirements)</w:t>
      </w:r>
    </w:p>
    <w:p>
      <w:pPr>
        <w:pStyle w:val="ListBullet"/>
        <w:spacing w:before="20" w:after="40"/>
      </w:pPr>
      <w:r>
        <w:rPr>
          <w:sz w:val="21"/>
        </w:rPr>
        <w:t>Data Management Plan submitted within 6 months of project start (standard)</w:t>
      </w:r>
    </w:p>
    <w:p>
      <w:pPr>
        <w:spacing w:before="240" w:after="80"/>
      </w:pPr>
      <w:r>
        <w:rPr>
          <w:b/>
          <w:sz w:val="24"/>
        </w:rPr>
        <w:t>4.3  Open Science</w:t>
      </w:r>
    </w:p>
    <w:p>
      <w:pPr>
        <w:pStyle w:val="ListBullet"/>
        <w:spacing w:before="20" w:after="40"/>
      </w:pPr>
      <w:r>
        <w:rPr>
          <w:sz w:val="21"/>
        </w:rPr>
        <w:t>All publications: Gold Open Access (APC covered in budget)</w:t>
      </w:r>
    </w:p>
    <w:p>
      <w:pPr>
        <w:pStyle w:val="ListBullet"/>
        <w:spacing w:before="20" w:after="40"/>
      </w:pPr>
      <w:r>
        <w:rPr>
          <w:sz w:val="21"/>
        </w:rPr>
        <w:t>Preprints on bioRxiv at submission time</w:t>
      </w:r>
    </w:p>
    <w:p>
      <w:pPr>
        <w:pStyle w:val="ListBullet"/>
        <w:spacing w:before="20" w:after="40"/>
      </w:pPr>
      <w:r>
        <w:rPr>
          <w:sz w:val="21"/>
        </w:rPr>
        <w:t>Simulator: open-source, documented, reproducible (Docker image)</w:t>
      </w:r>
    </w:p>
    <w:p>
      <w:pPr>
        <w:pStyle w:val="ListBullet"/>
        <w:spacing w:before="20" w:after="40"/>
      </w:pPr>
      <w:r>
        <w:rPr>
          <w:sz w:val="21"/>
        </w:rPr>
        <w:t>CDATA platform API: free academic use, paid commercial licence</w:t>
      </w:r>
    </w:p>
    <w:p>
      <w:pPr/>
    </w:p>
    <w:p>
      <w:pPr/>
    </w:p>
    <w:p>
      <w:pPr>
        <w:jc w:val="center"/>
      </w:pPr>
      <w:r>
        <w:rPr>
          <w:sz w:val="17"/>
        </w:rPr>
        <w:t>CDATA-LONGEVITY | EIC Pathfinder Open 2026 | Dr. Jaba Tkemaladze | ფაზისის აკადემია | Deadline: 12 May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