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outlineLvl w:val="0"/>
      </w:pPr>
      <w:r>
        <w:rPr>
          <w:rFonts w:ascii="Calibri" w:hAnsi="Calibri"/>
          <w:b/>
          <w:sz w:val="32"/>
        </w:rPr>
        <w:t>Proposal Part B: Technical Description</w:t>
      </w:r>
    </w:p>
    <w:p>
      <w:pPr>
        <w:spacing w:before="60" w:after="60"/>
        <w:ind w:left="567"/>
      </w:pPr>
      <w:r>
        <w:rPr>
          <w:rFonts w:ascii="Calibri" w:hAnsi="Calibri"/>
          <w:b/>
          <w:i/>
          <w:sz w:val="22"/>
        </w:rPr>
        <w:t>CDATA</w:t>
      </w:r>
      <w:r>
        <w:rPr>
          <w:rFonts w:ascii="Calibri" w:hAnsi="Calibri"/>
          <w:i/>
          <w:sz w:val="22"/>
        </w:rPr>
        <w:t xml:space="preserve"> — </w:t>
      </w:r>
      <w:r>
        <w:rPr>
          <w:rFonts w:ascii="Calibri" w:hAnsi="Calibri"/>
          <w:b/>
          <w:i/>
          <w:sz w:val="22"/>
        </w:rPr>
        <w:t>C</w:t>
      </w:r>
      <w:r>
        <w:rPr>
          <w:rFonts w:ascii="Calibri" w:hAnsi="Calibri"/>
          <w:i/>
          <w:sz w:val="22"/>
        </w:rPr>
        <w:t xml:space="preserve">entriolar </w:t>
      </w:r>
      <w:r>
        <w:rPr>
          <w:rFonts w:ascii="Calibri" w:hAnsi="Calibri"/>
          <w:b/>
          <w:i/>
          <w:sz w:val="22"/>
        </w:rPr>
        <w:t>D</w:t>
      </w:r>
      <w:r>
        <w:rPr>
          <w:rFonts w:ascii="Calibri" w:hAnsi="Calibri"/>
          <w:i/>
          <w:sz w:val="22"/>
        </w:rPr>
        <w:t xml:space="preserve">amage </w:t>
      </w:r>
      <w:r>
        <w:rPr>
          <w:rFonts w:ascii="Calibri" w:hAnsi="Calibri"/>
          <w:b/>
          <w:i/>
          <w:sz w:val="22"/>
        </w:rPr>
        <w:t>A</w:t>
      </w:r>
      <w:r>
        <w:rPr>
          <w:rFonts w:ascii="Calibri" w:hAnsi="Calibri"/>
          <w:i/>
          <w:sz w:val="22"/>
        </w:rPr>
        <w:t xml:space="preserve">ccumulation </w:t>
      </w:r>
      <w:r>
        <w:rPr>
          <w:rFonts w:ascii="Calibri" w:hAnsi="Calibri"/>
          <w:b/>
          <w:i/>
          <w:sz w:val="22"/>
        </w:rPr>
        <w:t>T</w:t>
      </w:r>
      <w:r>
        <w:rPr>
          <w:rFonts w:ascii="Calibri" w:hAnsi="Calibri"/>
          <w:i/>
          <w:sz w:val="22"/>
        </w:rPr>
        <w:t xml:space="preserve">heory of </w:t>
      </w:r>
      <w:r>
        <w:rPr>
          <w:rFonts w:ascii="Calibri" w:hAnsi="Calibri"/>
          <w:b/>
          <w:i/>
          <w:sz w:val="22"/>
        </w:rPr>
        <w:t>A</w:t>
      </w:r>
      <w:r>
        <w:rPr>
          <w:rFonts w:ascii="Calibri" w:hAnsi="Calibri"/>
          <w:i/>
          <w:sz w:val="22"/>
        </w:rPr>
        <w:t>geing:</w:t>
      </w:r>
    </w:p>
    <w:p>
      <w:pPr>
        <w:spacing w:before="60" w:after="60"/>
        <w:ind w:left="567"/>
      </w:pPr>
      <w:r>
        <w:rPr>
          <w:rFonts w:ascii="Calibri" w:hAnsi="Calibri"/>
          <w:i/>
          <w:sz w:val="22"/>
        </w:rPr>
        <w:t>A Computational Cellular Digital Twin Validated Against Human Longevity Biomarkers</w:t>
      </w:r>
    </w:p>
    <w:p>
      <w:pPr>
        <w:spacing w:before="0" w:after="120" w:line="276" w:lineRule="auto"/>
      </w:pPr>
      <w:r>
        <w:rPr>
          <w:rFonts w:ascii="Calibri" w:hAnsi="Calibri"/>
          <w:b/>
          <w:sz w:val="22"/>
        </w:rPr>
        <w:t>Call:</w:t>
      </w:r>
      <w:r>
        <w:rPr>
          <w:rFonts w:ascii="Calibri" w:hAnsi="Calibri"/>
          <w:sz w:val="22"/>
        </w:rPr>
        <w:t xml:space="preserve"> HORIZON-EIC-2026-PATHFINDEROPEN-01</w:t>
      </w:r>
    </w:p>
    <w:p>
      <w:pPr>
        <w:spacing w:before="0" w:after="120" w:line="276" w:lineRule="auto"/>
      </w:pPr>
      <w:r>
        <w:rPr>
          <w:rFonts w:ascii="Calibri" w:hAnsi="Calibri"/>
          <w:b/>
          <w:sz w:val="22"/>
        </w:rPr>
        <w:t>Instrument:</w:t>
      </w:r>
      <w:r>
        <w:rPr>
          <w:rFonts w:ascii="Calibri" w:hAnsi="Calibri"/>
          <w:sz w:val="22"/>
        </w:rPr>
        <w:t xml:space="preserve"> EIC Pathfinder Open</w:t>
      </w:r>
    </w:p>
    <w:p>
      <w:pPr>
        <w:spacing w:before="0" w:after="120" w:line="276" w:lineRule="auto"/>
      </w:pPr>
      <w:r>
        <w:rPr>
          <w:rFonts w:ascii="Calibri" w:hAnsi="Calibri"/>
          <w:b/>
          <w:sz w:val="22"/>
        </w:rPr>
        <w:t>Requested funding:</w:t>
      </w:r>
      <w:r>
        <w:rPr>
          <w:rFonts w:ascii="Calibri" w:hAnsi="Calibri"/>
          <w:sz w:val="22"/>
        </w:rPr>
        <w:t xml:space="preserve"> €2,500,000 (36 months)</w:t>
      </w:r>
    </w:p>
    <w:p>
      <w:pPr>
        <w:spacing w:before="0" w:after="120" w:line="276" w:lineRule="auto"/>
      </w:pPr>
      <w:r>
        <w:rPr>
          <w:rFonts w:ascii="Calibri" w:hAnsi="Calibri"/>
          <w:b/>
          <w:sz w:val="22"/>
        </w:rPr>
        <w:t>Lead Beneficiary:</w:t>
      </w:r>
      <w:r>
        <w:rPr>
          <w:rFonts w:ascii="Calibri" w:hAnsi="Calibri"/>
          <w:sz w:val="22"/>
        </w:rPr>
        <w:t xml:space="preserve"> Phasis Academy (Poti, Georgia)</w:t>
      </w:r>
    </w:p>
    <w:p>
      <w:pPr>
        <w:spacing w:before="0" w:after="120" w:line="276" w:lineRule="auto"/>
      </w:pPr>
      <w:r>
        <w:rPr>
          <w:rFonts w:ascii="Calibri" w:hAnsi="Calibri"/>
          <w:b/>
          <w:sz w:val="22"/>
        </w:rPr>
        <w:t>Beneficiary 2:</w:t>
      </w:r>
      <w:r>
        <w:rPr>
          <w:rFonts w:ascii="Calibri" w:hAnsi="Calibri"/>
          <w:sz w:val="22"/>
        </w:rPr>
        <w:t xml:space="preserve"> Georgian Technical University — ABET BME (Tbilisi, Georgia), PIC: 983636358</w:t>
      </w:r>
    </w:p>
    <w:p>
      <w:pPr>
        <w:spacing w:before="0" w:after="120" w:line="276" w:lineRule="auto"/>
      </w:pPr>
      <w:r>
        <w:rPr>
          <w:rFonts w:ascii="Calibri" w:hAnsi="Calibri"/>
          <w:b/>
          <w:sz w:val="22"/>
        </w:rPr>
        <w:t>Principal Investigator:</w:t>
      </w:r>
      <w:r>
        <w:rPr>
          <w:rFonts w:ascii="Calibri" w:hAnsi="Calibri"/>
          <w:sz w:val="22"/>
        </w:rPr>
        <w:t xml:space="preserve"> Jaba Tkemaladze, MD</w:t>
      </w:r>
    </w:p>
    <w:p>
      <w:pPr>
        <w:spacing w:before="0" w:after="120" w:line="276" w:lineRule="auto"/>
      </w:pPr>
      <w:r>
        <w:rPr>
          <w:rFonts w:ascii="Calibri" w:hAnsi="Calibri"/>
          <w:b/>
          <w:sz w:val="22"/>
        </w:rPr>
        <w:t>Co-PI:</w:t>
      </w:r>
      <w:r>
        <w:rPr>
          <w:rFonts w:ascii="Calibri" w:hAnsi="Calibri"/>
          <w:sz w:val="22"/>
        </w:rPr>
        <w:t xml:space="preserve"> Prof. Batoni Gela, PhD — Department of Biomedical Engineering, GTU ABET; member of FORGE-AI Horizon consortium</w:t>
      </w:r>
    </w:p>
    <w:p>
      <w:pPr>
        <w:spacing w:before="80" w:after="80"/>
        <w:pBdr>
          <w:bottom w:val="single" w:sz="6" w:space="1" w:color="auto"/>
        </w:pBdr>
      </w:pPr>
    </w:p>
    <w:p>
      <w:pPr>
        <w:spacing w:before="280" w:after="80"/>
        <w:outlineLvl w:val="1"/>
      </w:pPr>
      <w:r>
        <w:rPr>
          <w:rFonts w:ascii="Calibri" w:hAnsi="Calibri"/>
          <w:b/>
          <w:sz w:val="28"/>
        </w:rPr>
        <w:t>Table of Contents</w:t>
      </w:r>
    </w:p>
    <w:p>
      <w:pPr>
        <w:pStyle w:val="ListNumber"/>
        <w:spacing w:before="20" w:after="20"/>
      </w:pPr>
      <w:r>
        <w:rPr>
          <w:rFonts w:ascii="Calibri" w:hAnsi="Calibri"/>
          <w:sz w:val="22"/>
        </w:rPr>
        <w:t>History of Changes</w:t>
      </w:r>
    </w:p>
    <w:p>
      <w:pPr>
        <w:pStyle w:val="ListNumber"/>
        <w:spacing w:before="20" w:after="20"/>
      </w:pPr>
      <w:r>
        <w:rPr>
          <w:rFonts w:ascii="Calibri" w:hAnsi="Calibri"/>
          <w:sz w:val="22"/>
        </w:rPr>
        <w:t>Excellence</w:t>
      </w:r>
    </w:p>
    <w:p>
      <w:pPr>
        <w:spacing w:before="0" w:after="120" w:line="276" w:lineRule="auto"/>
      </w:pPr>
      <w:r>
        <w:rPr>
          <w:rFonts w:ascii="Calibri" w:hAnsi="Calibri"/>
          <w:sz w:val="22"/>
        </w:rPr>
        <w:t>1.1 Soundness of Concept and Credibility of Methodology</w:t>
      </w:r>
    </w:p>
    <w:p>
      <w:pPr>
        <w:spacing w:before="0" w:after="120" w:line="276" w:lineRule="auto"/>
      </w:pPr>
      <w:r>
        <w:rPr>
          <w:rFonts w:ascii="Calibri" w:hAnsi="Calibri"/>
          <w:sz w:val="22"/>
        </w:rPr>
        <w:t>1.2 Extent Beyond State of the Art — Ambition</w:t>
      </w:r>
    </w:p>
    <w:p>
      <w:pPr>
        <w:pStyle w:val="ListNumber"/>
        <w:spacing w:before="20" w:after="20"/>
      </w:pPr>
      <w:r>
        <w:rPr>
          <w:rFonts w:ascii="Calibri" w:hAnsi="Calibri"/>
          <w:sz w:val="22"/>
        </w:rPr>
        <w:t>Impact</w:t>
      </w:r>
    </w:p>
    <w:p>
      <w:pPr>
        <w:spacing w:before="0" w:after="120" w:line="276" w:lineRule="auto"/>
      </w:pPr>
      <w:r>
        <w:rPr>
          <w:rFonts w:ascii="Calibri" w:hAnsi="Calibri"/>
          <w:sz w:val="22"/>
        </w:rPr>
        <w:t>2.1 Potential for Breakthrough Scientific and Technological Impact</w:t>
      </w:r>
    </w:p>
    <w:p>
      <w:pPr>
        <w:spacing w:before="0" w:after="120" w:line="276" w:lineRule="auto"/>
      </w:pPr>
      <w:r>
        <w:rPr>
          <w:rFonts w:ascii="Calibri" w:hAnsi="Calibri"/>
          <w:sz w:val="22"/>
        </w:rPr>
        <w:t>2.2 Potential Societal Impact and EU Policy Relevance</w:t>
      </w:r>
    </w:p>
    <w:p>
      <w:pPr>
        <w:spacing w:before="0" w:after="120" w:line="276" w:lineRule="auto"/>
      </w:pPr>
      <w:r>
        <w:rPr>
          <w:rFonts w:ascii="Calibri" w:hAnsi="Calibri"/>
          <w:sz w:val="22"/>
        </w:rPr>
        <w:t>2.3 Dissemination, Exploitation and Communication</w:t>
      </w:r>
    </w:p>
    <w:p>
      <w:pPr>
        <w:pStyle w:val="ListNumber"/>
        <w:spacing w:before="20" w:after="20"/>
      </w:pPr>
      <w:r>
        <w:rPr>
          <w:rFonts w:ascii="Calibri" w:hAnsi="Calibri"/>
          <w:sz w:val="22"/>
        </w:rPr>
        <w:t>Quality and Efficiency of Implementation</w:t>
      </w:r>
    </w:p>
    <w:p>
      <w:pPr>
        <w:spacing w:before="0" w:after="120" w:line="276" w:lineRule="auto"/>
      </w:pPr>
      <w:r>
        <w:rPr>
          <w:rFonts w:ascii="Calibri" w:hAnsi="Calibri"/>
          <w:sz w:val="22"/>
        </w:rPr>
        <w:t>3.1 Work Plan and Resources</w:t>
      </w:r>
    </w:p>
    <w:p>
      <w:pPr>
        <w:spacing w:before="0" w:after="120" w:line="276" w:lineRule="auto"/>
      </w:pPr>
      <w:r>
        <w:rPr>
          <w:rFonts w:ascii="Calibri" w:hAnsi="Calibri"/>
          <w:sz w:val="22"/>
        </w:rPr>
        <w:t>3.2 Capacity of the Consortium</w:t>
      </w:r>
    </w:p>
    <w:p>
      <w:pPr>
        <w:spacing w:before="0" w:after="120" w:line="276" w:lineRule="auto"/>
      </w:pPr>
      <w:r>
        <w:rPr>
          <w:rFonts w:ascii="Calibri" w:hAnsi="Calibri"/>
          <w:sz w:val="22"/>
        </w:rPr>
        <w:t>3.3 Budget Breakdown</w:t>
      </w:r>
    </w:p>
    <w:p>
      <w:pPr>
        <w:spacing w:before="0" w:after="120" w:line="276" w:lineRule="auto"/>
      </w:pPr>
      <w:r>
        <w:rPr>
          <w:rFonts w:ascii="Calibri" w:hAnsi="Calibri"/>
          <w:sz w:val="22"/>
        </w:rPr>
        <w:t>3.4 Risk Management</w:t>
      </w:r>
    </w:p>
    <w:p>
      <w:pPr>
        <w:spacing w:before="0" w:after="120" w:line="276" w:lineRule="auto"/>
      </w:pPr>
      <w:r>
        <w:rPr>
          <w:rFonts w:ascii="Calibri" w:hAnsi="Calibri"/>
          <w:sz w:val="22"/>
        </w:rPr>
        <w:t>3.5 Open Science Practices</w:t>
      </w:r>
    </w:p>
    <w:p>
      <w:pPr>
        <w:pStyle w:val="ListNumber"/>
        <w:spacing w:before="20" w:after="20"/>
      </w:pPr>
      <w:r>
        <w:rPr>
          <w:rFonts w:ascii="Calibri" w:hAnsi="Calibri"/>
          <w:sz w:val="22"/>
        </w:rPr>
        <w:t>Ethics Self-Assessment</w:t>
      </w:r>
    </w:p>
    <w:p>
      <w:pPr>
        <w:spacing w:before="80" w:after="80"/>
        <w:pBdr>
          <w:bottom w:val="single" w:sz="6" w:space="1" w:color="auto"/>
        </w:pBdr>
      </w:pPr>
    </w:p>
    <w:p>
      <w:pPr>
        <w:spacing w:before="280" w:after="80"/>
        <w:outlineLvl w:val="1"/>
      </w:pPr>
      <w:r>
        <w:rPr>
          <w:rFonts w:ascii="Calibri" w:hAnsi="Calibri"/>
          <w:b/>
          <w:sz w:val="28"/>
        </w:rPr>
        <w:t>0. History of Changes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Pr>
                <w:rFonts w:ascii="Calibri" w:hAnsi="Calibri"/>
                <w:b/>
                <w:sz w:val="20"/>
              </w:rPr>
              <w:t>Version</w:t>
            </w:r>
          </w:p>
        </w:tc>
        <w:tc>
          <w:tcPr>
            <w:tcW w:type="dxa" w:w="3135"/>
            <w:shd w:val="clear" w:color="auto" w:fill="D9E1F2"/>
          </w:tcPr>
          <w:p>
            <w:pPr>
              <w:spacing w:before="40" w:after="40"/>
            </w:pPr>
            <w:r>
              <w:rPr>
                <w:rFonts w:ascii="Calibri" w:hAnsi="Calibri"/>
                <w:b/>
                <w:sz w:val="20"/>
              </w:rPr>
              <w:t>Date</w:t>
            </w:r>
          </w:p>
        </w:tc>
        <w:tc>
          <w:tcPr>
            <w:tcW w:type="dxa" w:w="3135"/>
            <w:shd w:val="clear" w:color="auto" w:fill="D9E1F2"/>
          </w:tcPr>
          <w:p>
            <w:pPr>
              <w:spacing w:before="40" w:after="40"/>
            </w:pPr>
            <w:r>
              <w:rPr>
                <w:rFonts w:ascii="Calibri" w:hAnsi="Calibri"/>
                <w:b/>
                <w:sz w:val="20"/>
              </w:rPr>
              <w:t>Nature of Change</w:t>
            </w:r>
          </w:p>
        </w:tc>
      </w:tr>
      <w:tr>
        <w:tc>
          <w:tcPr>
            <w:tcW w:type="dxa" w:w="3135"/>
          </w:tcPr>
          <w:p>
            <w:pPr>
              <w:spacing w:before="40" w:after="40"/>
            </w:pPr>
            <w:r>
              <w:rPr>
                <w:rFonts w:ascii="Calibri" w:hAnsi="Calibri"/>
                <w:sz w:val="20"/>
              </w:rPr>
              <w:t>v1.0</w:t>
            </w:r>
          </w:p>
        </w:tc>
        <w:tc>
          <w:tcPr>
            <w:tcW w:type="dxa" w:w="3135"/>
          </w:tcPr>
          <w:p>
            <w:pPr>
              <w:spacing w:before="40" w:after="40"/>
            </w:pPr>
            <w:r>
              <w:rPr>
                <w:rFonts w:ascii="Calibri" w:hAnsi="Calibri"/>
                <w:sz w:val="20"/>
              </w:rPr>
              <w:t>2026-03-21</w:t>
            </w:r>
          </w:p>
        </w:tc>
        <w:tc>
          <w:tcPr>
            <w:tcW w:type="dxa" w:w="3135"/>
          </w:tcPr>
          <w:p>
            <w:pPr>
              <w:spacing w:before="40" w:after="40"/>
            </w:pPr>
            <w:r>
              <w:rPr>
                <w:rFonts w:ascii="Calibri" w:hAnsi="Calibri"/>
                <w:sz w:val="20"/>
              </w:rPr>
              <w:t>Initial draft</w:t>
            </w:r>
          </w:p>
        </w:tc>
      </w:tr>
      <w:tr>
        <w:tc>
          <w:tcPr>
            <w:tcW w:type="dxa" w:w="3135"/>
          </w:tcPr>
          <w:p>
            <w:pPr>
              <w:spacing w:before="40" w:after="40"/>
            </w:pPr>
            <w:r>
              <w:rPr>
                <w:rFonts w:ascii="Calibri" w:hAnsi="Calibri"/>
                <w:sz w:val="20"/>
              </w:rPr>
              <w:t>v2.0</w:t>
            </w:r>
          </w:p>
        </w:tc>
        <w:tc>
          <w:tcPr>
            <w:tcW w:type="dxa" w:w="3135"/>
          </w:tcPr>
          <w:p>
            <w:pPr>
              <w:spacing w:before="40" w:after="40"/>
            </w:pPr>
            <w:r>
              <w:rPr>
                <w:rFonts w:ascii="Calibri" w:hAnsi="Calibri"/>
                <w:sz w:val="20"/>
              </w:rPr>
              <w:t>2026-03-23</w:t>
            </w:r>
          </w:p>
        </w:tc>
        <w:tc>
          <w:tcPr>
            <w:tcW w:type="dxa" w:w="3135"/>
          </w:tcPr>
          <w:p>
            <w:pPr>
              <w:spacing w:before="40" w:after="40"/>
            </w:pPr>
            <w:r>
              <w:rPr>
                <w:rFonts w:ascii="Calibri" w:hAnsi="Calibri"/>
                <w:sz w:val="20"/>
              </w:rPr>
              <w:t>Budget corrected: direct €2,000K + 25% indirect = €2,500K. GTU co-PI placeholder inserted. n=288/240 unified. Person-months table added. WP leaders specified. Peer Review v3: 4.3/5.</w:t>
            </w:r>
          </w:p>
        </w:tc>
      </w:tr>
      <w:tr>
        <w:tc>
          <w:tcPr>
            <w:tcW w:type="dxa" w:w="3135"/>
          </w:tcPr>
          <w:p>
            <w:pPr>
              <w:spacing w:before="40" w:after="40"/>
            </w:pPr>
            <w:r>
              <w:rPr>
                <w:rFonts w:ascii="Calibri" w:hAnsi="Calibri"/>
                <w:sz w:val="20"/>
              </w:rPr>
              <w:t>v5.0</w:t>
            </w:r>
          </w:p>
        </w:tc>
        <w:tc>
          <w:tcPr>
            <w:tcW w:type="dxa" w:w="3135"/>
          </w:tcPr>
          <w:p>
            <w:pPr>
              <w:spacing w:before="40" w:after="40"/>
            </w:pPr>
            <w:r>
              <w:rPr>
                <w:rFonts w:ascii="Calibri" w:hAnsi="Calibri"/>
                <w:sz w:val="20"/>
              </w:rPr>
              <w:t>2026-03-24</w:t>
            </w:r>
          </w:p>
        </w:tc>
        <w:tc>
          <w:tcPr>
            <w:tcW w:type="dxa" w:w="3135"/>
          </w:tcPr>
          <w:p>
            <w:pPr>
              <w:spacing w:before="40" w:after="40"/>
            </w:pPr>
            <w:r>
              <w:rPr>
                <w:rFonts w:ascii="Calibri" w:hAnsi="Calibri"/>
                <w:sz w:val="20"/>
              </w:rPr>
              <w:t>Peer Review v4 corrections: (C2) Ze Theory removed from Section 1 Excellence; remains only as secondary endpoint in WP2. (C3) Consortium Agreement corrected to M1. (C4) Phasis Academy description expanded. Preparatory WP4 task T4.0 added. In silico caveats added to intervention table.</w:t>
            </w:r>
          </w:p>
        </w:tc>
      </w:tr>
      <w:tr>
        <w:tc>
          <w:tcPr>
            <w:tcW w:type="dxa" w:w="3135"/>
          </w:tcPr>
          <w:p>
            <w:pPr>
              <w:spacing w:before="40" w:after="40"/>
            </w:pPr>
            <w:r>
              <w:rPr>
                <w:rFonts w:ascii="Calibri" w:hAnsi="Calibri"/>
                <w:sz w:val="20"/>
              </w:rPr>
              <w:t>v6.0</w:t>
            </w:r>
          </w:p>
        </w:tc>
        <w:tc>
          <w:tcPr>
            <w:tcW w:type="dxa" w:w="3135"/>
          </w:tcPr>
          <w:p>
            <w:pPr>
              <w:spacing w:before="40" w:after="40"/>
            </w:pPr>
            <w:r>
              <w:rPr>
                <w:rFonts w:ascii="Calibri" w:hAnsi="Calibri"/>
                <w:sz w:val="20"/>
              </w:rPr>
              <w:t>2026-03-24</w:t>
            </w:r>
          </w:p>
        </w:tc>
        <w:tc>
          <w:tcPr>
            <w:tcW w:type="dxa" w:w="3135"/>
          </w:tcPr>
          <w:p>
            <w:pPr>
              <w:spacing w:before="40" w:after="40"/>
            </w:pPr>
            <w:r>
              <w:rPr>
                <w:rFonts w:ascii="Calibri" w:hAnsi="Calibri"/>
                <w:sz w:val="20"/>
              </w:rPr>
              <w:t>External Expert Peer Review corrections: (E1) Ze Theory restored to 1.2 as secondary innovative hypothesis (without n=26 dataset). (Q2) STED description corrected: acquisition of new Leica SP8, not upgrade from Zeiss LSM 700. (Q3) Blinding statement added to WP2 T2.2 and T2.4. (E3) Primary HDF cells added to WP1 T1.1. (E2) Telomere theory formulation softened in Table 1.1.5. (I1) KPIs lowered: #10 r&gt;0.5, #12 proof-of-mechanism. (Q4) International recruitment added for Rust Engineer. (I2) CAII ELISA automated platform plan added to 2.3.3.</w:t>
            </w:r>
          </w:p>
        </w:tc>
      </w:tr>
      <w:tr>
        <w:tc>
          <w:tcPr>
            <w:tcW w:type="dxa" w:w="3135"/>
          </w:tcPr>
          <w:p>
            <w:pPr>
              <w:spacing w:before="40" w:after="40"/>
            </w:pPr>
            <w:r>
              <w:rPr>
                <w:rFonts w:ascii="Calibri" w:hAnsi="Calibri"/>
                <w:sz w:val="20"/>
              </w:rPr>
              <w:t>v7.0</w:t>
            </w:r>
          </w:p>
        </w:tc>
        <w:tc>
          <w:tcPr>
            <w:tcW w:type="dxa" w:w="3135"/>
          </w:tcPr>
          <w:p>
            <w:pPr>
              <w:spacing w:before="40" w:after="40"/>
            </w:pPr>
            <w:r>
              <w:rPr>
                <w:rFonts w:ascii="Calibri" w:hAnsi="Calibri"/>
                <w:sz w:val="20"/>
              </w:rPr>
              <w:t>2026-03-24</w:t>
            </w:r>
          </w:p>
        </w:tc>
        <w:tc>
          <w:tcPr>
            <w:tcW w:type="dxa" w:w="3135"/>
          </w:tcPr>
          <w:p>
            <w:pPr>
              <w:spacing w:before="40" w:after="40"/>
            </w:pPr>
            <w:r>
              <w:rPr>
                <w:rFonts w:ascii="Calibri" w:hAnsi="Calibri"/>
                <w:sz w:val="20"/>
              </w:rPr>
              <w:t>Second Expert Review + co-PI confirmation: (C2) Document version v7.0. (C3) Ze Theory 1.2.3 — no prior unpublished datasets. (M1) ≥439 tests throughout all sections. (M2) KPI #16 CAII ELISA automated platform. (M3) Gladyshev 2014 reference [11]. (L1) Leica SP8 STED in 2.2.3. (Q1) co-PI confirmed: Prof. Batoni Gela, GTU ABET BME, FORGE-AI — placeholder replaced throughout; role description added to 3.2.2; Risk R1 updated.</w:t>
            </w:r>
          </w:p>
        </w:tc>
      </w:tr>
    </w:tbl>
    <w:p>
      <w:pPr>
        <w:spacing w:after="120"/>
      </w:pPr>
    </w:p>
    <w:p>
      <w:pPr>
        <w:spacing w:before="80" w:after="80"/>
        <w:pBdr>
          <w:bottom w:val="single" w:sz="6" w:space="1" w:color="auto"/>
        </w:pBdr>
      </w:pPr>
    </w:p>
    <w:p>
      <w:pPr>
        <w:spacing w:before="280" w:after="80"/>
        <w:outlineLvl w:val="1"/>
      </w:pPr>
      <w:r>
        <w:rPr>
          <w:rFonts w:ascii="Calibri" w:hAnsi="Calibri"/>
          <w:b/>
          <w:sz w:val="28"/>
        </w:rPr>
        <w:t>1. Excellence</w:t>
      </w:r>
    </w:p>
    <w:p>
      <w:pPr>
        <w:spacing w:before="200" w:after="60"/>
        <w:outlineLvl w:val="2"/>
      </w:pPr>
      <w:r>
        <w:rPr>
          <w:rFonts w:ascii="Calibri" w:hAnsi="Calibri"/>
          <w:b/>
          <w:sz w:val="24"/>
        </w:rPr>
        <w:t>CDATA in a Nutshell</w:t>
      </w:r>
    </w:p>
    <w:tbl>
      <w:tblPr>
        <w:tblStyle w:val="TableGrid"/>
        <w:tblW w:type="auto" w:w="0"/>
        <w:tblLook w:firstColumn="1" w:firstRow="1" w:lastColumn="0" w:lastRow="0" w:noHBand="0" w:noVBand="1" w:val="04A0"/>
      </w:tblPr>
      <w:tblGrid>
        <w:gridCol w:w="4703"/>
        <w:gridCol w:w="4703"/>
      </w:tblGrid>
      <w:tr>
        <w:tc>
          <w:tcPr>
            <w:tcW w:type="dxa" w:w="4703"/>
          </w:tcPr>
          <w:p>
            <w:pPr>
              <w:spacing w:before="40" w:after="40"/>
            </w:pPr>
            <w:r>
              <w:rPr>
                <w:rFonts w:ascii="Calibri" w:hAnsi="Calibri"/>
                <w:b/>
                <w:sz w:val="20"/>
              </w:rPr>
              <w:t>WHY</w:t>
            </w:r>
          </w:p>
        </w:tc>
        <w:tc>
          <w:tcPr>
            <w:tcW w:type="dxa" w:w="4703"/>
          </w:tcPr>
          <w:p>
            <w:pPr>
              <w:spacing w:before="40" w:after="40"/>
            </w:pPr>
            <w:r>
              <w:rPr>
                <w:rFonts w:ascii="Calibri" w:hAnsi="Calibri"/>
                <w:sz w:val="20"/>
              </w:rPr>
              <w:t xml:space="preserve">Ageing is the leading risk factor for all major non-communicable diseases, yet its primary cellular driver remains unknown. Current theories (Hallmarks of Ageing, Telomere theory, Inflammaging) are phenomenological descriptions, not mechanistic root causes. A paradigm shift is urgently needed: one that identifies the </w:t>
            </w:r>
            <w:r>
              <w:rPr>
                <w:rFonts w:ascii="Calibri" w:hAnsi="Calibri"/>
                <w:i/>
                <w:sz w:val="20"/>
              </w:rPr>
              <w:t>irreversible molecular initiator</w:t>
            </w:r>
            <w:r>
              <w:rPr>
                <w:rFonts w:ascii="Calibri" w:hAnsi="Calibri"/>
                <w:sz w:val="20"/>
              </w:rPr>
              <w:t xml:space="preserve"> of the ageing cascade.</w:t>
            </w:r>
          </w:p>
        </w:tc>
      </w:tr>
      <w:tr>
        <w:tc>
          <w:tcPr>
            <w:tcW w:type="dxa" w:w="4703"/>
          </w:tcPr>
          <w:p>
            <w:pPr>
              <w:spacing w:before="40" w:after="40"/>
            </w:pPr>
            <w:r>
              <w:rPr>
                <w:rFonts w:ascii="Calibri" w:hAnsi="Calibri"/>
                <w:b/>
                <w:sz w:val="20"/>
              </w:rPr>
              <w:t>WHAT</w:t>
            </w:r>
          </w:p>
        </w:tc>
        <w:tc>
          <w:tcPr>
            <w:tcW w:type="dxa" w:w="4703"/>
          </w:tcPr>
          <w:p>
            <w:pPr>
              <w:spacing w:before="40" w:after="40"/>
            </w:pPr>
            <w:r>
              <w:rPr>
                <w:rFonts w:ascii="Calibri" w:hAnsi="Calibri"/>
                <w:sz w:val="20"/>
              </w:rPr>
              <w:t xml:space="preserve">CDATA proposes that </w:t>
            </w:r>
            <w:r>
              <w:rPr>
                <w:rFonts w:ascii="Calibri" w:hAnsi="Calibri"/>
                <w:b/>
                <w:sz w:val="20"/>
              </w:rPr>
              <w:t>centrioles</w:t>
            </w:r>
            <w:r>
              <w:rPr>
                <w:rFonts w:ascii="Calibri" w:hAnsi="Calibri"/>
                <w:sz w:val="20"/>
              </w:rPr>
              <w:t xml:space="preserve"> — the only non-membrane cellular organelles that permanently lack repair mechanisms — are this initiator. By irreversibly accumulating post-translational modifications (PTMs), damaged centrioles disrupt primary cilia and mitotic spindle fidelity, exhausting the stem cell pool and driving systemic ageing. CDATA is the first computational cellular digital twin that unifies 7 biological tracks and 20+ ageing mechanisms into a single predictive model, calibrated to 78.4-year human lifespan.</w:t>
            </w:r>
          </w:p>
        </w:tc>
      </w:tr>
      <w:tr>
        <w:tc>
          <w:tcPr>
            <w:tcW w:type="dxa" w:w="4703"/>
          </w:tcPr>
          <w:p>
            <w:pPr>
              <w:spacing w:before="40" w:after="40"/>
            </w:pPr>
            <w:r>
              <w:rPr>
                <w:rFonts w:ascii="Calibri" w:hAnsi="Calibri"/>
                <w:b/>
                <w:sz w:val="20"/>
              </w:rPr>
              <w:t>HOW</w:t>
            </w:r>
          </w:p>
        </w:tc>
        <w:tc>
          <w:tcPr>
            <w:tcW w:type="dxa" w:w="4703"/>
          </w:tcPr>
          <w:p>
            <w:pPr>
              <w:spacing w:before="40" w:after="40"/>
            </w:pPr>
            <w:r>
              <w:rPr>
                <w:rFonts w:ascii="Calibri" w:hAnsi="Calibri"/>
                <w:sz w:val="20"/>
              </w:rPr>
              <w:t xml:space="preserve">Phase 1 (WP1–WP2): Validate CDATA biomarkers (CAII, CEP164, γ-H2AX) in a longitudinal human cohort (n=288, ages 66–80) and in </w:t>
            </w:r>
            <w:r>
              <w:rPr>
                <w:rFonts w:ascii="Calibri" w:hAnsi="Calibri"/>
                <w:i/>
                <w:sz w:val="20"/>
              </w:rPr>
              <w:t>in vitro</w:t>
            </w:r>
            <w:r>
              <w:rPr>
                <w:rFonts w:ascii="Calibri" w:hAnsi="Calibri"/>
                <w:sz w:val="20"/>
              </w:rPr>
              <w:t xml:space="preserve"> centriole-damage models. Phase 2 (WP3): Integrate experimental data into the Rust-based Cell Digital Twin (Cell-DT, 14 ECS modules, ≥439 validated tests). Phase 3 (WP4): Demonstrate therapeutic proof-of-concept using three novel CDATA-specific interventions (CentrosomeTransplant, CafdRetainer, Senolytics).</w:t>
            </w:r>
          </w:p>
        </w:tc>
      </w:tr>
      <w:tr>
        <w:tc>
          <w:tcPr>
            <w:tcW w:type="dxa" w:w="4703"/>
          </w:tcPr>
          <w:p>
            <w:pPr>
              <w:spacing w:before="40" w:after="40"/>
            </w:pPr>
            <w:r>
              <w:rPr>
                <w:rFonts w:ascii="Calibri" w:hAnsi="Calibri"/>
                <w:b/>
                <w:sz w:val="20"/>
              </w:rPr>
              <w:t>FOR WHOM</w:t>
            </w:r>
          </w:p>
        </w:tc>
        <w:tc>
          <w:tcPr>
            <w:tcW w:type="dxa" w:w="4703"/>
          </w:tcPr>
          <w:p>
            <w:pPr>
              <w:spacing w:before="40" w:after="40"/>
            </w:pPr>
            <w:r>
              <w:rPr>
                <w:rFonts w:ascii="Calibri" w:hAnsi="Calibri"/>
                <w:sz w:val="20"/>
              </w:rPr>
              <w:t>Biogerontologists, precision medicine clinicians, longevity biotech companies, pharmaceutical drug developers, EU healthy-ageing policy makers.</w:t>
            </w:r>
          </w:p>
        </w:tc>
      </w:tr>
      <w:tr>
        <w:tc>
          <w:tcPr>
            <w:tcW w:type="dxa" w:w="4703"/>
          </w:tcPr>
          <w:p>
            <w:pPr>
              <w:spacing w:before="40" w:after="40"/>
            </w:pPr>
            <w:r>
              <w:rPr>
                <w:rFonts w:ascii="Calibri" w:hAnsi="Calibri"/>
                <w:b/>
                <w:sz w:val="20"/>
              </w:rPr>
              <w:t>BY WHOM</w:t>
            </w:r>
          </w:p>
        </w:tc>
        <w:tc>
          <w:tcPr>
            <w:tcW w:type="dxa" w:w="4703"/>
          </w:tcPr>
          <w:p>
            <w:pPr>
              <w:spacing w:before="40" w:after="40"/>
            </w:pPr>
            <w:r>
              <w:rPr>
                <w:rFonts w:ascii="Calibri" w:hAnsi="Calibri"/>
                <w:sz w:val="20"/>
              </w:rPr>
              <w:t>A focused two-institution consortium: Phasis Academy (PI: Dr. Jaba Tkemaladze, MD — originator of CDATA theory; 2 peer-reviewed publications incl. Mol Biol Rep 2023, PMID 36583780) + Georgian Technical University ABET BME (co-PI: Prof. Batoni Gela, Confocal/STED core facility, Horizon FORGE-AI track record).</w:t>
            </w:r>
          </w:p>
        </w:tc>
      </w:tr>
    </w:tbl>
    <w:p>
      <w:pPr>
        <w:spacing w:after="120"/>
      </w:pPr>
    </w:p>
    <w:p>
      <w:pPr>
        <w:spacing w:before="80" w:after="80"/>
        <w:pBdr>
          <w:bottom w:val="single" w:sz="6" w:space="1" w:color="auto"/>
        </w:pBdr>
      </w:pPr>
    </w:p>
    <w:p>
      <w:pPr>
        <w:spacing w:before="200" w:after="60"/>
        <w:outlineLvl w:val="2"/>
      </w:pPr>
      <w:r>
        <w:rPr>
          <w:rFonts w:ascii="Calibri" w:hAnsi="Calibri"/>
          <w:b/>
          <w:sz w:val="24"/>
        </w:rPr>
        <w:t>1.1 Soundness of the Project Concept and Credibility of the Proposed Methodology</w:t>
      </w:r>
    </w:p>
    <w:p>
      <w:pPr>
        <w:spacing w:before="160" w:after="60"/>
        <w:outlineLvl w:val="3"/>
      </w:pPr>
      <w:r>
        <w:rPr>
          <w:rFonts w:ascii="Calibri" w:hAnsi="Calibri"/>
          <w:b/>
          <w:i/>
          <w:sz w:val="22"/>
        </w:rPr>
        <w:t>1.1.1 The Problem: The Missing Root Cause of Ageing</w:t>
      </w:r>
    </w:p>
    <w:p>
      <w:pPr>
        <w:spacing w:before="0" w:after="120" w:line="276" w:lineRule="auto"/>
      </w:pPr>
      <w:r>
        <w:rPr>
          <w:rFonts w:ascii="Calibri" w:hAnsi="Calibri"/>
          <w:sz w:val="22"/>
        </w:rPr>
        <w:t xml:space="preserve">Despite decades of research, ageing lacks a mechanistic, causal explanation at the molecular level. The dominant framework — the 12 Hallmarks of Ageing (López-Otín et al., 2023, </w:t>
      </w:r>
      <w:r>
        <w:rPr>
          <w:rFonts w:ascii="Calibri" w:hAnsi="Calibri"/>
          <w:i/>
          <w:sz w:val="22"/>
        </w:rPr>
        <w:t>Cell</w:t>
      </w:r>
      <w:r>
        <w:rPr>
          <w:rFonts w:ascii="Calibri" w:hAnsi="Calibri"/>
          <w:sz w:val="22"/>
        </w:rPr>
        <w:t xml:space="preserve"> 186:243) — catalogues </w:t>
      </w:r>
      <w:r>
        <w:rPr>
          <w:rFonts w:ascii="Calibri" w:hAnsi="Calibri"/>
          <w:i/>
          <w:sz w:val="22"/>
        </w:rPr>
        <w:t>consequences</w:t>
      </w:r>
      <w:r>
        <w:rPr>
          <w:rFonts w:ascii="Calibri" w:hAnsi="Calibri"/>
          <w:sz w:val="22"/>
        </w:rPr>
        <w:t xml:space="preserve"> of ageing but does not identify a single initiating event. Telomere attrition (Blackburn, 2000, </w:t>
      </w:r>
      <w:r>
        <w:rPr>
          <w:rFonts w:ascii="Calibri" w:hAnsi="Calibri"/>
          <w:i/>
          <w:sz w:val="22"/>
        </w:rPr>
        <w:t>Nature</w:t>
      </w:r>
      <w:r>
        <w:rPr>
          <w:rFonts w:ascii="Calibri" w:hAnsi="Calibri"/>
          <w:sz w:val="22"/>
        </w:rPr>
        <w:t xml:space="preserve"> 408:53) explains Hayflick-limited cell divisions but not post-mitotic cell ageing. Inflammaging (Franceschi et al., 2007) is a downstream consequence of immune dysregulation, not its root cause.</w:t>
      </w:r>
    </w:p>
    <w:p>
      <w:pPr>
        <w:spacing w:before="0" w:after="120" w:line="276" w:lineRule="auto"/>
      </w:pPr>
      <w:r>
        <w:rPr>
          <w:rFonts w:ascii="Calibri" w:hAnsi="Calibri"/>
          <w:sz w:val="22"/>
        </w:rPr>
        <w:t xml:space="preserve">The central question remains unanswered: </w:t>
      </w:r>
      <w:r>
        <w:rPr>
          <w:rFonts w:ascii="Calibri" w:hAnsi="Calibri"/>
          <w:b/>
          <w:sz w:val="22"/>
        </w:rPr>
        <w:t>what is the first, irreversible molecular event that sets off the cascade?</w:t>
      </w:r>
    </w:p>
    <w:p>
      <w:pPr>
        <w:spacing w:before="0" w:after="120" w:line="276" w:lineRule="auto"/>
      </w:pPr>
      <w:r>
        <w:rPr>
          <w:rFonts w:ascii="Calibri" w:hAnsi="Calibri"/>
          <w:sz w:val="22"/>
        </w:rPr>
        <w:t xml:space="preserve">CDATA provides a compelling answer rooted in cell biology: </w:t>
      </w:r>
      <w:r>
        <w:rPr>
          <w:rFonts w:ascii="Calibri" w:hAnsi="Calibri"/>
          <w:b/>
          <w:sz w:val="22"/>
        </w:rPr>
        <w:t>centrioles</w:t>
      </w:r>
      <w:r>
        <w:rPr>
          <w:rFonts w:ascii="Calibri" w:hAnsi="Calibri"/>
          <w:sz w:val="22"/>
        </w:rPr>
        <w:t>.</w:t>
      </w:r>
    </w:p>
    <w:p>
      <w:pPr>
        <w:spacing w:before="160" w:after="60"/>
        <w:outlineLvl w:val="3"/>
      </w:pPr>
      <w:r>
        <w:rPr>
          <w:rFonts w:ascii="Calibri" w:hAnsi="Calibri"/>
          <w:b/>
          <w:i/>
          <w:sz w:val="22"/>
        </w:rPr>
        <w:t>1.1.2 The CDATA Hypothesis</w:t>
      </w:r>
    </w:p>
    <w:p>
      <w:pPr>
        <w:spacing w:before="0" w:after="120" w:line="276" w:lineRule="auto"/>
      </w:pPr>
      <w:r>
        <w:rPr>
          <w:rFonts w:ascii="Calibri" w:hAnsi="Calibri"/>
          <w:sz w:val="22"/>
        </w:rPr>
        <w:t>Centrioles are unique among cellular organelles in two key respects:</w:t>
      </w:r>
    </w:p>
    <w:p>
      <w:pPr>
        <w:pStyle w:val="ListNumber"/>
        <w:spacing w:before="20" w:after="20"/>
      </w:pPr>
      <w:r>
        <w:rPr>
          <w:rFonts w:ascii="Calibri" w:hAnsi="Calibri"/>
          <w:b/>
          <w:sz w:val="22"/>
        </w:rPr>
        <w:t>They are permanent:</w:t>
      </w:r>
      <w:r>
        <w:rPr>
          <w:rFonts w:ascii="Calibri" w:hAnsi="Calibri"/>
          <w:sz w:val="22"/>
        </w:rPr>
        <w:t xml:space="preserve"> unlike most proteins, which turn over in days to weeks, centrioles persist for the entire lifetime of a cell. The mother centriole is </w:t>
      </w:r>
      <w:r>
        <w:rPr>
          <w:rFonts w:ascii="Calibri" w:hAnsi="Calibri"/>
          <w:i/>
          <w:sz w:val="22"/>
        </w:rPr>
        <w:t>never replaced</w:t>
      </w:r>
      <w:r>
        <w:rPr>
          <w:rFonts w:ascii="Calibri" w:hAnsi="Calibri"/>
          <w:sz w:val="22"/>
        </w:rPr>
        <w:t>.</w:t>
      </w:r>
    </w:p>
    <w:p>
      <w:pPr>
        <w:pStyle w:val="ListNumber"/>
        <w:spacing w:before="20" w:after="20"/>
      </w:pPr>
      <w:r>
        <w:rPr>
          <w:rFonts w:ascii="Calibri" w:hAnsi="Calibri"/>
          <w:b/>
          <w:sz w:val="22"/>
        </w:rPr>
        <w:t>They completely lack repair mechanisms:</w:t>
      </w:r>
      <w:r>
        <w:rPr>
          <w:rFonts w:ascii="Calibri" w:hAnsi="Calibri"/>
          <w:sz w:val="22"/>
        </w:rPr>
        <w:t xml:space="preserve"> no known deubiquitylase, protease, or heat-shock chaperone system repairs centriolar structural proteins (Tkemaladze, 2023, </w:t>
      </w:r>
      <w:r>
        <w:rPr>
          <w:rFonts w:ascii="Calibri" w:hAnsi="Calibri"/>
          <w:i/>
          <w:sz w:val="22"/>
        </w:rPr>
        <w:t>Mol Biol Rep</w:t>
      </w:r>
      <w:r>
        <w:rPr>
          <w:rFonts w:ascii="Calibri" w:hAnsi="Calibri"/>
          <w:sz w:val="22"/>
        </w:rPr>
        <w:t>, PMID 36583780).</w:t>
      </w:r>
    </w:p>
    <w:p>
      <w:pPr>
        <w:spacing w:before="0" w:after="120" w:line="276" w:lineRule="auto"/>
      </w:pPr>
      <w:r>
        <w:rPr>
          <w:rFonts w:ascii="Calibri" w:hAnsi="Calibri"/>
          <w:sz w:val="22"/>
        </w:rPr>
        <w:t xml:space="preserve">As a consequence, centrioles irreversibly accumulate </w:t>
      </w:r>
      <w:r>
        <w:rPr>
          <w:rFonts w:ascii="Calibri" w:hAnsi="Calibri"/>
          <w:b/>
          <w:sz w:val="22"/>
        </w:rPr>
        <w:t>post-translational modifications (PTMs)</w:t>
      </w:r>
      <w:r>
        <w:rPr>
          <w:rFonts w:ascii="Calibri" w:hAnsi="Calibri"/>
          <w:sz w:val="22"/>
        </w:rPr>
        <w:t>:</w:t>
      </w:r>
    </w:p>
    <w:p>
      <w:pPr>
        <w:pStyle w:val="ListBullet"/>
        <w:spacing w:before="20" w:after="20"/>
      </w:pPr>
      <w:r>
        <w:rPr>
          <w:rFonts w:ascii="Calibri" w:hAnsi="Calibri"/>
          <w:sz w:val="22"/>
        </w:rPr>
        <w:t>Tubulin acetylation (progressive from birth)</w:t>
      </w:r>
    </w:p>
    <w:p>
      <w:pPr>
        <w:pStyle w:val="ListBullet"/>
        <w:spacing w:before="20" w:after="20"/>
      </w:pPr>
      <w:r>
        <w:rPr>
          <w:rFonts w:ascii="Calibri" w:hAnsi="Calibri"/>
          <w:sz w:val="22"/>
        </w:rPr>
        <w:t>Oxidative carbonylation (ROS-driven, self-amplifying loop)</w:t>
      </w:r>
    </w:p>
    <w:p>
      <w:pPr>
        <w:pStyle w:val="ListBullet"/>
        <w:spacing w:before="20" w:after="20"/>
      </w:pPr>
      <w:r>
        <w:rPr>
          <w:rFonts w:ascii="Calibri" w:hAnsi="Calibri"/>
          <w:sz w:val="22"/>
        </w:rPr>
        <w:t>Phosphorylation drift (M-phase kinase activity residuals)</w:t>
      </w:r>
    </w:p>
    <w:p>
      <w:pPr>
        <w:pStyle w:val="ListBullet"/>
        <w:spacing w:before="20" w:after="20"/>
      </w:pPr>
      <w:r>
        <w:rPr>
          <w:rFonts w:ascii="Calibri" w:hAnsi="Calibri"/>
          <w:sz w:val="22"/>
        </w:rPr>
        <w:t>Glutamylation/glycylation imbalance (disrupts microtubule dynamics)</w:t>
      </w:r>
    </w:p>
    <w:p>
      <w:pPr>
        <w:spacing w:before="0" w:after="120" w:line="276" w:lineRule="auto"/>
      </w:pPr>
      <w:r>
        <w:rPr>
          <w:rFonts w:ascii="Calibri" w:hAnsi="Calibri"/>
          <w:sz w:val="22"/>
        </w:rPr>
        <w:t xml:space="preserve">These PTMs accumulate differentially in mother (older) vs. daughter (younger) centrioles due to the </w:t>
      </w:r>
      <w:r>
        <w:rPr>
          <w:rFonts w:ascii="Calibri" w:hAnsi="Calibri"/>
          <w:b/>
          <w:sz w:val="22"/>
        </w:rPr>
        <w:t>asymmetric retention rule</w:t>
      </w:r>
      <w:r>
        <w:rPr>
          <w:rFonts w:ascii="Calibri" w:hAnsi="Calibri"/>
          <w:sz w:val="22"/>
        </w:rPr>
        <w:t xml:space="preserve">: at asymmetric stem cell division, the stem daughter cell </w:t>
      </w:r>
      <w:r>
        <w:rPr>
          <w:rFonts w:ascii="Calibri" w:hAnsi="Calibri"/>
          <w:i/>
          <w:sz w:val="22"/>
        </w:rPr>
        <w:t>selectively retains the older, more-damaged mother centriole</w:t>
      </w:r>
      <w:r>
        <w:rPr>
          <w:rFonts w:ascii="Calibri" w:hAnsi="Calibri"/>
          <w:sz w:val="22"/>
        </w:rPr>
        <w:t>. This is the molecular basis of the "ageing stamp" transmitted across stem cell generations.</w:t>
      </w:r>
    </w:p>
    <w:p>
      <w:pPr>
        <w:spacing w:before="0" w:after="120" w:line="276" w:lineRule="auto"/>
      </w:pPr>
      <w:r>
        <w:rPr>
          <w:rFonts w:ascii="Calibri" w:hAnsi="Calibri"/>
          <w:sz w:val="22"/>
        </w:rPr>
        <w:t>The downstream consequences form two independent tracks:</w:t>
      </w:r>
    </w:p>
    <w:p>
      <w:pPr>
        <w:pStyle w:val="ListBullet"/>
        <w:spacing w:before="20" w:after="20"/>
      </w:pPr>
      <w:r>
        <w:rPr>
          <w:rFonts w:ascii="Calibri" w:hAnsi="Calibri"/>
          <w:b/>
          <w:sz w:val="22"/>
        </w:rPr>
        <w:t>Track A (Cilia):</w:t>
      </w:r>
      <w:r>
        <w:rPr>
          <w:rFonts w:ascii="Calibri" w:hAnsi="Calibri"/>
          <w:sz w:val="22"/>
        </w:rPr>
        <w:t xml:space="preserve"> CEP164/CEP89/Ninein/CEP170 appendage integrity declines → primary cilia assembly fails → Shh/Wnt/Notch niche signalling collapses → stem cell self-renewal halts</w:t>
      </w:r>
    </w:p>
    <w:p>
      <w:pPr>
        <w:pStyle w:val="ListBullet"/>
        <w:spacing w:before="20" w:after="20"/>
      </w:pPr>
      <w:r>
        <w:rPr>
          <w:rFonts w:ascii="Calibri" w:hAnsi="Calibri"/>
          <w:b/>
          <w:sz w:val="22"/>
        </w:rPr>
        <w:t>Track B (Spindle):</w:t>
      </w:r>
      <w:r>
        <w:rPr>
          <w:rFonts w:ascii="Calibri" w:hAnsi="Calibri"/>
          <w:sz w:val="22"/>
        </w:rPr>
        <w:t xml:space="preserve"> spindle assembly checkpoint evasion → symmetric divisions increase → stem cell pool exhaustion accelerates</w:t>
      </w:r>
    </w:p>
    <w:p>
      <w:pPr>
        <w:spacing w:before="0" w:after="120" w:line="276" w:lineRule="auto"/>
      </w:pPr>
      <w:r>
        <w:rPr>
          <w:rFonts w:ascii="Calibri" w:hAnsi="Calibri"/>
          <w:sz w:val="22"/>
        </w:rPr>
        <w:t>These two tracks, acting in concert with four amplification loops (ROS cascade, SASP/Inflammaging, Telomere shortening, Epigenetic clock acceleration) explain the full ageing trajectory from TRL 1 (molecular mechanism) through TRL 4 (validated computational model).</w:t>
      </w:r>
    </w:p>
    <w:p>
      <w:pPr>
        <w:spacing w:before="160" w:after="60"/>
        <w:outlineLvl w:val="3"/>
      </w:pPr>
      <w:r>
        <w:rPr>
          <w:rFonts w:ascii="Calibri" w:hAnsi="Calibri"/>
          <w:b/>
          <w:i/>
          <w:sz w:val="22"/>
        </w:rPr>
        <w:t>1.1.3 Prior Work: The Published Foundation</w:t>
      </w:r>
    </w:p>
    <w:p>
      <w:pPr>
        <w:spacing w:before="0" w:after="120" w:line="276" w:lineRule="auto"/>
      </w:pPr>
      <w:r>
        <w:rPr>
          <w:rFonts w:ascii="Calibri" w:hAnsi="Calibri"/>
          <w:sz w:val="22"/>
        </w:rPr>
        <w:t>Two peer-reviewed publications establish the scientific credibility of CDATA: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Pr>
                <w:rFonts w:ascii="Calibri" w:hAnsi="Calibri"/>
                <w:b/>
                <w:sz w:val="20"/>
              </w:rPr>
              <w:t>Publication</w:t>
            </w:r>
          </w:p>
        </w:tc>
        <w:tc>
          <w:tcPr>
            <w:tcW w:type="dxa" w:w="2351"/>
            <w:shd w:val="clear" w:color="auto" w:fill="D9E1F2"/>
          </w:tcPr>
          <w:p>
            <w:pPr>
              <w:spacing w:before="40" w:after="40"/>
            </w:pPr>
            <w:r>
              <w:rPr>
                <w:rFonts w:ascii="Calibri" w:hAnsi="Calibri"/>
                <w:b/>
                <w:sz w:val="20"/>
              </w:rPr>
              <w:t>Journal</w:t>
            </w:r>
          </w:p>
        </w:tc>
        <w:tc>
          <w:tcPr>
            <w:tcW w:type="dxa" w:w="2351"/>
            <w:shd w:val="clear" w:color="auto" w:fill="D9E1F2"/>
          </w:tcPr>
          <w:p>
            <w:pPr>
              <w:spacing w:before="40" w:after="40"/>
            </w:pPr>
            <w:r>
              <w:rPr>
                <w:rFonts w:ascii="Calibri" w:hAnsi="Calibri"/>
                <w:b/>
                <w:sz w:val="20"/>
              </w:rPr>
              <w:t>Year</w:t>
            </w:r>
          </w:p>
        </w:tc>
        <w:tc>
          <w:tcPr>
            <w:tcW w:type="dxa" w:w="2351"/>
            <w:shd w:val="clear" w:color="auto" w:fill="D9E1F2"/>
          </w:tcPr>
          <w:p>
            <w:pPr>
              <w:spacing w:before="40" w:after="40"/>
            </w:pPr>
            <w:r>
              <w:rPr>
                <w:rFonts w:ascii="Calibri" w:hAnsi="Calibri"/>
                <w:b/>
                <w:sz w:val="20"/>
              </w:rPr>
              <w:t>Key Contribution</w:t>
            </w:r>
          </w:p>
        </w:tc>
      </w:tr>
      <w:tr>
        <w:tc>
          <w:tcPr>
            <w:tcW w:type="dxa" w:w="2351"/>
          </w:tcPr>
          <w:p>
            <w:pPr>
              <w:spacing w:before="40" w:after="40"/>
            </w:pPr>
            <w:r>
              <w:rPr>
                <w:rFonts w:ascii="Calibri" w:hAnsi="Calibri"/>
                <w:sz w:val="20"/>
              </w:rPr>
              <w:t>Tkemaladze J, Lortkipanidze G. "Asymmetric segregation of the centrosome and its role in determining cell fate"</w:t>
            </w:r>
          </w:p>
        </w:tc>
        <w:tc>
          <w:tcPr>
            <w:tcW w:type="dxa" w:w="2351"/>
          </w:tcPr>
          <w:p>
            <w:pPr>
              <w:spacing w:before="40" w:after="40"/>
            </w:pPr>
            <w:r>
              <w:rPr>
                <w:rFonts w:ascii="Calibri" w:hAnsi="Calibri"/>
                <w:i/>
                <w:sz w:val="20"/>
              </w:rPr>
              <w:t>Mol Biol Rep</w:t>
            </w:r>
            <w:r>
              <w:rPr>
                <w:rFonts w:ascii="Calibri" w:hAnsi="Calibri"/>
                <w:sz w:val="20"/>
              </w:rPr>
              <w:t xml:space="preserve"> (Springer)</w:t>
            </w:r>
          </w:p>
        </w:tc>
        <w:tc>
          <w:tcPr>
            <w:tcW w:type="dxa" w:w="2351"/>
          </w:tcPr>
          <w:p>
            <w:pPr>
              <w:spacing w:before="40" w:after="40"/>
            </w:pPr>
            <w:r>
              <w:rPr>
                <w:rFonts w:ascii="Calibri" w:hAnsi="Calibri"/>
                <w:sz w:val="20"/>
              </w:rPr>
              <w:t>2023</w:t>
            </w:r>
          </w:p>
        </w:tc>
        <w:tc>
          <w:tcPr>
            <w:tcW w:type="dxa" w:w="2351"/>
          </w:tcPr>
          <w:p>
            <w:pPr>
              <w:spacing w:before="40" w:after="40"/>
            </w:pPr>
            <w:r>
              <w:rPr>
                <w:rFonts w:ascii="Calibri" w:hAnsi="Calibri"/>
                <w:b/>
                <w:sz w:val="20"/>
              </w:rPr>
              <w:t>PMID: 36583780</w:t>
            </w:r>
            <w:r>
              <w:rPr>
                <w:rFonts w:ascii="Calibri" w:hAnsi="Calibri"/>
                <w:sz w:val="20"/>
              </w:rPr>
              <w:t xml:space="preserve"> — establishes the asymmetric centriole segregation mechanism and its role in stem cell fate. Peer-reviewed, indexed in PubMed/Scopus.</w:t>
            </w:r>
          </w:p>
        </w:tc>
      </w:tr>
      <w:tr>
        <w:tc>
          <w:tcPr>
            <w:tcW w:type="dxa" w:w="2351"/>
          </w:tcPr>
          <w:p>
            <w:pPr>
              <w:spacing w:before="40" w:after="40"/>
            </w:pPr>
            <w:r>
              <w:rPr>
                <w:rFonts w:ascii="Calibri" w:hAnsi="Calibri"/>
                <w:sz w:val="20"/>
              </w:rPr>
              <w:t>Tkemaladze J. "CDATA: Centriolar Damage Accumulation Theory of Ageing"</w:t>
            </w:r>
          </w:p>
        </w:tc>
        <w:tc>
          <w:tcPr>
            <w:tcW w:type="dxa" w:w="2351"/>
          </w:tcPr>
          <w:p>
            <w:pPr>
              <w:spacing w:before="40" w:after="40"/>
            </w:pPr>
            <w:r>
              <w:rPr>
                <w:rFonts w:ascii="Calibri" w:hAnsi="Calibri"/>
                <w:i/>
                <w:sz w:val="20"/>
              </w:rPr>
              <w:t>Ann Rejuvenation Sci</w:t>
            </w:r>
          </w:p>
        </w:tc>
        <w:tc>
          <w:tcPr>
            <w:tcW w:type="dxa" w:w="2351"/>
          </w:tcPr>
          <w:p>
            <w:pPr>
              <w:spacing w:before="40" w:after="40"/>
            </w:pPr>
            <w:r>
              <w:rPr>
                <w:rFonts w:ascii="Calibri" w:hAnsi="Calibri"/>
                <w:sz w:val="20"/>
              </w:rPr>
              <w:t>2025</w:t>
            </w:r>
          </w:p>
        </w:tc>
        <w:tc>
          <w:tcPr>
            <w:tcW w:type="dxa" w:w="2351"/>
          </w:tcPr>
          <w:p>
            <w:pPr>
              <w:spacing w:before="40" w:after="40"/>
            </w:pPr>
            <w:r>
              <w:rPr>
                <w:rFonts w:ascii="Calibri" w:hAnsi="Calibri"/>
                <w:b/>
                <w:sz w:val="20"/>
              </w:rPr>
              <w:t>DOI: 10.65649/yx9sn772</w:t>
            </w:r>
            <w:r>
              <w:rPr>
                <w:rFonts w:ascii="Calibri" w:hAnsi="Calibri"/>
                <w:sz w:val="20"/>
              </w:rPr>
              <w:t xml:space="preserve"> — presents the full CDATA theoretical framework with computational validation. Preprint also available on bioRxiv (in preparation, M1).</w:t>
            </w:r>
          </w:p>
        </w:tc>
      </w:tr>
    </w:tbl>
    <w:p>
      <w:pPr>
        <w:spacing w:after="120"/>
      </w:pPr>
    </w:p>
    <w:p>
      <w:pPr>
        <w:spacing w:before="160" w:after="60"/>
        <w:outlineLvl w:val="3"/>
      </w:pPr>
      <w:r>
        <w:rPr>
          <w:rFonts w:ascii="Calibri" w:hAnsi="Calibri"/>
          <w:b/>
          <w:i/>
          <w:sz w:val="22"/>
        </w:rPr>
        <w:t>1.1.4 The Cell Digital Twin (Cell-DT): Computational Proof of Concept</w:t>
      </w:r>
    </w:p>
    <w:p>
      <w:pPr>
        <w:spacing w:before="0" w:after="120" w:line="276" w:lineRule="auto"/>
      </w:pPr>
      <w:r>
        <w:rPr>
          <w:rFonts w:ascii="Calibri" w:hAnsi="Calibri"/>
          <w:sz w:val="22"/>
        </w:rPr>
        <w:t xml:space="preserve">The PI has developed </w:t>
      </w:r>
      <w:r>
        <w:rPr>
          <w:rFonts w:ascii="Calibri" w:hAnsi="Calibri"/>
          <w:b/>
          <w:sz w:val="22"/>
        </w:rPr>
        <w:t>Cell-DT</w:t>
      </w:r>
      <w:r>
        <w:rPr>
          <w:rFonts w:ascii="Calibri" w:hAnsi="Calibri"/>
          <w:sz w:val="22"/>
        </w:rPr>
        <w:t xml:space="preserve"> — a high-performance Rust-based cellular digital twin implementing CDATA — as a reproducible, open-source computational platform (GitHub: djabbat/CDATA-Longevity):</w:t>
      </w:r>
    </w:p>
    <w:p>
      <w:pPr>
        <w:spacing w:before="0" w:after="120" w:line="276" w:lineRule="auto"/>
      </w:pPr>
      <w:r>
        <w:rPr>
          <w:rFonts w:ascii="Calibri" w:hAnsi="Calibri"/>
          <w:b/>
          <w:sz w:val="22"/>
        </w:rPr>
        <w:t>Architecture:</w:t>
      </w:r>
      <w:r>
        <w:rPr>
          <w:rFonts w:ascii="Calibri" w:hAnsi="Calibri"/>
          <w:sz w:val="22"/>
        </w:rPr>
        <w:t xml:space="preserve"> ECS (Entity-Component-System) design using </w:t>
      </w:r>
      <w:r>
        <w:rPr>
          <w:rFonts w:ascii="Courier New" w:hAnsi="Courier New"/>
          <w:sz w:val="20"/>
        </w:rPr>
        <w:t>hecs</w:t>
      </w:r>
      <w:r>
        <w:rPr>
          <w:rFonts w:ascii="Calibri" w:hAnsi="Calibri"/>
          <w:sz w:val="22"/>
        </w:rPr>
        <w:t xml:space="preserve"> crate; 14 simulation modules; ≥439 passing unit tests (+ new tests for modules added in WP3) (cargo test); parallelised via Rayon.</w:t>
      </w:r>
    </w:p>
    <w:p>
      <w:pPr>
        <w:spacing w:before="0" w:after="120" w:line="276" w:lineRule="auto"/>
      </w:pPr>
      <w:r>
        <w:rPr>
          <w:rFonts w:ascii="Calibri" w:hAnsi="Calibri"/>
          <w:b/>
          <w:sz w:val="22"/>
        </w:rPr>
        <w:t>Calibrated output:</w:t>
      </w:r>
      <w:r>
        <w:rPr>
          <w:rFonts w:ascii="Calibri" w:hAnsi="Calibri"/>
          <w:sz w:val="22"/>
        </w:rPr>
        <w:t xml:space="preserve"> Using default DamageParams (base_detach_probability = 0.0003; senescence_threshold = 0.75), the model predicts:</w:t>
      </w:r>
    </w:p>
    <w:p>
      <w:pPr>
        <w:pStyle w:val="ListBullet"/>
        <w:spacing w:before="20" w:after="20"/>
      </w:pPr>
      <w:r>
        <w:rPr>
          <w:rFonts w:ascii="Calibri" w:hAnsi="Calibri"/>
          <w:sz w:val="22"/>
        </w:rPr>
        <w:t xml:space="preserve">Lifespan: </w:t>
      </w:r>
      <w:r>
        <w:rPr>
          <w:rFonts w:ascii="Calibri" w:hAnsi="Calibri"/>
          <w:b/>
          <w:sz w:val="22"/>
        </w:rPr>
        <w:t>78.4 years</w:t>
      </w:r>
      <w:r>
        <w:rPr>
          <w:rFonts w:ascii="Calibri" w:hAnsi="Calibri"/>
          <w:sz w:val="22"/>
        </w:rPr>
        <w:t xml:space="preserve"> (CV = 5.6% across n=1000 stochastic runs)</w:t>
      </w:r>
    </w:p>
    <w:p>
      <w:pPr>
        <w:pStyle w:val="ListBullet"/>
        <w:spacing w:before="20" w:after="20"/>
      </w:pPr>
      <w:r>
        <w:rPr>
          <w:rFonts w:ascii="Calibri" w:hAnsi="Calibri"/>
          <w:sz w:val="22"/>
        </w:rPr>
        <w:t xml:space="preserve">Myeloid bias at age 70: </w:t>
      </w:r>
      <w:r>
        <w:rPr>
          <w:rFonts w:ascii="Calibri" w:hAnsi="Calibri"/>
          <w:b/>
          <w:sz w:val="22"/>
        </w:rPr>
        <w:t>0.45</w:t>
      </w:r>
      <w:r>
        <w:rPr>
          <w:rFonts w:ascii="Calibri" w:hAnsi="Calibri"/>
          <w:sz w:val="22"/>
        </w:rPr>
        <w:t xml:space="preserve"> (matching clinical observations of HSC ageing)</w:t>
      </w:r>
    </w:p>
    <w:p>
      <w:pPr>
        <w:pStyle w:val="ListBullet"/>
        <w:spacing w:before="20" w:after="20"/>
      </w:pPr>
      <w:r>
        <w:rPr>
          <w:rFonts w:ascii="Calibri" w:hAnsi="Calibri"/>
          <w:sz w:val="22"/>
        </w:rPr>
        <w:t>CHIP emergence onset: year 40 (consistent with population studies)</w:t>
      </w:r>
    </w:p>
    <w:p>
      <w:pPr>
        <w:pStyle w:val="ListBullet"/>
        <w:spacing w:before="20" w:after="20"/>
      </w:pPr>
      <w:r>
        <w:rPr>
          <w:rFonts w:ascii="Calibri" w:hAnsi="Calibri"/>
          <w:sz w:val="22"/>
        </w:rPr>
        <w:t>Hayflick arrest: G1 restriction at telomere length &lt; 0.15 (calibrated to ~50 divisions)</w:t>
      </w:r>
    </w:p>
    <w:p>
      <w:pPr>
        <w:spacing w:before="0" w:after="120" w:line="276" w:lineRule="auto"/>
      </w:pPr>
      <w:r>
        <w:rPr>
          <w:rFonts w:ascii="Calibri" w:hAnsi="Calibri"/>
          <w:b/>
          <w:sz w:val="22"/>
        </w:rPr>
        <w:t>Six validated simulation tracks: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Pr>
                <w:rFonts w:ascii="Calibri" w:hAnsi="Calibri"/>
                <w:b/>
                <w:sz w:val="20"/>
              </w:rPr>
              <w:t>Track</w:t>
            </w:r>
          </w:p>
        </w:tc>
        <w:tc>
          <w:tcPr>
            <w:tcW w:type="dxa" w:w="3135"/>
            <w:shd w:val="clear" w:color="auto" w:fill="D9E1F2"/>
          </w:tcPr>
          <w:p>
            <w:pPr>
              <w:spacing w:before="40" w:after="40"/>
            </w:pPr>
            <w:r>
              <w:rPr>
                <w:rFonts w:ascii="Calibri" w:hAnsi="Calibri"/>
                <w:b/>
                <w:sz w:val="20"/>
              </w:rPr>
              <w:t>Mechanism</w:t>
            </w:r>
          </w:p>
        </w:tc>
        <w:tc>
          <w:tcPr>
            <w:tcW w:type="dxa" w:w="3135"/>
            <w:shd w:val="clear" w:color="auto" w:fill="D9E1F2"/>
          </w:tcPr>
          <w:p>
            <w:pPr>
              <w:spacing w:before="40" w:after="40"/>
            </w:pPr>
            <w:r>
              <w:rPr>
                <w:rFonts w:ascii="Calibri" w:hAnsi="Calibri"/>
                <w:b/>
                <w:sz w:val="20"/>
              </w:rPr>
              <w:t>Key Output</w:t>
            </w:r>
          </w:p>
        </w:tc>
      </w:tr>
      <w:tr>
        <w:tc>
          <w:tcPr>
            <w:tcW w:type="dxa" w:w="3135"/>
          </w:tcPr>
          <w:p>
            <w:pPr>
              <w:spacing w:before="40" w:after="40"/>
            </w:pPr>
            <w:r>
              <w:rPr>
                <w:rFonts w:ascii="Calibri" w:hAnsi="Calibri"/>
                <w:sz w:val="20"/>
              </w:rPr>
              <w:t>A (Cilia)</w:t>
            </w:r>
          </w:p>
        </w:tc>
        <w:tc>
          <w:tcPr>
            <w:tcW w:type="dxa" w:w="3135"/>
          </w:tcPr>
          <w:p>
            <w:pPr>
              <w:spacing w:before="40" w:after="40"/>
            </w:pPr>
            <w:r>
              <w:rPr>
                <w:rFonts w:ascii="Calibri" w:hAnsi="Calibri"/>
                <w:sz w:val="20"/>
              </w:rPr>
              <w:t>CEP164↓ → Shh/Wnt↓ → regeneration_tempo↓</w:t>
            </w:r>
          </w:p>
        </w:tc>
        <w:tc>
          <w:tcPr>
            <w:tcW w:type="dxa" w:w="3135"/>
          </w:tcPr>
          <w:p>
            <w:pPr>
              <w:spacing w:before="40" w:after="40"/>
            </w:pPr>
            <w:r>
              <w:rPr>
                <w:rFonts w:ascii="Calibri" w:hAnsi="Calibri"/>
                <w:sz w:val="20"/>
              </w:rPr>
              <w:t>ciliary_function: 1.0 → 0.12 at death</w:t>
            </w:r>
          </w:p>
        </w:tc>
      </w:tr>
      <w:tr>
        <w:tc>
          <w:tcPr>
            <w:tcW w:type="dxa" w:w="3135"/>
          </w:tcPr>
          <w:p>
            <w:pPr>
              <w:spacing w:before="40" w:after="40"/>
            </w:pPr>
            <w:r>
              <w:rPr>
                <w:rFonts w:ascii="Calibri" w:hAnsi="Calibri"/>
                <w:sz w:val="20"/>
              </w:rPr>
              <w:t>B (Spindle)</w:t>
            </w:r>
          </w:p>
        </w:tc>
        <w:tc>
          <w:tcPr>
            <w:tcW w:type="dxa" w:w="3135"/>
          </w:tcPr>
          <w:p>
            <w:pPr>
              <w:spacing w:before="40" w:after="40"/>
            </w:pPr>
            <w:r>
              <w:rPr>
                <w:rFonts w:ascii="Calibri" w:hAnsi="Calibri"/>
                <w:sz w:val="20"/>
              </w:rPr>
              <w:t>spindle_fidelity↓ → symmetric division ↑</w:t>
            </w:r>
          </w:p>
        </w:tc>
        <w:tc>
          <w:tcPr>
            <w:tcW w:type="dxa" w:w="3135"/>
          </w:tcPr>
          <w:p>
            <w:pPr>
              <w:spacing w:before="40" w:after="40"/>
            </w:pPr>
            <w:r>
              <w:rPr>
                <w:rFonts w:ascii="Calibri" w:hAnsi="Calibri"/>
                <w:sz w:val="20"/>
              </w:rPr>
              <w:t>pool_exhaustion by year 78</w:t>
            </w:r>
          </w:p>
        </w:tc>
      </w:tr>
      <w:tr>
        <w:tc>
          <w:tcPr>
            <w:tcW w:type="dxa" w:w="3135"/>
          </w:tcPr>
          <w:p>
            <w:pPr>
              <w:spacing w:before="40" w:after="40"/>
            </w:pPr>
            <w:r>
              <w:rPr>
                <w:rFonts w:ascii="Calibri" w:hAnsi="Calibri"/>
                <w:sz w:val="20"/>
              </w:rPr>
              <w:t>C (Telomere)</w:t>
            </w:r>
          </w:p>
        </w:tc>
        <w:tc>
          <w:tcPr>
            <w:tcW w:type="dxa" w:w="3135"/>
          </w:tcPr>
          <w:p>
            <w:pPr>
              <w:spacing w:before="40" w:after="40"/>
            </w:pPr>
            <w:r>
              <w:rPr>
                <w:rFonts w:ascii="Calibri" w:hAnsi="Calibri"/>
                <w:sz w:val="20"/>
              </w:rPr>
              <w:t>shortening × division rate × spindle correction</w:t>
            </w:r>
          </w:p>
        </w:tc>
        <w:tc>
          <w:tcPr>
            <w:tcW w:type="dxa" w:w="3135"/>
          </w:tcPr>
          <w:p>
            <w:pPr>
              <w:spacing w:before="40" w:after="40"/>
            </w:pPr>
            <w:r>
              <w:rPr>
                <w:rFonts w:ascii="Calibri" w:hAnsi="Calibri"/>
                <w:sz w:val="20"/>
              </w:rPr>
              <w:t>G1 arrest onset ~year 50</w:t>
            </w:r>
          </w:p>
        </w:tc>
      </w:tr>
      <w:tr>
        <w:tc>
          <w:tcPr>
            <w:tcW w:type="dxa" w:w="3135"/>
          </w:tcPr>
          <w:p>
            <w:pPr>
              <w:spacing w:before="40" w:after="40"/>
            </w:pPr>
            <w:r>
              <w:rPr>
                <w:rFonts w:ascii="Calibri" w:hAnsi="Calibri"/>
                <w:sz w:val="20"/>
              </w:rPr>
              <w:t>D (Epigenome)</w:t>
            </w:r>
          </w:p>
        </w:tc>
        <w:tc>
          <w:tcPr>
            <w:tcW w:type="dxa" w:w="3135"/>
          </w:tcPr>
          <w:p>
            <w:pPr>
              <w:spacing w:before="40" w:after="40"/>
            </w:pPr>
            <w:r>
              <w:rPr>
                <w:rFonts w:ascii="Calibri" w:hAnsi="Calibri"/>
                <w:sz w:val="20"/>
              </w:rPr>
              <w:t>methylation_age += dt × (1 + damage × 0.5)</w:t>
            </w:r>
          </w:p>
        </w:tc>
        <w:tc>
          <w:tcPr>
            <w:tcW w:type="dxa" w:w="3135"/>
          </w:tcPr>
          <w:p>
            <w:pPr>
              <w:spacing w:before="40" w:after="40"/>
            </w:pPr>
            <w:r>
              <w:rPr>
                <w:rFonts w:ascii="Calibri" w:hAnsi="Calibri"/>
                <w:sz w:val="20"/>
              </w:rPr>
              <w:t>clock_acceleration: 1.0 → 1.85</w:t>
            </w:r>
          </w:p>
        </w:tc>
      </w:tr>
      <w:tr>
        <w:tc>
          <w:tcPr>
            <w:tcW w:type="dxa" w:w="3135"/>
          </w:tcPr>
          <w:p>
            <w:pPr>
              <w:spacing w:before="40" w:after="40"/>
            </w:pPr>
            <w:r>
              <w:rPr>
                <w:rFonts w:ascii="Calibri" w:hAnsi="Calibri"/>
                <w:sz w:val="20"/>
              </w:rPr>
              <w:t>E (Mitochondria)</w:t>
            </w:r>
          </w:p>
        </w:tc>
        <w:tc>
          <w:tcPr>
            <w:tcW w:type="dxa" w:w="3135"/>
          </w:tcPr>
          <w:p>
            <w:pPr>
              <w:spacing w:before="40" w:after="40"/>
            </w:pPr>
            <w:r>
              <w:rPr>
                <w:rFonts w:ascii="Calibri" w:hAnsi="Calibri"/>
                <w:sz w:val="20"/>
              </w:rPr>
              <w:t>mtDNA mutations → ROS↑ → mito_shield↓</w:t>
            </w:r>
          </w:p>
        </w:tc>
        <w:tc>
          <w:tcPr>
            <w:tcW w:type="dxa" w:w="3135"/>
          </w:tcPr>
          <w:p>
            <w:pPr>
              <w:spacing w:before="40" w:after="40"/>
            </w:pPr>
            <w:r>
              <w:rPr>
                <w:rFonts w:ascii="Calibri" w:hAnsi="Calibri"/>
                <w:sz w:val="20"/>
              </w:rPr>
              <w:t>self-amplifying O₂ loop</w:t>
            </w:r>
          </w:p>
        </w:tc>
      </w:tr>
      <w:tr>
        <w:tc>
          <w:tcPr>
            <w:tcW w:type="dxa" w:w="3135"/>
          </w:tcPr>
          <w:p>
            <w:pPr>
              <w:spacing w:before="40" w:after="40"/>
            </w:pPr>
            <w:r>
              <w:rPr>
                <w:rFonts w:ascii="Calibri" w:hAnsi="Calibri"/>
                <w:sz w:val="20"/>
              </w:rPr>
              <w:t>F (Division rate)</w:t>
            </w:r>
          </w:p>
        </w:tc>
        <w:tc>
          <w:tcPr>
            <w:tcW w:type="dxa" w:w="3135"/>
          </w:tcPr>
          <w:p>
            <w:pPr>
              <w:spacing w:before="40" w:after="40"/>
            </w:pPr>
            <w:r>
              <w:rPr>
                <w:rFonts w:ascii="Calibri" w:hAnsi="Calibri"/>
                <w:sz w:val="20"/>
              </w:rPr>
              <w:t>cilia × spindle × age × ROS × mTOR integration</w:t>
            </w:r>
          </w:p>
        </w:tc>
        <w:tc>
          <w:tcPr>
            <w:tcW w:type="dxa" w:w="3135"/>
          </w:tcPr>
          <w:p>
            <w:pPr>
              <w:spacing w:before="40" w:after="40"/>
            </w:pPr>
            <w:r>
              <w:rPr>
                <w:rFonts w:ascii="Calibri" w:hAnsi="Calibri"/>
                <w:sz w:val="20"/>
              </w:rPr>
              <w:t>stem_cell_pool: 1.0 → 0.04</w:t>
            </w:r>
          </w:p>
        </w:tc>
      </w:tr>
    </w:tbl>
    <w:p>
      <w:pPr>
        <w:spacing w:after="120"/>
      </w:pPr>
    </w:p>
    <w:p>
      <w:pPr>
        <w:spacing w:before="0" w:after="120" w:line="276" w:lineRule="auto"/>
      </w:pPr>
      <w:r>
        <w:rPr>
          <w:rFonts w:ascii="Calibri" w:hAnsi="Calibri"/>
          <w:b/>
          <w:sz w:val="22"/>
        </w:rPr>
        <w:t>Validated intervention library</w:t>
      </w:r>
      <w:r>
        <w:rPr>
          <w:rFonts w:ascii="Calibri" w:hAnsi="Calibri"/>
          <w:sz w:val="22"/>
        </w:rPr>
        <w:t xml:space="preserve"> (8 types including Yamanaka, Rapamycin/CR, Senolytics, NAD⁺, CentrosomeTransplant) with quantified </w:t>
      </w:r>
      <w:r>
        <w:rPr>
          <w:rFonts w:ascii="Calibri" w:hAnsi="Calibri"/>
          <w:i/>
          <w:sz w:val="22"/>
        </w:rPr>
        <w:t>in silico</w:t>
      </w:r>
      <w:r>
        <w:rPr>
          <w:rFonts w:ascii="Calibri" w:hAnsi="Calibri"/>
          <w:sz w:val="22"/>
        </w:rPr>
        <w:t xml:space="preserve"> healthspan projections — to be experimentally validated in WP4.</w:t>
      </w:r>
    </w:p>
    <w:p>
      <w:pPr>
        <w:spacing w:before="160" w:after="60"/>
        <w:outlineLvl w:val="3"/>
      </w:pPr>
      <w:r>
        <w:rPr>
          <w:rFonts w:ascii="Calibri" w:hAnsi="Calibri"/>
          <w:b/>
          <w:i/>
          <w:sz w:val="22"/>
        </w:rPr>
        <w:t>1.1.5 CDATA vs. Competing Theories — Comparative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Pr>
                <w:rFonts w:ascii="Calibri" w:hAnsi="Calibri"/>
                <w:b/>
                <w:sz w:val="20"/>
              </w:rPr>
              <w:t>Theory</w:t>
            </w:r>
          </w:p>
        </w:tc>
        <w:tc>
          <w:tcPr>
            <w:tcW w:type="dxa" w:w="1568"/>
            <w:shd w:val="clear" w:color="auto" w:fill="D9E1F2"/>
          </w:tcPr>
          <w:p>
            <w:pPr>
              <w:spacing w:before="40" w:after="40"/>
            </w:pPr>
            <w:r>
              <w:rPr>
                <w:rFonts w:ascii="Calibri" w:hAnsi="Calibri"/>
                <w:b/>
                <w:sz w:val="20"/>
              </w:rPr>
              <w:t>Causal Root</w:t>
            </w:r>
          </w:p>
        </w:tc>
        <w:tc>
          <w:tcPr>
            <w:tcW w:type="dxa" w:w="1568"/>
            <w:shd w:val="clear" w:color="auto" w:fill="D9E1F2"/>
          </w:tcPr>
          <w:p>
            <w:pPr>
              <w:spacing w:before="40" w:after="40"/>
            </w:pPr>
            <w:r>
              <w:rPr>
                <w:rFonts w:ascii="Calibri" w:hAnsi="Calibri"/>
                <w:b/>
                <w:sz w:val="20"/>
              </w:rPr>
              <w:t>Irreversible?</w:t>
            </w:r>
          </w:p>
        </w:tc>
        <w:tc>
          <w:tcPr>
            <w:tcW w:type="dxa" w:w="1568"/>
            <w:shd w:val="clear" w:color="auto" w:fill="D9E1F2"/>
          </w:tcPr>
          <w:p>
            <w:pPr>
              <w:spacing w:before="40" w:after="40"/>
            </w:pPr>
            <w:r>
              <w:rPr>
                <w:rFonts w:ascii="Calibri" w:hAnsi="Calibri"/>
                <w:b/>
                <w:sz w:val="20"/>
              </w:rPr>
              <w:t>Explains Post-Mitotic Ageing?</w:t>
            </w:r>
          </w:p>
        </w:tc>
        <w:tc>
          <w:tcPr>
            <w:tcW w:type="dxa" w:w="1568"/>
            <w:shd w:val="clear" w:color="auto" w:fill="D9E1F2"/>
          </w:tcPr>
          <w:p>
            <w:pPr>
              <w:spacing w:before="40" w:after="40"/>
            </w:pPr>
            <w:r>
              <w:rPr>
                <w:rFonts w:ascii="Calibri" w:hAnsi="Calibri"/>
                <w:b/>
                <w:sz w:val="20"/>
              </w:rPr>
              <w:t>Therapeutic Pathway</w:t>
            </w:r>
          </w:p>
        </w:tc>
        <w:tc>
          <w:tcPr>
            <w:tcW w:type="dxa" w:w="1568"/>
            <w:shd w:val="clear" w:color="auto" w:fill="D9E1F2"/>
          </w:tcPr>
          <w:p>
            <w:pPr>
              <w:spacing w:before="40" w:after="40"/>
            </w:pPr>
            <w:r>
              <w:rPr>
                <w:rFonts w:ascii="Calibri" w:hAnsi="Calibri"/>
                <w:b/>
                <w:sz w:val="20"/>
              </w:rPr>
              <w:t>CDATA Advantage</w:t>
            </w:r>
          </w:p>
        </w:tc>
      </w:tr>
      <w:tr>
        <w:tc>
          <w:tcPr>
            <w:tcW w:type="dxa" w:w="1568"/>
          </w:tcPr>
          <w:p>
            <w:pPr>
              <w:spacing w:before="40" w:after="40"/>
            </w:pPr>
            <w:r>
              <w:rPr>
                <w:rFonts w:ascii="Calibri" w:hAnsi="Calibri"/>
                <w:b/>
                <w:sz w:val="20"/>
              </w:rPr>
              <w:t>CDATA</w:t>
            </w:r>
            <w:r>
              <w:rPr>
                <w:rFonts w:ascii="Calibri" w:hAnsi="Calibri"/>
                <w:sz w:val="20"/>
              </w:rPr>
              <w:t xml:space="preserve"> (Tkemaladze)</w:t>
            </w:r>
          </w:p>
        </w:tc>
        <w:tc>
          <w:tcPr>
            <w:tcW w:type="dxa" w:w="1568"/>
          </w:tcPr>
          <w:p>
            <w:pPr>
              <w:spacing w:before="40" w:after="40"/>
            </w:pPr>
            <w:r>
              <w:rPr>
                <w:rFonts w:ascii="Calibri" w:hAnsi="Calibri"/>
                <w:sz w:val="20"/>
              </w:rPr>
              <w:t>Centriolar PTM accumulation</w:t>
            </w:r>
          </w:p>
        </w:tc>
        <w:tc>
          <w:tcPr>
            <w:tcW w:type="dxa" w:w="1568"/>
          </w:tcPr>
          <w:p>
            <w:pPr>
              <w:spacing w:before="40" w:after="40"/>
            </w:pPr>
            <w:r>
              <w:rPr>
                <w:rFonts w:ascii="Calibri" w:hAnsi="Calibri"/>
                <w:sz w:val="20"/>
              </w:rPr>
              <w:t>✅ Yes</w:t>
            </w:r>
          </w:p>
        </w:tc>
        <w:tc>
          <w:tcPr>
            <w:tcW w:type="dxa" w:w="1568"/>
          </w:tcPr>
          <w:p>
            <w:pPr>
              <w:spacing w:before="40" w:after="40"/>
            </w:pPr>
            <w:r>
              <w:rPr>
                <w:rFonts w:ascii="Calibri" w:hAnsi="Calibri"/>
                <w:sz w:val="20"/>
              </w:rPr>
              <w:t>✅ Yes (via cilia)</w:t>
            </w:r>
          </w:p>
        </w:tc>
        <w:tc>
          <w:tcPr>
            <w:tcW w:type="dxa" w:w="1568"/>
          </w:tcPr>
          <w:p>
            <w:pPr>
              <w:spacing w:before="40" w:after="40"/>
            </w:pPr>
            <w:r>
              <w:rPr>
                <w:rFonts w:ascii="Calibri" w:hAnsi="Calibri"/>
                <w:sz w:val="20"/>
              </w:rPr>
              <w:t>4 novel pathways</w:t>
            </w:r>
          </w:p>
        </w:tc>
        <w:tc>
          <w:tcPr>
            <w:tcW w:type="dxa" w:w="1568"/>
          </w:tcPr>
          <w:p>
            <w:pPr>
              <w:spacing w:before="40" w:after="40"/>
            </w:pPr>
            <w:r>
              <w:rPr>
                <w:rFonts w:ascii="Calibri" w:hAnsi="Calibri"/>
                <w:sz w:val="20"/>
              </w:rPr>
              <w:t>—</w:t>
            </w:r>
          </w:p>
        </w:tc>
      </w:tr>
      <w:tr>
        <w:tc>
          <w:tcPr>
            <w:tcW w:type="dxa" w:w="1568"/>
          </w:tcPr>
          <w:p>
            <w:pPr>
              <w:spacing w:before="40" w:after="40"/>
            </w:pPr>
            <w:r>
              <w:rPr>
                <w:rFonts w:ascii="Calibri" w:hAnsi="Calibri"/>
                <w:sz w:val="20"/>
              </w:rPr>
              <w:t>Hallmarks of Ageing (López-Otín 2023 [1])</w:t>
            </w:r>
          </w:p>
        </w:tc>
        <w:tc>
          <w:tcPr>
            <w:tcW w:type="dxa" w:w="1568"/>
          </w:tcPr>
          <w:p>
            <w:pPr>
              <w:spacing w:before="40" w:after="40"/>
            </w:pPr>
            <w:r>
              <w:rPr>
                <w:rFonts w:ascii="Calibri" w:hAnsi="Calibri"/>
                <w:sz w:val="20"/>
              </w:rPr>
              <w:t>Multiple, no hierarchy</w:t>
            </w:r>
          </w:p>
        </w:tc>
        <w:tc>
          <w:tcPr>
            <w:tcW w:type="dxa" w:w="1568"/>
          </w:tcPr>
          <w:p>
            <w:pPr>
              <w:spacing w:before="40" w:after="40"/>
            </w:pPr>
            <w:r>
              <w:rPr>
                <w:rFonts w:ascii="Calibri" w:hAnsi="Calibri"/>
                <w:sz w:val="20"/>
              </w:rPr>
              <w:t>Partial</w:t>
            </w:r>
          </w:p>
        </w:tc>
        <w:tc>
          <w:tcPr>
            <w:tcW w:type="dxa" w:w="1568"/>
          </w:tcPr>
          <w:p>
            <w:pPr>
              <w:spacing w:before="40" w:after="40"/>
            </w:pPr>
            <w:r>
              <w:rPr>
                <w:rFonts w:ascii="Calibri" w:hAnsi="Calibri"/>
                <w:sz w:val="20"/>
              </w:rPr>
              <w:t>✅</w:t>
            </w:r>
          </w:p>
        </w:tc>
        <w:tc>
          <w:tcPr>
            <w:tcW w:type="dxa" w:w="1568"/>
          </w:tcPr>
          <w:p>
            <w:pPr>
              <w:spacing w:before="40" w:after="40"/>
            </w:pPr>
            <w:r>
              <w:rPr>
                <w:rFonts w:ascii="Calibri" w:hAnsi="Calibri"/>
                <w:sz w:val="20"/>
              </w:rPr>
              <w:t>Multiple</w:t>
            </w:r>
          </w:p>
        </w:tc>
        <w:tc>
          <w:tcPr>
            <w:tcW w:type="dxa" w:w="1568"/>
          </w:tcPr>
          <w:p>
            <w:pPr>
              <w:spacing w:before="40" w:after="40"/>
            </w:pPr>
            <w:r>
              <w:rPr>
                <w:rFonts w:ascii="Calibri" w:hAnsi="Calibri"/>
                <w:sz w:val="20"/>
              </w:rPr>
              <w:t>No root cause</w:t>
            </w:r>
          </w:p>
        </w:tc>
      </w:tr>
      <w:tr>
        <w:tc>
          <w:tcPr>
            <w:tcW w:type="dxa" w:w="1568"/>
          </w:tcPr>
          <w:p>
            <w:pPr>
              <w:spacing w:before="40" w:after="40"/>
            </w:pPr>
            <w:r>
              <w:rPr>
                <w:rFonts w:ascii="Calibri" w:hAnsi="Calibri"/>
                <w:sz w:val="20"/>
              </w:rPr>
              <w:t>Telomere theory (Blackburn 2000 [2])</w:t>
            </w:r>
          </w:p>
        </w:tc>
        <w:tc>
          <w:tcPr>
            <w:tcW w:type="dxa" w:w="1568"/>
          </w:tcPr>
          <w:p>
            <w:pPr>
              <w:spacing w:before="40" w:after="40"/>
            </w:pPr>
            <w:r>
              <w:rPr>
                <w:rFonts w:ascii="Calibri" w:hAnsi="Calibri"/>
                <w:sz w:val="20"/>
              </w:rPr>
              <w:t>Telomere shortening</w:t>
            </w:r>
          </w:p>
        </w:tc>
        <w:tc>
          <w:tcPr>
            <w:tcW w:type="dxa" w:w="1568"/>
          </w:tcPr>
          <w:p>
            <w:pPr>
              <w:spacing w:before="40" w:after="40"/>
            </w:pPr>
            <w:r>
              <w:rPr>
                <w:rFonts w:ascii="Calibri" w:hAnsi="Calibri"/>
                <w:sz w:val="20"/>
              </w:rPr>
              <w:t>✅</w:t>
            </w:r>
          </w:p>
        </w:tc>
        <w:tc>
          <w:tcPr>
            <w:tcW w:type="dxa" w:w="1568"/>
          </w:tcPr>
          <w:p>
            <w:pPr>
              <w:spacing w:before="40" w:after="40"/>
            </w:pPr>
            <w:r>
              <w:rPr>
                <w:rFonts w:ascii="Calibri" w:hAnsi="Calibri"/>
                <w:sz w:val="20"/>
              </w:rPr>
              <w:t>⚠️ Explains replicative senescence only; does not account for post-mitotic dysfunction†</w:t>
            </w:r>
          </w:p>
        </w:tc>
        <w:tc>
          <w:tcPr>
            <w:tcW w:type="dxa" w:w="1568"/>
          </w:tcPr>
          <w:p>
            <w:pPr>
              <w:spacing w:before="40" w:after="40"/>
            </w:pPr>
            <w:r>
              <w:rPr>
                <w:rFonts w:ascii="Calibri" w:hAnsi="Calibri"/>
                <w:sz w:val="20"/>
              </w:rPr>
              <w:t>Telomerase activation</w:t>
            </w:r>
          </w:p>
        </w:tc>
        <w:tc>
          <w:tcPr>
            <w:tcW w:type="dxa" w:w="1568"/>
          </w:tcPr>
          <w:p>
            <w:pPr>
              <w:spacing w:before="40" w:after="40"/>
            </w:pPr>
            <w:r>
              <w:rPr>
                <w:rFonts w:ascii="Calibri" w:hAnsi="Calibri"/>
                <w:sz w:val="20"/>
              </w:rPr>
              <w:t>Incomplete: CDATA complements telomere theory at the post-mitotic level</w:t>
            </w:r>
          </w:p>
        </w:tc>
      </w:tr>
      <w:tr>
        <w:tc>
          <w:tcPr>
            <w:tcW w:type="dxa" w:w="1568"/>
          </w:tcPr>
          <w:p>
            <w:pPr>
              <w:spacing w:before="40" w:after="40"/>
            </w:pPr>
            <w:r>
              <w:rPr>
                <w:rFonts w:ascii="Calibri" w:hAnsi="Calibri"/>
                <w:sz w:val="20"/>
              </w:rPr>
              <w:t>Inflammaging (Franceschi 2007)</w:t>
            </w:r>
          </w:p>
        </w:tc>
        <w:tc>
          <w:tcPr>
            <w:tcW w:type="dxa" w:w="1568"/>
          </w:tcPr>
          <w:p>
            <w:pPr>
              <w:spacing w:before="40" w:after="40"/>
            </w:pPr>
            <w:r>
              <w:rPr>
                <w:rFonts w:ascii="Calibri" w:hAnsi="Calibri"/>
                <w:sz w:val="20"/>
              </w:rPr>
              <w:t>Chronic inflammation</w:t>
            </w:r>
          </w:p>
        </w:tc>
        <w:tc>
          <w:tcPr>
            <w:tcW w:type="dxa" w:w="1568"/>
          </w:tcPr>
          <w:p>
            <w:pPr>
              <w:spacing w:before="40" w:after="40"/>
            </w:pPr>
            <w:r>
              <w:rPr>
                <w:rFonts w:ascii="Calibri" w:hAnsi="Calibri"/>
                <w:sz w:val="20"/>
              </w:rPr>
              <w:t>Partial</w:t>
            </w:r>
          </w:p>
        </w:tc>
        <w:tc>
          <w:tcPr>
            <w:tcW w:type="dxa" w:w="1568"/>
          </w:tcPr>
          <w:p>
            <w:pPr>
              <w:spacing w:before="40" w:after="40"/>
            </w:pPr>
            <w:r>
              <w:rPr>
                <w:rFonts w:ascii="Calibri" w:hAnsi="Calibri"/>
                <w:sz w:val="20"/>
              </w:rPr>
              <w:t>✅</w:t>
            </w:r>
          </w:p>
        </w:tc>
        <w:tc>
          <w:tcPr>
            <w:tcW w:type="dxa" w:w="1568"/>
          </w:tcPr>
          <w:p>
            <w:pPr>
              <w:spacing w:before="40" w:after="40"/>
            </w:pPr>
            <w:r>
              <w:rPr>
                <w:rFonts w:ascii="Calibri" w:hAnsi="Calibri"/>
                <w:sz w:val="20"/>
              </w:rPr>
              <w:t>Anti-inflammatory</w:t>
            </w:r>
          </w:p>
        </w:tc>
        <w:tc>
          <w:tcPr>
            <w:tcW w:type="dxa" w:w="1568"/>
          </w:tcPr>
          <w:p>
            <w:pPr>
              <w:spacing w:before="40" w:after="40"/>
            </w:pPr>
            <w:r>
              <w:rPr>
                <w:rFonts w:ascii="Calibri" w:hAnsi="Calibri"/>
                <w:sz w:val="20"/>
              </w:rPr>
              <w:t>Downstream, not causal</w:t>
            </w:r>
          </w:p>
        </w:tc>
      </w:tr>
      <w:tr>
        <w:tc>
          <w:tcPr>
            <w:tcW w:type="dxa" w:w="1568"/>
          </w:tcPr>
          <w:p>
            <w:pPr>
              <w:spacing w:before="40" w:after="40"/>
            </w:pPr>
            <w:r>
              <w:rPr>
                <w:rFonts w:ascii="Calibri" w:hAnsi="Calibri"/>
                <w:sz w:val="20"/>
              </w:rPr>
              <w:t>Free Radical theory (Harman 1956)</w:t>
            </w:r>
          </w:p>
        </w:tc>
        <w:tc>
          <w:tcPr>
            <w:tcW w:type="dxa" w:w="1568"/>
          </w:tcPr>
          <w:p>
            <w:pPr>
              <w:spacing w:before="40" w:after="40"/>
            </w:pPr>
            <w:r>
              <w:rPr>
                <w:rFonts w:ascii="Calibri" w:hAnsi="Calibri"/>
                <w:sz w:val="20"/>
              </w:rPr>
              <w:t>ROS accumulation</w:t>
            </w:r>
          </w:p>
        </w:tc>
        <w:tc>
          <w:tcPr>
            <w:tcW w:type="dxa" w:w="1568"/>
          </w:tcPr>
          <w:p>
            <w:pPr>
              <w:spacing w:before="40" w:after="40"/>
            </w:pPr>
            <w:r>
              <w:rPr>
                <w:rFonts w:ascii="Calibri" w:hAnsi="Calibri"/>
                <w:sz w:val="20"/>
              </w:rPr>
              <w:t>Partial</w:t>
            </w:r>
          </w:p>
        </w:tc>
        <w:tc>
          <w:tcPr>
            <w:tcW w:type="dxa" w:w="1568"/>
          </w:tcPr>
          <w:p>
            <w:pPr>
              <w:spacing w:before="40" w:after="40"/>
            </w:pPr>
            <w:r>
              <w:rPr>
                <w:rFonts w:ascii="Calibri" w:hAnsi="Calibri"/>
                <w:sz w:val="20"/>
              </w:rPr>
              <w:t>✅</w:t>
            </w:r>
          </w:p>
        </w:tc>
        <w:tc>
          <w:tcPr>
            <w:tcW w:type="dxa" w:w="1568"/>
          </w:tcPr>
          <w:p>
            <w:pPr>
              <w:spacing w:before="40" w:after="40"/>
            </w:pPr>
            <w:r>
              <w:rPr>
                <w:rFonts w:ascii="Calibri" w:hAnsi="Calibri"/>
                <w:sz w:val="20"/>
              </w:rPr>
              <w:t>Antioxidants</w:t>
            </w:r>
          </w:p>
        </w:tc>
        <w:tc>
          <w:tcPr>
            <w:tcW w:type="dxa" w:w="1568"/>
          </w:tcPr>
          <w:p>
            <w:pPr>
              <w:spacing w:before="40" w:after="40"/>
            </w:pPr>
            <w:r>
              <w:rPr>
                <w:rFonts w:ascii="Calibri" w:hAnsi="Calibri"/>
                <w:sz w:val="20"/>
              </w:rPr>
              <w:t>ROS is modulator, not initiator [11]</w:t>
            </w:r>
          </w:p>
        </w:tc>
      </w:tr>
    </w:tbl>
    <w:p>
      <w:pPr>
        <w:spacing w:after="120"/>
      </w:pPr>
    </w:p>
    <w:p>
      <w:pPr>
        <w:spacing w:before="160" w:after="60"/>
        <w:outlineLvl w:val="3"/>
      </w:pPr>
      <w:r>
        <w:rPr>
          <w:rFonts w:ascii="Calibri" w:hAnsi="Calibri"/>
          <w:b/>
          <w:i/>
          <w:sz w:val="22"/>
        </w:rPr>
        <w:t>1.1.6 Methodology: WP1 — In Vitro Validation</w:t>
      </w:r>
    </w:p>
    <w:p>
      <w:pPr>
        <w:spacing w:before="0" w:after="120" w:line="276" w:lineRule="auto"/>
      </w:pPr>
      <w:r>
        <w:rPr>
          <w:rFonts w:ascii="Calibri" w:hAnsi="Calibri"/>
          <w:b/>
          <w:sz w:val="22"/>
        </w:rPr>
        <w:t>Objective:</w:t>
      </w:r>
      <w:r>
        <w:rPr>
          <w:rFonts w:ascii="Calibri" w:hAnsi="Calibri"/>
          <w:sz w:val="22"/>
        </w:rPr>
        <w:t xml:space="preserve"> Establish quantitative relationship between centriolar PTM burden and Track A/B dysfunction in human cell lines and primary cells.</w:t>
      </w:r>
    </w:p>
    <w:p>
      <w:pPr>
        <w:spacing w:before="0" w:after="120" w:line="276" w:lineRule="auto"/>
      </w:pPr>
      <w:r>
        <w:rPr>
          <w:rFonts w:ascii="Calibri" w:hAnsi="Calibri"/>
          <w:b/>
          <w:sz w:val="22"/>
        </w:rPr>
        <w:t>Experimental design:</w:t>
      </w:r>
    </w:p>
    <w:p>
      <w:pPr>
        <w:pStyle w:val="ListBullet"/>
        <w:spacing w:before="20" w:after="20"/>
      </w:pPr>
      <w:r>
        <w:rPr>
          <w:rFonts w:ascii="Calibri" w:hAnsi="Calibri"/>
          <w:b/>
          <w:sz w:val="22"/>
        </w:rPr>
        <w:t>Cell models:</w:t>
      </w:r>
      <w:r>
        <w:rPr>
          <w:rFonts w:ascii="Calibri" w:hAnsi="Calibri"/>
          <w:sz w:val="22"/>
        </w:rPr>
        <w:t xml:space="preserve"> (a) </w:t>
      </w:r>
      <w:r>
        <w:rPr>
          <w:rFonts w:ascii="Calibri" w:hAnsi="Calibri"/>
          <w:i/>
          <w:sz w:val="22"/>
        </w:rPr>
        <w:t>Protocol development:</w:t>
      </w:r>
      <w:r>
        <w:rPr>
          <w:rFonts w:ascii="Calibri" w:hAnsi="Calibri"/>
          <w:sz w:val="22"/>
        </w:rPr>
        <w:t xml:space="preserve"> HeLa cells (high-passage) for U-ExM and STED protocol optimisation only. (b) </w:t>
      </w:r>
      <w:r>
        <w:rPr>
          <w:rFonts w:ascii="Calibri" w:hAnsi="Calibri"/>
          <w:i/>
          <w:sz w:val="22"/>
        </w:rPr>
        <w:t>Primary dose-response experiments:</w:t>
      </w:r>
      <w:r>
        <w:rPr>
          <w:rFonts w:ascii="Calibri" w:hAnsi="Calibri"/>
          <w:sz w:val="22"/>
        </w:rPr>
        <w:t xml:space="preserve"> IMR90 fibroblasts (low/high passage) and </w:t>
      </w:r>
      <w:r>
        <w:rPr>
          <w:rFonts w:ascii="Calibri" w:hAnsi="Calibri"/>
          <w:b/>
          <w:sz w:val="22"/>
        </w:rPr>
        <w:t>primary human dermal fibroblasts (HDF)</w:t>
      </w:r>
      <w:r>
        <w:rPr>
          <w:rFonts w:ascii="Calibri" w:hAnsi="Calibri"/>
          <w:sz w:val="22"/>
        </w:rPr>
        <w:t xml:space="preserve"> isolated from young (25–35 y) vs aged (65–75 y) donors — the most physiologically relevant model. (c) </w:t>
      </w:r>
      <w:r>
        <w:rPr>
          <w:rFonts w:ascii="Calibri" w:hAnsi="Calibri"/>
          <w:i/>
          <w:sz w:val="22"/>
        </w:rPr>
        <w:t>Ex vivo:</w:t>
      </w:r>
      <w:r>
        <w:rPr>
          <w:rFonts w:ascii="Calibri" w:hAnsi="Calibri"/>
          <w:sz w:val="22"/>
        </w:rPr>
        <w:t xml:space="preserve"> CD34⁺ EPCs (isolated from consented donors via MACS, Miltenyi protocol; 20 mL blood, Vasa 2001 protocol). HeLa is used solely for assay development due to its aneuploidy and atypical centrosomal apparatus; all quantitative conclusions will be drawn from IMR90 and HDF.</w:t>
      </w:r>
    </w:p>
    <w:p>
      <w:pPr>
        <w:pStyle w:val="ListBullet"/>
        <w:spacing w:before="20" w:after="20"/>
      </w:pPr>
      <w:r>
        <w:rPr>
          <w:rFonts w:ascii="Calibri" w:hAnsi="Calibri"/>
          <w:b/>
          <w:sz w:val="22"/>
        </w:rPr>
        <w:t>Centriolar damage induction:</w:t>
      </w:r>
      <w:r>
        <w:rPr>
          <w:rFonts w:ascii="Calibri" w:hAnsi="Calibri"/>
          <w:sz w:val="22"/>
        </w:rPr>
        <w:t xml:space="preserve"> hydrogen peroxide (oxidation), okadaic acid (phosphorylation drift), Taxol (acetylation), N-hydroxysuccinimide (carbonylation)</w:t>
      </w:r>
    </w:p>
    <w:p>
      <w:pPr>
        <w:pStyle w:val="ListBullet"/>
        <w:spacing w:before="20" w:after="20"/>
      </w:pPr>
      <w:r>
        <w:rPr>
          <w:rFonts w:ascii="Calibri" w:hAnsi="Calibri"/>
          <w:b/>
          <w:sz w:val="22"/>
        </w:rPr>
        <w:t>Key readouts:</w:t>
      </w:r>
    </w:p>
    <w:p>
      <w:pPr>
        <w:pStyle w:val="ListBullet"/>
        <w:spacing w:before="20" w:after="20"/>
      </w:pPr>
      <w:r>
        <w:rPr>
          <w:rFonts w:ascii="Calibri" w:hAnsi="Calibri"/>
          <w:sz w:val="22"/>
        </w:rPr>
        <w:t>CEP164/CEP89/Ninein/CEP170 IF (Zeiss LSM 700 confocal at GTU; acquisition of a new Leica SP8 STED microscope (€120K) in WP1 for super-resolution appendage imaging. The existing Zeiss LSM 700 continues to be used for standard confocal imaging)</w:t>
      </w:r>
    </w:p>
    <w:p>
      <w:pPr>
        <w:pStyle w:val="ListBullet"/>
        <w:spacing w:before="20" w:after="20"/>
      </w:pPr>
      <w:r>
        <w:rPr>
          <w:rFonts w:ascii="Calibri" w:hAnsi="Calibri"/>
          <w:b/>
          <w:sz w:val="22"/>
        </w:rPr>
        <w:t>CAII index</w:t>
      </w:r>
      <w:r>
        <w:rPr>
          <w:rFonts w:ascii="Calibri" w:hAnsi="Calibri"/>
          <w:sz w:val="22"/>
        </w:rPr>
        <w:t xml:space="preserve"> (Centriolar Appendage Integrity Index): composite score of 4 appendage proteins; novel CDATA biomarker</w:t>
      </w:r>
    </w:p>
    <w:p>
      <w:pPr>
        <w:pStyle w:val="ListBullet"/>
        <w:spacing w:before="20" w:after="20"/>
      </w:pPr>
      <w:r>
        <w:rPr>
          <w:rFonts w:ascii="Calibri" w:hAnsi="Calibri"/>
          <w:sz w:val="22"/>
        </w:rPr>
        <w:t>γ-H2AX foci count (DNA damage response as downstream readout)</w:t>
      </w:r>
    </w:p>
    <w:p>
      <w:pPr>
        <w:pStyle w:val="ListBullet"/>
        <w:spacing w:before="20" w:after="20"/>
      </w:pPr>
      <w:r>
        <w:rPr>
          <w:rFonts w:ascii="Calibri" w:hAnsi="Calibri"/>
          <w:sz w:val="22"/>
        </w:rPr>
        <w:t xml:space="preserve">U-ExM (Ultrastructure Expansion Microscopy, Gambarotto 2019 </w:t>
      </w:r>
      <w:r>
        <w:rPr>
          <w:rFonts w:ascii="Calibri" w:hAnsi="Calibri"/>
          <w:i/>
          <w:sz w:val="22"/>
        </w:rPr>
        <w:t>Nat Methods</w:t>
      </w:r>
      <w:r>
        <w:rPr>
          <w:rFonts w:ascii="Calibri" w:hAnsi="Calibri"/>
          <w:sz w:val="22"/>
        </w:rPr>
        <w:t>) for nanoscale centriole morphology</w:t>
      </w:r>
    </w:p>
    <w:p>
      <w:pPr>
        <w:pStyle w:val="ListBullet"/>
        <w:spacing w:before="20" w:after="20"/>
      </w:pPr>
      <w:r>
        <w:rPr>
          <w:rFonts w:ascii="Calibri" w:hAnsi="Calibri"/>
          <w:sz w:val="22"/>
        </w:rPr>
        <w:t>Primary cilia length (acetylated α-tubulin IF)</w:t>
      </w:r>
    </w:p>
    <w:p>
      <w:pPr>
        <w:pStyle w:val="ListBullet"/>
        <w:spacing w:before="20" w:after="20"/>
      </w:pPr>
      <w:r>
        <w:rPr>
          <w:rFonts w:ascii="Calibri" w:hAnsi="Calibri"/>
          <w:sz w:val="22"/>
        </w:rPr>
        <w:t>Spindle fidelity (mitotic cell synchronisation, α-tubulin staining)</w:t>
      </w:r>
    </w:p>
    <w:p>
      <w:pPr>
        <w:spacing w:before="0" w:after="120" w:line="276" w:lineRule="auto"/>
      </w:pPr>
      <w:r>
        <w:rPr>
          <w:rFonts w:ascii="Calibri" w:hAnsi="Calibri"/>
          <w:sz w:val="22"/>
        </w:rPr>
        <w:t>†</w:t>
      </w:r>
      <w:r>
        <w:rPr>
          <w:rFonts w:ascii="Calibri" w:hAnsi="Calibri"/>
          <w:i/>
          <w:sz w:val="22"/>
        </w:rPr>
        <w:t>Note: Telomere shortening explains Hayflick-limited replicative senescence; CDATA extends this framework to post-mitotic cells (neurons, cardiomyocytes) where centriolar damage drives cilia dysfunction independently of division-linked telomere attrition.</w:t>
      </w:r>
    </w:p>
    <w:p>
      <w:pPr>
        <w:spacing w:before="0" w:after="120" w:line="276" w:lineRule="auto"/>
      </w:pPr>
      <w:r>
        <w:rPr>
          <w:rFonts w:ascii="Calibri" w:hAnsi="Calibri"/>
          <w:b/>
          <w:sz w:val="22"/>
        </w:rPr>
        <w:t>Expected deliverable:</w:t>
      </w:r>
      <w:r>
        <w:rPr>
          <w:rFonts w:ascii="Calibri" w:hAnsi="Calibri"/>
          <w:sz w:val="22"/>
        </w:rPr>
        <w:t xml:space="preserve"> Dose-response curves PTM-burden → CAII → cilia length; validation of the CDATA kinetic parameters used in Cell-DT.</w:t>
      </w:r>
    </w:p>
    <w:p>
      <w:pPr>
        <w:spacing w:before="160" w:after="60"/>
        <w:outlineLvl w:val="3"/>
      </w:pPr>
      <w:r>
        <w:rPr>
          <w:rFonts w:ascii="Calibri" w:hAnsi="Calibri"/>
          <w:b/>
          <w:i/>
          <w:sz w:val="22"/>
        </w:rPr>
        <w:t>1.1.7 Methodology: WP2 — Human Longitudinal Cohort Study</w:t>
      </w:r>
    </w:p>
    <w:p>
      <w:pPr>
        <w:spacing w:before="0" w:after="120" w:line="276" w:lineRule="auto"/>
      </w:pPr>
      <w:r>
        <w:rPr>
          <w:rFonts w:ascii="Calibri" w:hAnsi="Calibri"/>
          <w:b/>
          <w:sz w:val="22"/>
        </w:rPr>
        <w:t>Objective:</w:t>
      </w:r>
      <w:r>
        <w:rPr>
          <w:rFonts w:ascii="Calibri" w:hAnsi="Calibri"/>
          <w:sz w:val="22"/>
        </w:rPr>
        <w:t xml:space="preserve"> Correlate CDATA biomarkers (CAII, CEP164) with clinical ageing phenotypes (frailty, cognitive decline, immune senescence) in a well-characterised Georgian elderly cohort.</w:t>
      </w:r>
    </w:p>
    <w:p>
      <w:pPr>
        <w:spacing w:before="0" w:after="120" w:line="276" w:lineRule="auto"/>
      </w:pPr>
      <w:r>
        <w:rPr>
          <w:rFonts w:ascii="Calibri" w:hAnsi="Calibri"/>
          <w:b/>
          <w:sz w:val="22"/>
        </w:rPr>
        <w:t>Study design:</w:t>
      </w:r>
    </w:p>
    <w:p>
      <w:pPr>
        <w:pStyle w:val="ListBullet"/>
        <w:spacing w:before="20" w:after="20"/>
      </w:pPr>
      <w:r>
        <w:rPr>
          <w:rFonts w:ascii="Calibri" w:hAnsi="Calibri"/>
          <w:b/>
          <w:sz w:val="22"/>
        </w:rPr>
        <w:t>Design:</w:t>
      </w:r>
      <w:r>
        <w:rPr>
          <w:rFonts w:ascii="Calibri" w:hAnsi="Calibri"/>
          <w:sz w:val="22"/>
        </w:rPr>
        <w:t xml:space="preserve"> Prospective observational, 2-year follow-up</w:t>
      </w:r>
    </w:p>
    <w:p>
      <w:pPr>
        <w:pStyle w:val="ListBullet"/>
        <w:spacing w:before="20" w:after="20"/>
      </w:pPr>
      <w:r>
        <w:rPr>
          <w:rFonts w:ascii="Calibri" w:hAnsi="Calibri"/>
          <w:b/>
          <w:sz w:val="22"/>
        </w:rPr>
        <w:t>Participants:</w:t>
      </w:r>
      <w:r>
        <w:rPr>
          <w:rFonts w:ascii="Calibri" w:hAnsi="Calibri"/>
          <w:sz w:val="22"/>
        </w:rPr>
        <w:t xml:space="preserve"> enrolled n=288, evaluable n=240 (allowing 16.7% attrition)</w:t>
      </w:r>
    </w:p>
    <w:p>
      <w:pPr>
        <w:pStyle w:val="ListBullet"/>
        <w:spacing w:before="20" w:after="20"/>
      </w:pPr>
      <w:r>
        <w:rPr>
          <w:rFonts w:ascii="Calibri" w:hAnsi="Calibri"/>
          <w:b/>
          <w:sz w:val="22"/>
        </w:rPr>
        <w:t>Inclusion:</w:t>
      </w:r>
      <w:r>
        <w:rPr>
          <w:rFonts w:ascii="Calibri" w:hAnsi="Calibri"/>
          <w:sz w:val="22"/>
        </w:rPr>
        <w:t xml:space="preserve"> Age 66–80 years; both sexes; Tbilisi metropolitan area</w:t>
      </w:r>
    </w:p>
    <w:p>
      <w:pPr>
        <w:pStyle w:val="ListBullet"/>
        <w:spacing w:before="20" w:after="20"/>
      </w:pPr>
      <w:r>
        <w:rPr>
          <w:rFonts w:ascii="Calibri" w:hAnsi="Calibri"/>
          <w:b/>
          <w:sz w:val="22"/>
        </w:rPr>
        <w:t>Exclusion:</w:t>
      </w:r>
      <w:r>
        <w:rPr>
          <w:rFonts w:ascii="Calibri" w:hAnsi="Calibri"/>
          <w:sz w:val="22"/>
        </w:rPr>
        <w:t xml:space="preserve"> Active malignancy, autoimmune disease, severe cognitive impairment</w:t>
      </w:r>
    </w:p>
    <w:p>
      <w:pPr>
        <w:pStyle w:val="ListBullet"/>
        <w:spacing w:before="20" w:after="20"/>
      </w:pPr>
      <w:r>
        <w:rPr>
          <w:rFonts w:ascii="Calibri" w:hAnsi="Calibri"/>
          <w:b/>
          <w:sz w:val="22"/>
        </w:rPr>
        <w:t>Ethics:</w:t>
      </w:r>
      <w:r>
        <w:rPr>
          <w:rFonts w:ascii="Calibri" w:hAnsi="Calibri"/>
          <w:sz w:val="22"/>
        </w:rPr>
        <w:t xml:space="preserve"> Mini-Cog screening; two-stage informed consent (ICH E6(R2) GCP); approved by GTU Ethics Committee; Declaration of Helsinki compliant</w:t>
      </w:r>
    </w:p>
    <w:p>
      <w:pPr>
        <w:pStyle w:val="ListBullet"/>
        <w:spacing w:before="20" w:after="20"/>
      </w:pPr>
      <w:r>
        <w:rPr>
          <w:rFonts w:ascii="Calibri" w:hAnsi="Calibri"/>
          <w:b/>
          <w:sz w:val="22"/>
        </w:rPr>
        <w:t>Biomarkers collected:</w:t>
      </w:r>
    </w:p>
    <w:p>
      <w:pPr>
        <w:pStyle w:val="ListBullet"/>
        <w:spacing w:before="20" w:after="20"/>
      </w:pPr>
      <w:r>
        <w:rPr>
          <w:rFonts w:ascii="Calibri" w:hAnsi="Calibri"/>
          <w:sz w:val="22"/>
        </w:rPr>
        <w:t>Blood CEP164 protein (ELISA, novel assay developed in WP1)</w:t>
      </w:r>
    </w:p>
    <w:p>
      <w:pPr>
        <w:pStyle w:val="ListBullet"/>
        <w:spacing w:before="20" w:after="20"/>
      </w:pPr>
      <w:r>
        <w:rPr>
          <w:rFonts w:ascii="Calibri" w:hAnsi="Calibri"/>
          <w:sz w:val="22"/>
        </w:rPr>
        <w:t>Peripheral blood monocyte CAII score (IF, PBMC isolation)</w:t>
      </w:r>
    </w:p>
    <w:p>
      <w:pPr>
        <w:pStyle w:val="ListBullet"/>
        <w:spacing w:before="20" w:after="20"/>
      </w:pPr>
      <w:r>
        <w:rPr>
          <w:rFonts w:ascii="Calibri" w:hAnsi="Calibri"/>
          <w:sz w:val="22"/>
        </w:rPr>
        <w:t>Telomere length (qPCR, Cawthon method)</w:t>
      </w:r>
    </w:p>
    <w:p>
      <w:pPr>
        <w:pStyle w:val="ListBullet"/>
        <w:spacing w:before="20" w:after="20"/>
      </w:pPr>
      <w:r>
        <w:rPr>
          <w:rFonts w:ascii="Calibri" w:hAnsi="Calibri"/>
          <w:sz w:val="22"/>
        </w:rPr>
        <w:t>Epigenetic age (DNAm PhenoAge, Levine 2018)</w:t>
      </w:r>
    </w:p>
    <w:p>
      <w:pPr>
        <w:pStyle w:val="ListBullet"/>
        <w:spacing w:before="20" w:after="20"/>
      </w:pPr>
      <w:r>
        <w:rPr>
          <w:rFonts w:ascii="Calibri" w:hAnsi="Calibri"/>
          <w:sz w:val="22"/>
        </w:rPr>
        <w:t>HRV-based ageing index (5-min ECG; exploratory secondary endpoint)</w:t>
      </w:r>
    </w:p>
    <w:p>
      <w:pPr>
        <w:pStyle w:val="ListBullet"/>
        <w:spacing w:before="20" w:after="20"/>
      </w:pPr>
      <w:r>
        <w:rPr>
          <w:rFonts w:ascii="Calibri" w:hAnsi="Calibri"/>
          <w:sz w:val="22"/>
        </w:rPr>
        <w:t>Standard clinical: CRP, IL-6, TNF-α, IGF-1, testosterone/estradiol</w:t>
      </w:r>
    </w:p>
    <w:p>
      <w:pPr>
        <w:pStyle w:val="ListBullet"/>
        <w:spacing w:before="20" w:after="20"/>
      </w:pPr>
      <w:r>
        <w:rPr>
          <w:rFonts w:ascii="Calibri" w:hAnsi="Calibri"/>
          <w:b/>
          <w:sz w:val="22"/>
        </w:rPr>
        <w:t>Clinical phenotyping:</w:t>
      </w:r>
      <w:r>
        <w:rPr>
          <w:rFonts w:ascii="Calibri" w:hAnsi="Calibri"/>
          <w:sz w:val="22"/>
        </w:rPr>
        <w:t xml:space="preserve"> Fried Frailty Index (5 criteria); MMSE; grip strength; 6-metre gait speed; Barthel ADL index</w:t>
      </w:r>
    </w:p>
    <w:p>
      <w:pPr>
        <w:pStyle w:val="ListBullet"/>
        <w:spacing w:before="20" w:after="20"/>
      </w:pPr>
      <w:r>
        <w:rPr>
          <w:rFonts w:ascii="Calibri" w:hAnsi="Calibri"/>
          <w:b/>
          <w:sz w:val="22"/>
        </w:rPr>
        <w:t>Primary endpoint:</w:t>
      </w:r>
      <w:r>
        <w:rPr>
          <w:rFonts w:ascii="Calibri" w:hAnsi="Calibri"/>
          <w:sz w:val="22"/>
        </w:rPr>
        <w:t xml:space="preserve"> Association of CAII decline (year 0 → year 2) with Fried frailty progression (OR, logistic regression)</w:t>
      </w:r>
    </w:p>
    <w:p>
      <w:pPr>
        <w:pStyle w:val="ListBullet"/>
        <w:spacing w:before="20" w:after="20"/>
      </w:pPr>
      <w:r>
        <w:rPr>
          <w:rFonts w:ascii="Calibri" w:hAnsi="Calibri"/>
          <w:b/>
          <w:sz w:val="22"/>
        </w:rPr>
        <w:t>Secondary endpoints:</w:t>
      </w:r>
      <w:r>
        <w:rPr>
          <w:rFonts w:ascii="Calibri" w:hAnsi="Calibri"/>
          <w:sz w:val="22"/>
        </w:rPr>
        <w:t xml:space="preserve"> CAII vs. epigenetic clock acceleration; CEP164 vs. myeloid shift (monocyte/lymphocyte ratio); HRV index vs. 2-year mortality</w:t>
      </w:r>
    </w:p>
    <w:p>
      <w:pPr>
        <w:spacing w:before="0" w:after="120" w:line="276" w:lineRule="auto"/>
      </w:pPr>
      <w:r>
        <w:rPr>
          <w:rFonts w:ascii="Calibri" w:hAnsi="Calibri"/>
          <w:b/>
          <w:sz w:val="22"/>
        </w:rPr>
        <w:t>Statistical power:</w:t>
      </w:r>
      <w:r>
        <w:rPr>
          <w:rFonts w:ascii="Calibri" w:hAnsi="Calibri"/>
          <w:sz w:val="22"/>
        </w:rPr>
        <w:t xml:space="preserve"> Based on OR = 2.5 for CAII quartile comparison (pilot data from 22 subjects); α=0.05, power=0.80; n=240 evaluable exceeds requirement of n=196.</w:t>
      </w:r>
    </w:p>
    <w:p>
      <w:pPr>
        <w:spacing w:before="0" w:after="120" w:line="276" w:lineRule="auto"/>
      </w:pPr>
      <w:r>
        <w:rPr>
          <w:rFonts w:ascii="Calibri" w:hAnsi="Calibri"/>
          <w:b/>
          <w:sz w:val="22"/>
        </w:rPr>
        <w:t>Biobank:</w:t>
      </w:r>
      <w:r>
        <w:rPr>
          <w:rFonts w:ascii="Calibri" w:hAnsi="Calibri"/>
          <w:sz w:val="22"/>
        </w:rPr>
        <w:t xml:space="preserve"> All samples archived in GTU Biobank; GDPR-compliant; consent for future use.</w:t>
      </w:r>
    </w:p>
    <w:p>
      <w:pPr>
        <w:spacing w:before="160" w:after="60"/>
        <w:outlineLvl w:val="3"/>
      </w:pPr>
      <w:r>
        <w:rPr>
          <w:rFonts w:ascii="Calibri" w:hAnsi="Calibri"/>
          <w:b/>
          <w:i/>
          <w:sz w:val="22"/>
        </w:rPr>
        <w:t>1.1.8 Methodology: WP3 — Cell-DT Integration and Digital Twin Refinement</w:t>
      </w:r>
    </w:p>
    <w:p>
      <w:pPr>
        <w:spacing w:before="0" w:after="120" w:line="276" w:lineRule="auto"/>
      </w:pPr>
      <w:r>
        <w:rPr>
          <w:rFonts w:ascii="Calibri" w:hAnsi="Calibri"/>
          <w:b/>
          <w:sz w:val="22"/>
        </w:rPr>
        <w:t>Objective:</w:t>
      </w:r>
      <w:r>
        <w:rPr>
          <w:rFonts w:ascii="Calibri" w:hAnsi="Calibri"/>
          <w:sz w:val="22"/>
        </w:rPr>
        <w:t xml:space="preserve"> Incorporate WP1 and WP2 empirical data into Cell-DT to produce a calibrated, validated longevity prediction engine.</w:t>
      </w:r>
    </w:p>
    <w:p>
      <w:pPr>
        <w:spacing w:before="0" w:after="120" w:line="276" w:lineRule="auto"/>
      </w:pPr>
      <w:r>
        <w:rPr>
          <w:rFonts w:ascii="Calibri" w:hAnsi="Calibri"/>
          <w:b/>
          <w:sz w:val="22"/>
        </w:rPr>
        <w:t>Key tasks:</w:t>
      </w:r>
    </w:p>
    <w:p>
      <w:pPr>
        <w:pStyle w:val="ListBullet"/>
        <w:spacing w:before="20" w:after="20"/>
      </w:pPr>
      <w:r>
        <w:rPr>
          <w:rFonts w:ascii="Calibri" w:hAnsi="Calibri"/>
          <w:b/>
          <w:sz w:val="22"/>
        </w:rPr>
        <w:t>T3.1:</w:t>
      </w:r>
      <w:r>
        <w:rPr>
          <w:rFonts w:ascii="Calibri" w:hAnsi="Calibri"/>
          <w:sz w:val="22"/>
        </w:rPr>
        <w:t xml:space="preserve"> Replace Cell-DT default PTM kinetic parameters with WP1 experimental dose-response data (Bayesian parameter estimation, Stan/PyMC)</w:t>
      </w:r>
    </w:p>
    <w:p>
      <w:pPr>
        <w:pStyle w:val="ListBullet"/>
        <w:spacing w:before="20" w:after="20"/>
      </w:pPr>
      <w:r>
        <w:rPr>
          <w:rFonts w:ascii="Calibri" w:hAnsi="Calibri"/>
          <w:b/>
          <w:sz w:val="22"/>
        </w:rPr>
        <w:t>T3.2:</w:t>
      </w:r>
      <w:r>
        <w:rPr>
          <w:rFonts w:ascii="Calibri" w:hAnsi="Calibri"/>
          <w:sz w:val="22"/>
        </w:rPr>
        <w:t xml:space="preserve"> Implement patient-specific parameter fitting: given individual CAII + epigenetic age inputs, infer personalised DamageParams (personalised biological age = pBA)</w:t>
      </w:r>
    </w:p>
    <w:p>
      <w:pPr>
        <w:pStyle w:val="ListBullet"/>
        <w:spacing w:before="20" w:after="20"/>
      </w:pPr>
      <w:r>
        <w:rPr>
          <w:rFonts w:ascii="Calibri" w:hAnsi="Calibri"/>
          <w:b/>
          <w:sz w:val="22"/>
        </w:rPr>
        <w:t>T3.3:</w:t>
      </w:r>
      <w:r>
        <w:rPr>
          <w:rFonts w:ascii="Calibri" w:hAnsi="Calibri"/>
          <w:sz w:val="22"/>
        </w:rPr>
        <w:t xml:space="preserve"> Validate pBA against 2-year WP2 outcomes (Kaplan-Meier, AUROC for 2-year frailty progression)</w:t>
      </w:r>
    </w:p>
    <w:p>
      <w:pPr>
        <w:pStyle w:val="ListBullet"/>
        <w:spacing w:before="20" w:after="20"/>
      </w:pPr>
      <w:r>
        <w:rPr>
          <w:rFonts w:ascii="Calibri" w:hAnsi="Calibri"/>
          <w:b/>
          <w:sz w:val="22"/>
        </w:rPr>
        <w:t>T3.4:</w:t>
      </w:r>
      <w:r>
        <w:rPr>
          <w:rFonts w:ascii="Calibri" w:hAnsi="Calibri"/>
          <w:sz w:val="22"/>
        </w:rPr>
        <w:t xml:space="preserve"> Extend Cell-DT to include IGF-1 axis, asymmetric_cytoqc_module, and PTM columns in CSV exporter</w:t>
      </w:r>
    </w:p>
    <w:p>
      <w:pPr>
        <w:pStyle w:val="ListBullet"/>
        <w:spacing w:before="20" w:after="20"/>
      </w:pPr>
      <w:r>
        <w:rPr>
          <w:rFonts w:ascii="Calibri" w:hAnsi="Calibri"/>
          <w:b/>
          <w:sz w:val="22"/>
        </w:rPr>
        <w:t>T3.5:</w:t>
      </w:r>
      <w:r>
        <w:rPr>
          <w:rFonts w:ascii="Calibri" w:hAnsi="Calibri"/>
          <w:sz w:val="22"/>
        </w:rPr>
        <w:t xml:space="preserve"> Publish Cell-DT v2.0 as open-source (Zenodo DOI + GitHub release); Python bindings (PyO3) for community access</w:t>
      </w:r>
    </w:p>
    <w:p>
      <w:pPr>
        <w:spacing w:before="0" w:after="120" w:line="276" w:lineRule="auto"/>
      </w:pPr>
      <w:r>
        <w:rPr>
          <w:rFonts w:ascii="Calibri" w:hAnsi="Calibri"/>
          <w:b/>
          <w:sz w:val="22"/>
        </w:rPr>
        <w:t>Software:</w:t>
      </w:r>
      <w:r>
        <w:rPr>
          <w:rFonts w:ascii="Calibri" w:hAnsi="Calibri"/>
          <w:sz w:val="22"/>
        </w:rPr>
        <w:t xml:space="preserve"> Rust 2021 edition; hecs ECS; Rayon parallel; PyO3; Stan for Bayesian fitting; all tests passing (cargo test) before any merge.</w:t>
      </w:r>
    </w:p>
    <w:p>
      <w:pPr>
        <w:spacing w:before="160" w:after="60"/>
        <w:outlineLvl w:val="3"/>
      </w:pPr>
      <w:r>
        <w:rPr>
          <w:rFonts w:ascii="Calibri" w:hAnsi="Calibri"/>
          <w:b/>
          <w:i/>
          <w:sz w:val="22"/>
        </w:rPr>
        <w:t>1.1.9 Methodology: WP4 — Therapeutic Proof of Concept</w:t>
      </w:r>
    </w:p>
    <w:p>
      <w:pPr>
        <w:spacing w:before="0" w:after="120" w:line="276" w:lineRule="auto"/>
      </w:pPr>
      <w:r>
        <w:rPr>
          <w:rFonts w:ascii="Calibri" w:hAnsi="Calibri"/>
          <w:b/>
          <w:sz w:val="22"/>
        </w:rPr>
        <w:t>Objective:</w:t>
      </w:r>
      <w:r>
        <w:rPr>
          <w:rFonts w:ascii="Calibri" w:hAnsi="Calibri"/>
          <w:sz w:val="22"/>
        </w:rPr>
        <w:t xml:space="preserve"> Demonstrate that CDATA-specific interventions extend functional healthspan in </w:t>
      </w:r>
      <w:r>
        <w:rPr>
          <w:rFonts w:ascii="Calibri" w:hAnsi="Calibri"/>
          <w:i/>
          <w:sz w:val="22"/>
        </w:rPr>
        <w:t>in vitro</w:t>
      </w:r>
      <w:r>
        <w:rPr>
          <w:rFonts w:ascii="Calibri" w:hAnsi="Calibri"/>
          <w:sz w:val="22"/>
        </w:rPr>
        <w:t xml:space="preserve"> ageing models, guided by Cell-DT predictions.</w:t>
      </w:r>
    </w:p>
    <w:p>
      <w:pPr>
        <w:spacing w:before="0" w:after="120" w:line="276" w:lineRule="auto"/>
      </w:pPr>
      <w:r>
        <w:rPr>
          <w:rFonts w:ascii="Calibri" w:hAnsi="Calibri"/>
          <w:sz w:val="22"/>
        </w:rPr>
        <w:t>*</w:t>
      </w:r>
      <w:r>
        <w:rPr>
          <w:rFonts w:ascii="Calibri" w:hAnsi="Calibri"/>
          <w:i/>
          <w:sz w:val="22"/>
        </w:rPr>
        <w:t xml:space="preserve">Intervention library (from Cell-DT </w:t>
      </w:r>
      <w:r>
        <w:rPr>
          <w:rFonts w:ascii="Calibri" w:hAnsi="Calibri"/>
          <w:sz w:val="22"/>
        </w:rPr>
        <w:t>in silico</w:t>
      </w:r>
      <w:r>
        <w:rPr>
          <w:rFonts w:ascii="Calibri" w:hAnsi="Calibri"/>
          <w:i/>
          <w:sz w:val="22"/>
        </w:rPr>
        <w:t xml:space="preserve"> predictions — experimental validation is the objective of WP4):</w:t>
      </w:r>
      <w:r>
        <w:rPr>
          <w:rFonts w:ascii="Calibri" w:hAnsi="Calibri"/>
          <w:sz w:val="22"/>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Pr>
                <w:rFonts w:ascii="Calibri" w:hAnsi="Calibri"/>
                <w:b/>
                <w:sz w:val="20"/>
              </w:rPr>
              <w:t>Intervention</w:t>
            </w:r>
          </w:p>
        </w:tc>
        <w:tc>
          <w:tcPr>
            <w:tcW w:type="dxa" w:w="3135"/>
            <w:shd w:val="clear" w:color="auto" w:fill="D9E1F2"/>
          </w:tcPr>
          <w:p>
            <w:pPr>
              <w:spacing w:before="40" w:after="40"/>
            </w:pPr>
            <w:r>
              <w:rPr>
                <w:rFonts w:ascii="Calibri" w:hAnsi="Calibri"/>
                <w:b/>
                <w:sz w:val="20"/>
              </w:rPr>
              <w:t>CDATA mechanism targeted</w:t>
            </w:r>
          </w:p>
        </w:tc>
        <w:tc>
          <w:tcPr>
            <w:tcW w:type="dxa" w:w="3135"/>
            <w:shd w:val="clear" w:color="auto" w:fill="D9E1F2"/>
          </w:tcPr>
          <w:p>
            <w:pPr>
              <w:spacing w:before="40" w:after="40"/>
            </w:pPr>
            <w:r>
              <w:rPr>
                <w:rFonts w:ascii="Calibri" w:hAnsi="Calibri"/>
                <w:b/>
                <w:sz w:val="20"/>
              </w:rPr>
              <w:t xml:space="preserve">Cell-DT </w:t>
            </w:r>
            <w:r>
              <w:rPr>
                <w:rFonts w:ascii="Calibri" w:hAnsi="Calibri"/>
                <w:b/>
                <w:i/>
                <w:sz w:val="20"/>
              </w:rPr>
              <w:t>in silico</w:t>
            </w:r>
            <w:r>
              <w:rPr>
                <w:rFonts w:ascii="Calibri" w:hAnsi="Calibri"/>
                <w:b/>
                <w:sz w:val="20"/>
              </w:rPr>
              <w:t xml:space="preserve"> prediction*</w:t>
            </w:r>
          </w:p>
        </w:tc>
      </w:tr>
      <w:tr>
        <w:tc>
          <w:tcPr>
            <w:tcW w:type="dxa" w:w="3135"/>
          </w:tcPr>
          <w:p>
            <w:pPr>
              <w:spacing w:before="40" w:after="40"/>
            </w:pPr>
            <w:r>
              <w:rPr>
                <w:rFonts w:ascii="Calibri" w:hAnsi="Calibri"/>
                <w:b/>
                <w:sz w:val="20"/>
              </w:rPr>
              <w:t>CentrosomeTransplant</w:t>
            </w:r>
            <w:r>
              <w:rPr>
                <w:rFonts w:ascii="Calibri" w:hAnsi="Calibri"/>
                <w:sz w:val="20"/>
              </w:rPr>
              <w:t xml:space="preserve"> (young donor centriole transplantation)</w:t>
            </w:r>
          </w:p>
        </w:tc>
        <w:tc>
          <w:tcPr>
            <w:tcW w:type="dxa" w:w="3135"/>
          </w:tcPr>
          <w:p>
            <w:pPr>
              <w:spacing w:before="40" w:after="40"/>
            </w:pPr>
            <w:r>
              <w:rPr>
                <w:rFonts w:ascii="Calibri" w:hAnsi="Calibri"/>
                <w:sz w:val="20"/>
              </w:rPr>
              <w:t>Reset centriolar PTM burden to donor level</w:t>
            </w:r>
          </w:p>
        </w:tc>
        <w:tc>
          <w:tcPr>
            <w:tcW w:type="dxa" w:w="3135"/>
          </w:tcPr>
          <w:p>
            <w:pPr>
              <w:spacing w:before="40" w:after="40"/>
            </w:pPr>
            <w:r>
              <w:rPr>
                <w:rFonts w:ascii="Calibri" w:hAnsi="Calibri"/>
                <w:sz w:val="20"/>
              </w:rPr>
              <w:t>+18.3 years</w:t>
            </w:r>
          </w:p>
        </w:tc>
      </w:tr>
      <w:tr>
        <w:tc>
          <w:tcPr>
            <w:tcW w:type="dxa" w:w="3135"/>
          </w:tcPr>
          <w:p>
            <w:pPr>
              <w:spacing w:before="40" w:after="40"/>
            </w:pPr>
            <w:r>
              <w:rPr>
                <w:rFonts w:ascii="Calibri" w:hAnsi="Calibri"/>
                <w:b/>
                <w:sz w:val="20"/>
              </w:rPr>
              <w:t>CafdRetainer</w:t>
            </w:r>
            <w:r>
              <w:rPr>
                <w:rFonts w:ascii="Calibri" w:hAnsi="Calibri"/>
                <w:sz w:val="20"/>
              </w:rPr>
              <w:t xml:space="preserve"> (stabilisation of CAFD inducer complexes)</w:t>
            </w:r>
          </w:p>
        </w:tc>
        <w:tc>
          <w:tcPr>
            <w:tcW w:type="dxa" w:w="3135"/>
          </w:tcPr>
          <w:p>
            <w:pPr>
              <w:spacing w:before="40" w:after="40"/>
            </w:pPr>
            <w:r>
              <w:rPr>
                <w:rFonts w:ascii="Calibri" w:hAnsi="Calibri"/>
                <w:sz w:val="20"/>
              </w:rPr>
              <w:t>Slow O₂-driven inducer detachment</w:t>
            </w:r>
          </w:p>
        </w:tc>
        <w:tc>
          <w:tcPr>
            <w:tcW w:type="dxa" w:w="3135"/>
          </w:tcPr>
          <w:p>
            <w:pPr>
              <w:spacing w:before="40" w:after="40"/>
            </w:pPr>
            <w:r>
              <w:rPr>
                <w:rFonts w:ascii="Calibri" w:hAnsi="Calibri"/>
                <w:sz w:val="20"/>
              </w:rPr>
              <w:t>+11.6 years</w:t>
            </w:r>
          </w:p>
        </w:tc>
      </w:tr>
      <w:tr>
        <w:tc>
          <w:tcPr>
            <w:tcW w:type="dxa" w:w="3135"/>
          </w:tcPr>
          <w:p>
            <w:pPr>
              <w:spacing w:before="40" w:after="40"/>
            </w:pPr>
            <w:r>
              <w:rPr>
                <w:rFonts w:ascii="Calibri" w:hAnsi="Calibri"/>
                <w:b/>
                <w:sz w:val="20"/>
              </w:rPr>
              <w:t>Senolytics</w:t>
            </w:r>
            <w:r>
              <w:rPr>
                <w:rFonts w:ascii="Calibri" w:hAnsi="Calibri"/>
                <w:sz w:val="20"/>
              </w:rPr>
              <w:t xml:space="preserve"> (ABT-263 + Quercetin protocol)</w:t>
            </w:r>
          </w:p>
        </w:tc>
        <w:tc>
          <w:tcPr>
            <w:tcW w:type="dxa" w:w="3135"/>
          </w:tcPr>
          <w:p>
            <w:pPr>
              <w:spacing w:before="40" w:after="40"/>
            </w:pPr>
            <w:r>
              <w:rPr>
                <w:rFonts w:ascii="Calibri" w:hAnsi="Calibri"/>
                <w:sz w:val="20"/>
              </w:rPr>
              <w:t>Remove SASP-producing senescent cells → reduce niche ROS</w:t>
            </w:r>
          </w:p>
        </w:tc>
        <w:tc>
          <w:tcPr>
            <w:tcW w:type="dxa" w:w="3135"/>
          </w:tcPr>
          <w:p>
            <w:pPr>
              <w:spacing w:before="40" w:after="40"/>
            </w:pPr>
            <w:r>
              <w:rPr>
                <w:rFonts w:ascii="Calibri" w:hAnsi="Calibri"/>
                <w:sz w:val="20"/>
              </w:rPr>
              <w:t>+8.9 years</w:t>
            </w:r>
          </w:p>
        </w:tc>
      </w:tr>
      <w:tr>
        <w:tc>
          <w:tcPr>
            <w:tcW w:type="dxa" w:w="3135"/>
          </w:tcPr>
          <w:p>
            <w:pPr>
              <w:spacing w:before="40" w:after="40"/>
            </w:pPr>
            <w:r>
              <w:rPr>
                <w:rFonts w:ascii="Calibri" w:hAnsi="Calibri"/>
                <w:b/>
                <w:sz w:val="20"/>
              </w:rPr>
              <w:t>mTOR inhibition + CR</w:t>
            </w:r>
            <w:r>
              <w:rPr>
                <w:rFonts w:ascii="Calibri" w:hAnsi="Calibri"/>
                <w:sz w:val="20"/>
              </w:rPr>
              <w:t xml:space="preserve"> (Rapamycin + caloric restriction)</w:t>
            </w:r>
          </w:p>
        </w:tc>
        <w:tc>
          <w:tcPr>
            <w:tcW w:type="dxa" w:w="3135"/>
          </w:tcPr>
          <w:p>
            <w:pPr>
              <w:spacing w:before="40" w:after="40"/>
            </w:pPr>
            <w:r>
              <w:rPr>
                <w:rFonts w:ascii="Calibri" w:hAnsi="Calibri"/>
                <w:sz w:val="20"/>
              </w:rPr>
              <w:t>Slow division rate; activate autophagy; reduce aggregate load</w:t>
            </w:r>
          </w:p>
        </w:tc>
        <w:tc>
          <w:tcPr>
            <w:tcW w:type="dxa" w:w="3135"/>
          </w:tcPr>
          <w:p>
            <w:pPr>
              <w:spacing w:before="40" w:after="40"/>
            </w:pPr>
            <w:r>
              <w:rPr>
                <w:rFonts w:ascii="Calibri" w:hAnsi="Calibri"/>
                <w:sz w:val="20"/>
              </w:rPr>
              <w:t>+7.4 years</w:t>
            </w:r>
          </w:p>
        </w:tc>
      </w:tr>
    </w:tbl>
    <w:p>
      <w:pPr>
        <w:spacing w:after="120"/>
      </w:pPr>
    </w:p>
    <w:p>
      <w:pPr>
        <w:spacing w:before="0" w:after="120" w:line="276" w:lineRule="auto"/>
      </w:pPr>
      <w:r>
        <w:rPr>
          <w:rFonts w:ascii="Calibri" w:hAnsi="Calibri"/>
          <w:i/>
          <w:sz w:val="22"/>
        </w:rPr>
        <w:t>\</w:t>
      </w:r>
      <w:r>
        <w:rPr>
          <w:rFonts w:ascii="Calibri" w:hAnsi="Calibri"/>
          <w:sz w:val="22"/>
        </w:rPr>
        <w:t>All figures are stochastic simulation outputs from Cell-DT (n=1000 runs). Experimental validation of these predictions is the primary objective of WP4.*</w:t>
      </w:r>
    </w:p>
    <w:p>
      <w:pPr>
        <w:spacing w:before="0" w:after="120" w:line="276" w:lineRule="auto"/>
      </w:pPr>
      <w:r>
        <w:rPr>
          <w:rFonts w:ascii="Calibri" w:hAnsi="Calibri"/>
          <w:b/>
          <w:sz w:val="22"/>
        </w:rPr>
        <w:t>Experimental readout:</w:t>
      </w:r>
      <w:r>
        <w:rPr>
          <w:rFonts w:ascii="Calibri" w:hAnsi="Calibri"/>
          <w:sz w:val="22"/>
        </w:rPr>
        <w:t xml:space="preserve"> EdU proliferation, SA-β-Gal senescence, CAII score, cilia length at passages 8 / 15 / 25. Treated vs. untreated (n=6 biological replicates per condition; 2-way ANOVA with Bonferroni correction).</w:t>
      </w:r>
    </w:p>
    <w:p>
      <w:pPr>
        <w:spacing w:before="0" w:after="120" w:line="276" w:lineRule="auto"/>
      </w:pPr>
      <w:r>
        <w:rPr>
          <w:rFonts w:ascii="Calibri" w:hAnsi="Calibri"/>
          <w:b/>
          <w:sz w:val="22"/>
        </w:rPr>
        <w:t>Deliverable:</w:t>
      </w:r>
      <w:r>
        <w:rPr>
          <w:rFonts w:ascii="Calibri" w:hAnsi="Calibri"/>
          <w:sz w:val="22"/>
        </w:rPr>
        <w:t xml:space="preserve"> Quantitative ranking of CDATA-specific interventions; Cell-DT predictions vs. experimental results (Pearson r, target r &gt; 0.65).</w:t>
      </w:r>
    </w:p>
    <w:p>
      <w:pPr>
        <w:spacing w:before="80" w:after="80"/>
        <w:pBdr>
          <w:bottom w:val="single" w:sz="6" w:space="1" w:color="auto"/>
        </w:pBdr>
      </w:pPr>
    </w:p>
    <w:p>
      <w:pPr>
        <w:spacing w:before="200" w:after="60"/>
        <w:outlineLvl w:val="2"/>
      </w:pPr>
      <w:r>
        <w:rPr>
          <w:rFonts w:ascii="Calibri" w:hAnsi="Calibri"/>
          <w:b/>
          <w:sz w:val="24"/>
        </w:rPr>
        <w:t>1.2 Extent to Which the Proposed Work is Beyond the State of the Art — Ambition</w:t>
      </w:r>
    </w:p>
    <w:p>
      <w:pPr>
        <w:spacing w:before="160" w:after="60"/>
        <w:outlineLvl w:val="3"/>
      </w:pPr>
      <w:r>
        <w:rPr>
          <w:rFonts w:ascii="Calibri" w:hAnsi="Calibri"/>
          <w:b/>
          <w:i/>
          <w:sz w:val="22"/>
        </w:rPr>
        <w:t>1.2.1 Scientific Originality</w:t>
      </w:r>
    </w:p>
    <w:p>
      <w:pPr>
        <w:spacing w:before="0" w:after="120" w:line="276" w:lineRule="auto"/>
      </w:pPr>
      <w:r>
        <w:rPr>
          <w:rFonts w:ascii="Calibri" w:hAnsi="Calibri"/>
          <w:sz w:val="22"/>
        </w:rPr>
        <w:t>CDATA introduces three original, falsifiable claims that distinguish it from all existing ageing theories:</w:t>
      </w:r>
    </w:p>
    <w:p>
      <w:pPr>
        <w:spacing w:before="0" w:after="120" w:line="276" w:lineRule="auto"/>
      </w:pPr>
      <w:r>
        <w:rPr>
          <w:rFonts w:ascii="Calibri" w:hAnsi="Calibri"/>
          <w:b/>
          <w:sz w:val="22"/>
        </w:rPr>
        <w:t>Claim 1 — The Irreversibility Claim:</w:t>
      </w:r>
      <w:r>
        <w:rPr>
          <w:rFonts w:ascii="Calibri" w:hAnsi="Calibri"/>
          <w:sz w:val="22"/>
        </w:rPr>
        <w:t xml:space="preserve"> Ageing initiates from centrioles because they are the </w:t>
      </w:r>
      <w:r>
        <w:rPr>
          <w:rFonts w:ascii="Calibri" w:hAnsi="Calibri"/>
          <w:i/>
          <w:sz w:val="22"/>
        </w:rPr>
        <w:t>only</w:t>
      </w:r>
      <w:r>
        <w:rPr>
          <w:rFonts w:ascii="Calibri" w:hAnsi="Calibri"/>
          <w:sz w:val="22"/>
        </w:rPr>
        <w:t xml:space="preserve"> major cellular structure that completely lacks repair machinery. This explains why ageing is irreversible in all known organisms. </w:t>
      </w:r>
      <w:r>
        <w:rPr>
          <w:rFonts w:ascii="Calibri" w:hAnsi="Calibri"/>
          <w:b/>
          <w:sz w:val="22"/>
        </w:rPr>
        <w:t>Falsification criterion:</w:t>
      </w:r>
      <w:r>
        <w:rPr>
          <w:rFonts w:ascii="Calibri" w:hAnsi="Calibri"/>
          <w:sz w:val="22"/>
        </w:rPr>
        <w:t xml:space="preserve"> Discovery of a centriole-specific repair enzyme would refute CDATA.</w:t>
      </w:r>
    </w:p>
    <w:p>
      <w:pPr>
        <w:spacing w:before="0" w:after="120" w:line="276" w:lineRule="auto"/>
      </w:pPr>
      <w:r>
        <w:rPr>
          <w:rFonts w:ascii="Calibri" w:hAnsi="Calibri"/>
          <w:b/>
          <w:sz w:val="22"/>
        </w:rPr>
        <w:t>Claim 2 — The Asymmetric Inheritance Claim:</w:t>
      </w:r>
      <w:r>
        <w:rPr>
          <w:rFonts w:ascii="Calibri" w:hAnsi="Calibri"/>
          <w:sz w:val="22"/>
        </w:rPr>
        <w:t xml:space="preserve"> At each asymmetric stem cell division, the stem daughter cell retains the </w:t>
      </w:r>
      <w:r>
        <w:rPr>
          <w:rFonts w:ascii="Calibri" w:hAnsi="Calibri"/>
          <w:i/>
          <w:sz w:val="22"/>
        </w:rPr>
        <w:t>older, more damaged</w:t>
      </w:r>
      <w:r>
        <w:rPr>
          <w:rFonts w:ascii="Calibri" w:hAnsi="Calibri"/>
          <w:sz w:val="22"/>
        </w:rPr>
        <w:t xml:space="preserve"> mother centriole. Over ~50 divisions, this creates an exponential accumulation bias. </w:t>
      </w:r>
      <w:r>
        <w:rPr>
          <w:rFonts w:ascii="Calibri" w:hAnsi="Calibri"/>
          <w:b/>
          <w:sz w:val="22"/>
        </w:rPr>
        <w:t>Falsification criterion:</w:t>
      </w:r>
      <w:r>
        <w:rPr>
          <w:rFonts w:ascii="Calibri" w:hAnsi="Calibri"/>
          <w:sz w:val="22"/>
        </w:rPr>
        <w:t xml:space="preserve"> Experimental demonstration that stem cells randomly distribute centrioles would refute this claim.</w:t>
      </w:r>
    </w:p>
    <w:p>
      <w:pPr>
        <w:spacing w:before="0" w:after="120" w:line="276" w:lineRule="auto"/>
      </w:pPr>
      <w:r>
        <w:rPr>
          <w:rFonts w:ascii="Calibri" w:hAnsi="Calibri"/>
          <w:b/>
          <w:sz w:val="22"/>
        </w:rPr>
        <w:t>Claim 3 — The CAII Biomarker Claim:</w:t>
      </w:r>
      <w:r>
        <w:rPr>
          <w:rFonts w:ascii="Calibri" w:hAnsi="Calibri"/>
          <w:sz w:val="22"/>
        </w:rPr>
        <w:t xml:space="preserve"> The Centriolar Appendage Integrity Index (CAII) is a quantitative, measurable biomarker that precedes and predicts accelerated ageing phenotypes. </w:t>
      </w:r>
      <w:r>
        <w:rPr>
          <w:rFonts w:ascii="Calibri" w:hAnsi="Calibri"/>
          <w:b/>
          <w:sz w:val="22"/>
        </w:rPr>
        <w:t>Falsification criterion:</w:t>
      </w:r>
      <w:r>
        <w:rPr>
          <w:rFonts w:ascii="Calibri" w:hAnsi="Calibri"/>
          <w:sz w:val="22"/>
        </w:rPr>
        <w:t xml:space="preserve"> Failure of CAII to correlate with frailty in WP2 would falsify this claim.</w:t>
      </w:r>
    </w:p>
    <w:p>
      <w:pPr>
        <w:spacing w:before="0" w:after="120" w:line="276" w:lineRule="auto"/>
      </w:pPr>
      <w:r>
        <w:rPr>
          <w:rFonts w:ascii="Calibri" w:hAnsi="Calibri"/>
          <w:sz w:val="22"/>
        </w:rPr>
        <w:t>All three claims are novel, testable, and untested in the literature. EIC Pathfinder's TRL 1–4 mandate is precisely appropriate for this stage of validation.</w:t>
      </w:r>
    </w:p>
    <w:p>
      <w:pPr>
        <w:spacing w:before="160" w:after="60"/>
        <w:outlineLvl w:val="3"/>
      </w:pPr>
      <w:r>
        <w:rPr>
          <w:rFonts w:ascii="Calibri" w:hAnsi="Calibri"/>
          <w:b/>
          <w:i/>
          <w:sz w:val="22"/>
        </w:rPr>
        <w:t>1.2.2 Technological Ambition: The Cell Digital Twin</w:t>
      </w:r>
    </w:p>
    <w:p>
      <w:pPr>
        <w:spacing w:before="0" w:after="120" w:line="276" w:lineRule="auto"/>
      </w:pPr>
      <w:r>
        <w:rPr>
          <w:rFonts w:ascii="Calibri" w:hAnsi="Calibri"/>
          <w:sz w:val="22"/>
        </w:rPr>
        <w:t>The Cell-DT platform represents the most mechanistically comprehensive ageing simulator in the open literature:</w:t>
      </w:r>
    </w:p>
    <w:p>
      <w:pPr>
        <w:pStyle w:val="ListBullet"/>
        <w:spacing w:before="20" w:after="20"/>
      </w:pPr>
      <w:r>
        <w:rPr>
          <w:rFonts w:ascii="Calibri" w:hAnsi="Calibri"/>
          <w:b/>
          <w:sz w:val="22"/>
        </w:rPr>
        <w:t>14 modular ECS components</w:t>
      </w:r>
      <w:r>
        <w:rPr>
          <w:rFonts w:ascii="Calibri" w:hAnsi="Calibri"/>
          <w:sz w:val="22"/>
        </w:rPr>
        <w:t xml:space="preserve"> including NKSurveillanceState, ProteostasisState, CircadianState, AutophagyState, DDRState — tracking biological interactions across 5 timescales</w:t>
      </w:r>
    </w:p>
    <w:p>
      <w:pPr>
        <w:pStyle w:val="ListBullet"/>
        <w:spacing w:before="20" w:after="20"/>
      </w:pPr>
      <w:r>
        <w:rPr>
          <w:rFonts w:ascii="Calibri" w:hAnsi="Calibri"/>
          <w:b/>
          <w:sz w:val="22"/>
        </w:rPr>
        <w:t>≥439 passing unit tests (+ new tests for modules added in WP3)</w:t>
      </w:r>
      <w:r>
        <w:rPr>
          <w:rFonts w:ascii="Calibri" w:hAnsi="Calibri"/>
          <w:sz w:val="22"/>
        </w:rPr>
        <w:t xml:space="preserve"> providing scientific reproducibility guarantees absent from all competing ageing models (ODE-based Hallmarks models typically provide no code or validation)</w:t>
      </w:r>
    </w:p>
    <w:p>
      <w:pPr>
        <w:pStyle w:val="ListBullet"/>
        <w:spacing w:before="20" w:after="20"/>
      </w:pPr>
      <w:r>
        <w:rPr>
          <w:rFonts w:ascii="Calibri" w:hAnsi="Calibri"/>
          <w:b/>
          <w:sz w:val="22"/>
        </w:rPr>
        <w:t>Population-level simulations:</w:t>
      </w:r>
      <w:r>
        <w:rPr>
          <w:rFonts w:ascii="Calibri" w:hAnsi="Calibri"/>
          <w:sz w:val="22"/>
        </w:rPr>
        <w:t xml:space="preserve"> 30-organism cohort with SASP bystander effects, CHIP detection onset at year 40, Kaplan-Meier-compatible output</w:t>
      </w:r>
    </w:p>
    <w:p>
      <w:pPr>
        <w:pStyle w:val="ListBullet"/>
        <w:spacing w:before="20" w:after="20"/>
      </w:pPr>
      <w:r>
        <w:rPr>
          <w:rFonts w:ascii="Calibri" w:hAnsi="Calibri"/>
          <w:b/>
          <w:sz w:val="22"/>
        </w:rPr>
        <w:t>Intervention response curves:</w:t>
      </w:r>
      <w:r>
        <w:rPr>
          <w:rFonts w:ascii="Calibri" w:hAnsi="Calibri"/>
          <w:sz w:val="22"/>
        </w:rPr>
        <w:t xml:space="preserve"> 8 validated </w:t>
      </w:r>
      <w:r>
        <w:rPr>
          <w:rFonts w:ascii="Calibri" w:hAnsi="Calibri"/>
          <w:i/>
          <w:sz w:val="22"/>
        </w:rPr>
        <w:t>in silico</w:t>
      </w:r>
      <w:r>
        <w:rPr>
          <w:rFonts w:ascii="Calibri" w:hAnsi="Calibri"/>
          <w:sz w:val="22"/>
        </w:rPr>
        <w:t xml:space="preserve"> interventions with realistic healthspan projections (experimental validation in WP4)</w:t>
      </w:r>
    </w:p>
    <w:p>
      <w:pPr>
        <w:spacing w:before="0" w:after="120" w:line="276" w:lineRule="auto"/>
      </w:pPr>
      <w:r>
        <w:rPr>
          <w:rFonts w:ascii="Calibri" w:hAnsi="Calibri"/>
          <w:sz w:val="22"/>
        </w:rPr>
        <w:t>No comparable open-source platform exists. The closest prior work (PhysiCell, VirtualCell) focuses on cancer cell signalling, not stem cell ageing. CDATA-Cell-DT is a pioneer contribution.</w:t>
      </w:r>
    </w:p>
    <w:p>
      <w:pPr>
        <w:spacing w:before="160" w:after="60"/>
        <w:outlineLvl w:val="3"/>
      </w:pPr>
      <w:r>
        <w:rPr>
          <w:rFonts w:ascii="Calibri" w:hAnsi="Calibri"/>
          <w:b/>
          <w:i/>
          <w:sz w:val="22"/>
        </w:rPr>
        <w:t>1.2.3 Cross-Scale Integration and the Ze Theory HRV Hypothesis</w:t>
      </w:r>
    </w:p>
    <w:p>
      <w:pPr>
        <w:spacing w:before="0" w:after="120" w:line="276" w:lineRule="auto"/>
      </w:pPr>
      <w:r>
        <w:rPr>
          <w:rFonts w:ascii="Calibri" w:hAnsi="Calibri"/>
          <w:sz w:val="22"/>
        </w:rPr>
        <w:t>CDATA bridges biological scales rarely connected in a single framework:</w:t>
      </w:r>
    </w:p>
    <w:p>
      <w:pPr>
        <w:pStyle w:val="ListBullet"/>
        <w:spacing w:before="20" w:after="20"/>
      </w:pPr>
      <w:r>
        <w:rPr>
          <w:rFonts w:ascii="Calibri" w:hAnsi="Calibri"/>
          <w:b/>
          <w:sz w:val="22"/>
        </w:rPr>
        <w:t>Nanoscale (nm):</w:t>
      </w:r>
      <w:r>
        <w:rPr>
          <w:rFonts w:ascii="Calibri" w:hAnsi="Calibri"/>
          <w:sz w:val="22"/>
        </w:rPr>
        <w:t xml:space="preserve"> Centriolar PTM accumulation, measurable by STED super-resolution microscopy and U-ExM (WP1). The CAII composite score captures appendage protein integrity at 50–100 nm resolution.</w:t>
      </w:r>
    </w:p>
    <w:p>
      <w:pPr>
        <w:pStyle w:val="ListBullet"/>
        <w:spacing w:before="20" w:after="20"/>
      </w:pPr>
      <w:r>
        <w:rPr>
          <w:rFonts w:ascii="Calibri" w:hAnsi="Calibri"/>
          <w:b/>
          <w:sz w:val="22"/>
        </w:rPr>
        <w:t>Cellular scale (μm):</w:t>
      </w:r>
      <w:r>
        <w:rPr>
          <w:rFonts w:ascii="Calibri" w:hAnsi="Calibri"/>
          <w:sz w:val="22"/>
        </w:rPr>
        <w:t xml:space="preserve"> Primary cilia length, spindle fidelity, senescence markers (SA-β-Gal, γ-H2AX) — directly downstream of CAII in the CDATA causal chain.</w:t>
      </w:r>
    </w:p>
    <w:p>
      <w:pPr>
        <w:pStyle w:val="ListBullet"/>
        <w:spacing w:before="20" w:after="20"/>
      </w:pPr>
      <w:r>
        <w:rPr>
          <w:rFonts w:ascii="Calibri" w:hAnsi="Calibri"/>
          <w:b/>
          <w:sz w:val="22"/>
        </w:rPr>
        <w:t>Organismal scale (ms, clinical):</w:t>
      </w:r>
      <w:r>
        <w:rPr>
          <w:rFonts w:ascii="Calibri" w:hAnsi="Calibri"/>
          <w:sz w:val="22"/>
        </w:rPr>
        <w:t xml:space="preserve"> HRV-based ageing index, Fried frailty, epigenetic clock, immune ageing (myeloid shift) — WP2 clinical endpoints.</w:t>
      </w:r>
    </w:p>
    <w:p>
      <w:pPr>
        <w:spacing w:before="0" w:after="120" w:line="276" w:lineRule="auto"/>
      </w:pPr>
      <w:r>
        <w:rPr>
          <w:rFonts w:ascii="Calibri" w:hAnsi="Calibri"/>
          <w:b/>
          <w:sz w:val="22"/>
        </w:rPr>
        <w:t>Ze Theory HRV biomarker — an exploratory secondary hypothesis.</w:t>
      </w:r>
      <w:r>
        <w:rPr>
          <w:rFonts w:ascii="Calibri" w:hAnsi="Calibri"/>
          <w:sz w:val="22"/>
        </w:rPr>
        <w:t xml:space="preserve"> The PI's Ze Theory proposes that biological systems exhibit optimal information flow at a dimensionless velocity v</w:t>
      </w:r>
      <w:r>
        <w:rPr>
          <w:rFonts w:ascii="Calibri" w:hAnsi="Calibri"/>
          <w:i/>
          <w:sz w:val="22"/>
        </w:rPr>
        <w:t xml:space="preserve"> ≈ 0.456 (entropy ≈ 1.68 nats). Applied to cardiac dynamics, this predicts a candidate non-invasive biomarker: proximity of the HRV-derived flow velocity to v</w:t>
      </w:r>
      <w:r>
        <w:rPr>
          <w:rFonts w:ascii="Calibri" w:hAnsi="Calibri"/>
          <w:sz w:val="22"/>
        </w:rPr>
        <w:t xml:space="preserve"> (measured from standard 5-minute ECG). If validated, this would link nanometre-level centriolar ageing directly to millisecond cardiac rhythm complexity — an unprecedented cross-scale biomarker.</w:t>
      </w:r>
    </w:p>
    <w:p>
      <w:pPr>
        <w:spacing w:before="0" w:after="120" w:line="276" w:lineRule="auto"/>
      </w:pPr>
      <w:r>
        <w:rPr>
          <w:rFonts w:ascii="Calibri" w:hAnsi="Calibri"/>
          <w:sz w:val="22"/>
        </w:rPr>
        <w:t xml:space="preserve">Ze Theory is treated as a </w:t>
      </w:r>
      <w:r>
        <w:rPr>
          <w:rFonts w:ascii="Calibri" w:hAnsi="Calibri"/>
          <w:b/>
          <w:sz w:val="22"/>
        </w:rPr>
        <w:t>secondary, exploratory endpoint</w:t>
      </w:r>
      <w:r>
        <w:rPr>
          <w:rFonts w:ascii="Calibri" w:hAnsi="Calibri"/>
          <w:sz w:val="22"/>
        </w:rPr>
        <w:t xml:space="preserve"> in WP2. No prior cohort validation is assumed — WP2 provides the first rigorous prospective test in n=288 participants. A positive finding (HRV index correlated with frailty/mortality) would represent a novel screening tool; a negative finding remains informative. EIC Pathfinder's mandate for high-risk, high-gain science makes this an appropriate exploratory inclusion alongside the primary CAII validation.</w:t>
      </w:r>
    </w:p>
    <w:p>
      <w:pPr>
        <w:spacing w:before="0" w:after="120" w:line="276" w:lineRule="auto"/>
      </w:pPr>
      <w:r>
        <w:rPr>
          <w:rFonts w:ascii="Calibri" w:hAnsi="Calibri"/>
          <w:sz w:val="22"/>
        </w:rPr>
        <w:t>This cross-scale integration — from nanometre PTMs to millisecond ECG intervals to clinical frailty — provides the mechanistic underpinning for Cell-DT's personalised biological age (pBA) module.</w:t>
      </w:r>
    </w:p>
    <w:p>
      <w:pPr>
        <w:spacing w:before="80" w:after="80"/>
        <w:pBdr>
          <w:bottom w:val="single" w:sz="6" w:space="1" w:color="auto"/>
        </w:pBdr>
      </w:pPr>
    </w:p>
    <w:p>
      <w:pPr>
        <w:spacing w:before="280" w:after="80"/>
        <w:outlineLvl w:val="1"/>
      </w:pPr>
      <w:r>
        <w:rPr>
          <w:rFonts w:ascii="Calibri" w:hAnsi="Calibri"/>
          <w:b/>
          <w:sz w:val="28"/>
        </w:rPr>
        <w:t>2. Impact</w:t>
      </w:r>
    </w:p>
    <w:p>
      <w:pPr>
        <w:spacing w:before="200" w:after="60"/>
        <w:outlineLvl w:val="2"/>
      </w:pPr>
      <w:r>
        <w:rPr>
          <w:rFonts w:ascii="Calibri" w:hAnsi="Calibri"/>
          <w:b/>
          <w:sz w:val="24"/>
        </w:rPr>
        <w:t>2.1 Potential for Breakthrough Scientific and Technological Impact</w:t>
      </w:r>
    </w:p>
    <w:p>
      <w:pPr>
        <w:spacing w:before="160" w:after="60"/>
        <w:outlineLvl w:val="3"/>
      </w:pPr>
      <w:r>
        <w:rPr>
          <w:rFonts w:ascii="Calibri" w:hAnsi="Calibri"/>
          <w:b/>
          <w:i/>
          <w:sz w:val="22"/>
        </w:rPr>
        <w:t>2.1.1 Scientific Impact</w:t>
      </w:r>
    </w:p>
    <w:p>
      <w:pPr>
        <w:spacing w:before="0" w:after="120" w:line="276" w:lineRule="auto"/>
      </w:pPr>
      <w:r>
        <w:rPr>
          <w:rFonts w:ascii="Calibri" w:hAnsi="Calibri"/>
          <w:sz w:val="22"/>
        </w:rPr>
        <w:t>If CDATA is validated, the scientific consequences are profound:</w:t>
      </w:r>
    </w:p>
    <w:p>
      <w:pPr>
        <w:spacing w:before="0" w:after="120" w:line="276" w:lineRule="auto"/>
      </w:pPr>
      <w:r>
        <w:rPr>
          <w:rFonts w:ascii="Calibri" w:hAnsi="Calibri"/>
          <w:b/>
          <w:sz w:val="22"/>
        </w:rPr>
        <w:t>Paradigm shift in biogerontology:</w:t>
      </w:r>
      <w:r>
        <w:rPr>
          <w:rFonts w:ascii="Calibri" w:hAnsi="Calibri"/>
          <w:sz w:val="22"/>
        </w:rPr>
        <w:t xml:space="preserve"> CDATA would establish the first mechanistic, unified, falsifiable theory of ageing — ending decades of phenomenological description. The framework is publishable in top-tier journals (target: </w:t>
      </w:r>
      <w:r>
        <w:rPr>
          <w:rFonts w:ascii="Calibri" w:hAnsi="Calibri"/>
          <w:i/>
          <w:sz w:val="22"/>
        </w:rPr>
        <w:t>npj Aging</w:t>
      </w:r>
      <w:r>
        <w:rPr>
          <w:rFonts w:ascii="Calibri" w:hAnsi="Calibri"/>
          <w:sz w:val="22"/>
        </w:rPr>
        <w:t xml:space="preserve">, Nature Portfolio; </w:t>
      </w:r>
      <w:r>
        <w:rPr>
          <w:rFonts w:ascii="Calibri" w:hAnsi="Calibri"/>
          <w:i/>
          <w:sz w:val="22"/>
        </w:rPr>
        <w:t>Nature Aging</w:t>
      </w:r>
      <w:r>
        <w:rPr>
          <w:rFonts w:ascii="Calibri" w:hAnsi="Calibri"/>
          <w:sz w:val="22"/>
        </w:rPr>
        <w:t xml:space="preserve">; </w:t>
      </w:r>
      <w:r>
        <w:rPr>
          <w:rFonts w:ascii="Calibri" w:hAnsi="Calibri"/>
          <w:i/>
          <w:sz w:val="22"/>
        </w:rPr>
        <w:t>Cell</w:t>
      </w:r>
      <w:r>
        <w:rPr>
          <w:rFonts w:ascii="Calibri" w:hAnsi="Calibri"/>
          <w:sz w:val="22"/>
        </w:rPr>
        <w:t>).</w:t>
      </w:r>
    </w:p>
    <w:p>
      <w:pPr>
        <w:spacing w:before="0" w:after="120" w:line="276" w:lineRule="auto"/>
      </w:pPr>
      <w:r>
        <w:rPr>
          <w:rFonts w:ascii="Calibri" w:hAnsi="Calibri"/>
          <w:b/>
          <w:sz w:val="22"/>
        </w:rPr>
        <w:t>New diagnostic biomarker:</w:t>
      </w:r>
      <w:r>
        <w:rPr>
          <w:rFonts w:ascii="Calibri" w:hAnsi="Calibri"/>
          <w:sz w:val="22"/>
        </w:rPr>
        <w:t xml:space="preserve"> CAII — the Centriolar Appendage Integrity Index — would become the first centriole-based ageing biomarker. If WP2 validates its clinical correlation, CAII could be developed into a simple blood test predicting frailty 2+ years before clinical onset.</w:t>
      </w:r>
    </w:p>
    <w:p>
      <w:pPr>
        <w:spacing w:before="0" w:after="120" w:line="276" w:lineRule="auto"/>
      </w:pPr>
      <w:r>
        <w:rPr>
          <w:rFonts w:ascii="Calibri" w:hAnsi="Calibri"/>
          <w:b/>
          <w:sz w:val="22"/>
        </w:rPr>
        <w:t>New therapeutic targets:</w:t>
      </w:r>
      <w:r>
        <w:rPr>
          <w:rFonts w:ascii="Calibri" w:hAnsi="Calibri"/>
          <w:sz w:val="22"/>
        </w:rPr>
        <w:t xml:space="preserve"> CentrosomeTransplant represents a wholly new class of rejuvenation intervention — </w:t>
      </w:r>
      <w:r>
        <w:rPr>
          <w:rFonts w:ascii="Calibri" w:hAnsi="Calibri"/>
          <w:i/>
          <w:sz w:val="22"/>
        </w:rPr>
        <w:t>organelle replacement therapy</w:t>
      </w:r>
      <w:r>
        <w:rPr>
          <w:rFonts w:ascii="Calibri" w:hAnsi="Calibri"/>
          <w:sz w:val="22"/>
        </w:rPr>
        <w:t xml:space="preserve"> — distinct from gene therapy, small molecule interventions, or cell transplantation. Cell-DT </w:t>
      </w:r>
      <w:r>
        <w:rPr>
          <w:rFonts w:ascii="Calibri" w:hAnsi="Calibri"/>
          <w:i/>
          <w:sz w:val="22"/>
        </w:rPr>
        <w:t>in silico</w:t>
      </w:r>
      <w:r>
        <w:rPr>
          <w:rFonts w:ascii="Calibri" w:hAnsi="Calibri"/>
          <w:sz w:val="22"/>
        </w:rPr>
        <w:t xml:space="preserve"> simulations predict substantial healthspan gain; WP4 is designed to test this prediction experimentally.</w:t>
      </w:r>
    </w:p>
    <w:p>
      <w:pPr>
        <w:spacing w:before="160" w:after="60"/>
        <w:outlineLvl w:val="3"/>
      </w:pPr>
      <w:r>
        <w:rPr>
          <w:rFonts w:ascii="Calibri" w:hAnsi="Calibri"/>
          <w:b/>
          <w:i/>
          <w:sz w:val="22"/>
        </w:rPr>
        <w:t>2.1.2 Technological Impact</w:t>
      </w:r>
    </w:p>
    <w:p>
      <w:pPr>
        <w:spacing w:before="0" w:after="120" w:line="276" w:lineRule="auto"/>
      </w:pPr>
      <w:r>
        <w:rPr>
          <w:rFonts w:ascii="Calibri" w:hAnsi="Calibri"/>
          <w:b/>
          <w:sz w:val="22"/>
        </w:rPr>
        <w:t>Cell Digital Twin (TRL 4 → 6):</w:t>
      </w:r>
      <w:r>
        <w:rPr>
          <w:rFonts w:ascii="Calibri" w:hAnsi="Calibri"/>
          <w:sz w:val="22"/>
        </w:rPr>
        <w:t xml:space="preserve"> By end of project, Cell-DT will transition from a validated computational model (TRL 4) to a personalised longevity prediction engine with patient-specific parameter fitting (TRL 5–6). Commercial pathways include:</w:t>
      </w:r>
    </w:p>
    <w:p>
      <w:pPr>
        <w:pStyle w:val="ListBullet"/>
        <w:spacing w:before="20" w:after="20"/>
      </w:pPr>
      <w:r>
        <w:rPr>
          <w:rFonts w:ascii="Calibri" w:hAnsi="Calibri"/>
          <w:sz w:val="22"/>
        </w:rPr>
        <w:t>Longevity biotech platforms (integration with epigenetic clocks, proteomics)</w:t>
      </w:r>
    </w:p>
    <w:p>
      <w:pPr>
        <w:pStyle w:val="ListBullet"/>
        <w:spacing w:before="20" w:after="20"/>
      </w:pPr>
      <w:r>
        <w:rPr>
          <w:rFonts w:ascii="Calibri" w:hAnsi="Calibri"/>
          <w:sz w:val="22"/>
        </w:rPr>
        <w:t>Pharmaceutical CRO services (in silico ageing assay replacing early-phase animal studies)</w:t>
      </w:r>
    </w:p>
    <w:p>
      <w:pPr>
        <w:pStyle w:val="ListBullet"/>
        <w:spacing w:before="20" w:after="20"/>
      </w:pPr>
      <w:r>
        <w:rPr>
          <w:rFonts w:ascii="Calibri" w:hAnsi="Calibri"/>
          <w:sz w:val="22"/>
        </w:rPr>
        <w:t>Insurance and actuarial applications (biological age vs. chronological age risk scoring)</w:t>
      </w:r>
    </w:p>
    <w:p>
      <w:pPr>
        <w:spacing w:before="160" w:after="60"/>
        <w:outlineLvl w:val="3"/>
      </w:pPr>
      <w:r>
        <w:rPr>
          <w:rFonts w:ascii="Calibri" w:hAnsi="Calibri"/>
          <w:b/>
          <w:i/>
          <w:sz w:val="22"/>
        </w:rPr>
        <w:t>2.1.3 Key Performance Indicators (KPIs)</w:t>
      </w:r>
    </w:p>
    <w:p>
      <w:pPr>
        <w:spacing w:before="0" w:after="120" w:line="276" w:lineRule="auto"/>
      </w:pPr>
      <w:r>
        <w:rPr>
          <w:rFonts w:ascii="Calibri" w:hAnsi="Calibri"/>
          <w:b/>
          <w:sz w:val="22"/>
        </w:rPr>
        <w:t>Table: CDATA EIC Pathfinder KPIs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Pr>
                <w:rFonts w:ascii="Calibri" w:hAnsi="Calibri"/>
                <w:b/>
                <w:sz w:val="20"/>
              </w:rPr>
              <w:t>#</w:t>
            </w:r>
          </w:p>
        </w:tc>
        <w:tc>
          <w:tcPr>
            <w:tcW w:type="dxa" w:w="2351"/>
            <w:shd w:val="clear" w:color="auto" w:fill="D9E1F2"/>
          </w:tcPr>
          <w:p>
            <w:pPr>
              <w:spacing w:before="40" w:after="40"/>
            </w:pPr>
            <w:r>
              <w:rPr>
                <w:rFonts w:ascii="Calibri" w:hAnsi="Calibri"/>
                <w:b/>
                <w:sz w:val="20"/>
              </w:rPr>
              <w:t>KPI</w:t>
            </w:r>
          </w:p>
        </w:tc>
        <w:tc>
          <w:tcPr>
            <w:tcW w:type="dxa" w:w="2351"/>
            <w:shd w:val="clear" w:color="auto" w:fill="D9E1F2"/>
          </w:tcPr>
          <w:p>
            <w:pPr>
              <w:spacing w:before="40" w:after="40"/>
            </w:pPr>
            <w:r>
              <w:rPr>
                <w:rFonts w:ascii="Calibri" w:hAnsi="Calibri"/>
                <w:b/>
                <w:sz w:val="20"/>
              </w:rPr>
              <w:t>Target by M36</w:t>
            </w:r>
          </w:p>
        </w:tc>
        <w:tc>
          <w:tcPr>
            <w:tcW w:type="dxa" w:w="2351"/>
            <w:shd w:val="clear" w:color="auto" w:fill="D9E1F2"/>
          </w:tcPr>
          <w:p>
            <w:pPr>
              <w:spacing w:before="40" w:after="40"/>
            </w:pPr>
            <w:r>
              <w:rPr>
                <w:rFonts w:ascii="Calibri" w:hAnsi="Calibri"/>
                <w:b/>
                <w:sz w:val="20"/>
              </w:rPr>
              <w:t>Validation method</w:t>
            </w:r>
          </w:p>
        </w:tc>
      </w:tr>
      <w:tr>
        <w:tc>
          <w:tcPr>
            <w:tcW w:type="dxa" w:w="2351"/>
          </w:tcPr>
          <w:p>
            <w:pPr>
              <w:spacing w:before="40" w:after="40"/>
            </w:pPr>
            <w:r>
              <w:rPr>
                <w:rFonts w:ascii="Calibri" w:hAnsi="Calibri"/>
                <w:b/>
                <w:sz w:val="20"/>
              </w:rPr>
              <w:t>Scientific output</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rFonts w:ascii="Calibri" w:hAnsi="Calibri"/>
                <w:sz w:val="20"/>
              </w:rPr>
              <w:t>1</w:t>
            </w:r>
          </w:p>
        </w:tc>
        <w:tc>
          <w:tcPr>
            <w:tcW w:type="dxa" w:w="2351"/>
          </w:tcPr>
          <w:p>
            <w:pPr>
              <w:spacing w:before="40" w:after="40"/>
            </w:pPr>
            <w:r>
              <w:rPr>
                <w:rFonts w:ascii="Calibri" w:hAnsi="Calibri"/>
                <w:sz w:val="20"/>
              </w:rPr>
              <w:t>Peer-reviewed publications in Q1 journals</w:t>
            </w:r>
          </w:p>
        </w:tc>
        <w:tc>
          <w:tcPr>
            <w:tcW w:type="dxa" w:w="2351"/>
          </w:tcPr>
          <w:p>
            <w:pPr>
              <w:spacing w:before="40" w:after="40"/>
            </w:pPr>
            <w:r>
              <w:rPr>
                <w:rFonts w:ascii="Calibri" w:hAnsi="Calibri"/>
                <w:sz w:val="20"/>
              </w:rPr>
              <w:t>≥ 4</w:t>
            </w:r>
          </w:p>
        </w:tc>
        <w:tc>
          <w:tcPr>
            <w:tcW w:type="dxa" w:w="2351"/>
          </w:tcPr>
          <w:p>
            <w:pPr>
              <w:spacing w:before="40" w:after="40"/>
            </w:pPr>
            <w:r>
              <w:rPr>
                <w:rFonts w:ascii="Calibri" w:hAnsi="Calibri"/>
                <w:sz w:val="20"/>
              </w:rPr>
              <w:t>Journal acceptance letters</w:t>
            </w:r>
          </w:p>
        </w:tc>
      </w:tr>
      <w:tr>
        <w:tc>
          <w:tcPr>
            <w:tcW w:type="dxa" w:w="2351"/>
          </w:tcPr>
          <w:p>
            <w:pPr>
              <w:spacing w:before="40" w:after="40"/>
            </w:pPr>
            <w:r>
              <w:rPr>
                <w:rFonts w:ascii="Calibri" w:hAnsi="Calibri"/>
                <w:sz w:val="20"/>
              </w:rPr>
              <w:t>2</w:t>
            </w:r>
          </w:p>
        </w:tc>
        <w:tc>
          <w:tcPr>
            <w:tcW w:type="dxa" w:w="2351"/>
          </w:tcPr>
          <w:p>
            <w:pPr>
              <w:spacing w:before="40" w:after="40"/>
            </w:pPr>
            <w:r>
              <w:rPr>
                <w:rFonts w:ascii="Calibri" w:hAnsi="Calibri"/>
                <w:sz w:val="20"/>
              </w:rPr>
              <w:t>Preprint on bioRxiv/Zenodo (open access)</w:t>
            </w:r>
          </w:p>
        </w:tc>
        <w:tc>
          <w:tcPr>
            <w:tcW w:type="dxa" w:w="2351"/>
          </w:tcPr>
          <w:p>
            <w:pPr>
              <w:spacing w:before="40" w:after="40"/>
            </w:pPr>
            <w:r>
              <w:rPr>
                <w:rFonts w:ascii="Calibri" w:hAnsi="Calibri"/>
                <w:sz w:val="20"/>
              </w:rPr>
              <w:t>≥ 2 (M12, M24)</w:t>
            </w:r>
          </w:p>
        </w:tc>
        <w:tc>
          <w:tcPr>
            <w:tcW w:type="dxa" w:w="2351"/>
          </w:tcPr>
          <w:p>
            <w:pPr>
              <w:spacing w:before="40" w:after="40"/>
            </w:pPr>
            <w:r>
              <w:rPr>
                <w:rFonts w:ascii="Calibri" w:hAnsi="Calibri"/>
                <w:sz w:val="20"/>
              </w:rPr>
              <w:t>DOI assignment</w:t>
            </w:r>
          </w:p>
        </w:tc>
      </w:tr>
      <w:tr>
        <w:tc>
          <w:tcPr>
            <w:tcW w:type="dxa" w:w="2351"/>
          </w:tcPr>
          <w:p>
            <w:pPr>
              <w:spacing w:before="40" w:after="40"/>
            </w:pPr>
            <w:r>
              <w:rPr>
                <w:rFonts w:ascii="Calibri" w:hAnsi="Calibri"/>
                <w:sz w:val="20"/>
              </w:rPr>
              <w:t>3</w:t>
            </w:r>
          </w:p>
        </w:tc>
        <w:tc>
          <w:tcPr>
            <w:tcW w:type="dxa" w:w="2351"/>
          </w:tcPr>
          <w:p>
            <w:pPr>
              <w:spacing w:before="40" w:after="40"/>
            </w:pPr>
            <w:r>
              <w:rPr>
                <w:rFonts w:ascii="Calibri" w:hAnsi="Calibri"/>
                <w:sz w:val="20"/>
              </w:rPr>
              <w:t>Cell-DT v2.0 open-source release</w:t>
            </w:r>
          </w:p>
        </w:tc>
        <w:tc>
          <w:tcPr>
            <w:tcW w:type="dxa" w:w="2351"/>
          </w:tcPr>
          <w:p>
            <w:pPr>
              <w:spacing w:before="40" w:after="40"/>
            </w:pPr>
            <w:r>
              <w:rPr>
                <w:rFonts w:ascii="Calibri" w:hAnsi="Calibri"/>
                <w:sz w:val="20"/>
              </w:rPr>
              <w:t>1 release (M30)</w:t>
            </w:r>
          </w:p>
        </w:tc>
        <w:tc>
          <w:tcPr>
            <w:tcW w:type="dxa" w:w="2351"/>
          </w:tcPr>
          <w:p>
            <w:pPr>
              <w:spacing w:before="40" w:after="40"/>
            </w:pPr>
            <w:r>
              <w:rPr>
                <w:rFonts w:ascii="Calibri" w:hAnsi="Calibri"/>
                <w:sz w:val="20"/>
              </w:rPr>
              <w:t>GitHub tag + Zenodo DOI</w:t>
            </w:r>
          </w:p>
        </w:tc>
      </w:tr>
      <w:tr>
        <w:tc>
          <w:tcPr>
            <w:tcW w:type="dxa" w:w="2351"/>
          </w:tcPr>
          <w:p>
            <w:pPr>
              <w:spacing w:before="40" w:after="40"/>
            </w:pPr>
            <w:r>
              <w:rPr>
                <w:rFonts w:ascii="Calibri" w:hAnsi="Calibri"/>
                <w:sz w:val="20"/>
              </w:rPr>
              <w:t>4</w:t>
            </w:r>
          </w:p>
        </w:tc>
        <w:tc>
          <w:tcPr>
            <w:tcW w:type="dxa" w:w="2351"/>
          </w:tcPr>
          <w:p>
            <w:pPr>
              <w:spacing w:before="40" w:after="40"/>
            </w:pPr>
            <w:r>
              <w:rPr>
                <w:rFonts w:ascii="Calibri" w:hAnsi="Calibri"/>
                <w:sz w:val="20"/>
              </w:rPr>
              <w:t>Python package (PyPI) for Cell-DT</w:t>
            </w:r>
          </w:p>
        </w:tc>
        <w:tc>
          <w:tcPr>
            <w:tcW w:type="dxa" w:w="2351"/>
          </w:tcPr>
          <w:p>
            <w:pPr>
              <w:spacing w:before="40" w:after="40"/>
            </w:pPr>
            <w:r>
              <w:rPr>
                <w:rFonts w:ascii="Calibri" w:hAnsi="Calibri"/>
                <w:sz w:val="20"/>
              </w:rPr>
              <w:t>1 package</w:t>
            </w:r>
          </w:p>
        </w:tc>
        <w:tc>
          <w:tcPr>
            <w:tcW w:type="dxa" w:w="2351"/>
          </w:tcPr>
          <w:p>
            <w:pPr>
              <w:spacing w:before="40" w:after="40"/>
            </w:pPr>
            <w:r>
              <w:rPr>
                <w:rFonts w:ascii="Calibri" w:hAnsi="Calibri"/>
                <w:sz w:val="20"/>
              </w:rPr>
              <w:t>PyPI registry</w:t>
            </w:r>
          </w:p>
        </w:tc>
      </w:tr>
      <w:tr>
        <w:tc>
          <w:tcPr>
            <w:tcW w:type="dxa" w:w="2351"/>
          </w:tcPr>
          <w:p>
            <w:pPr>
              <w:spacing w:before="40" w:after="40"/>
            </w:pPr>
            <w:r>
              <w:rPr>
                <w:rFonts w:ascii="Calibri" w:hAnsi="Calibri"/>
                <w:b/>
                <w:sz w:val="20"/>
              </w:rPr>
              <w:t>Experimental validation</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rFonts w:ascii="Calibri" w:hAnsi="Calibri"/>
                <w:sz w:val="20"/>
              </w:rPr>
              <w:t>5</w:t>
            </w:r>
          </w:p>
        </w:tc>
        <w:tc>
          <w:tcPr>
            <w:tcW w:type="dxa" w:w="2351"/>
          </w:tcPr>
          <w:p>
            <w:pPr>
              <w:spacing w:before="40" w:after="40"/>
            </w:pPr>
            <w:r>
              <w:rPr>
                <w:rFonts w:ascii="Calibri" w:hAnsi="Calibri"/>
                <w:sz w:val="20"/>
              </w:rPr>
              <w:t>CAII index validated in cell lines</w:t>
            </w:r>
          </w:p>
        </w:tc>
        <w:tc>
          <w:tcPr>
            <w:tcW w:type="dxa" w:w="2351"/>
          </w:tcPr>
          <w:p>
            <w:pPr>
              <w:spacing w:before="40" w:after="40"/>
            </w:pPr>
            <w:r>
              <w:rPr>
                <w:rFonts w:ascii="Calibri" w:hAnsi="Calibri"/>
                <w:sz w:val="20"/>
              </w:rPr>
              <w:t>≥ 3 cell models</w:t>
            </w:r>
          </w:p>
        </w:tc>
        <w:tc>
          <w:tcPr>
            <w:tcW w:type="dxa" w:w="2351"/>
          </w:tcPr>
          <w:p>
            <w:pPr>
              <w:spacing w:before="40" w:after="40"/>
            </w:pPr>
            <w:r>
              <w:rPr>
                <w:rFonts w:ascii="Calibri" w:hAnsi="Calibri"/>
                <w:sz w:val="20"/>
              </w:rPr>
              <w:t>Internal QC protocol</w:t>
            </w:r>
          </w:p>
        </w:tc>
      </w:tr>
      <w:tr>
        <w:tc>
          <w:tcPr>
            <w:tcW w:type="dxa" w:w="2351"/>
          </w:tcPr>
          <w:p>
            <w:pPr>
              <w:spacing w:before="40" w:after="40"/>
            </w:pPr>
            <w:r>
              <w:rPr>
                <w:rFonts w:ascii="Calibri" w:hAnsi="Calibri"/>
                <w:sz w:val="20"/>
              </w:rPr>
              <w:t>6</w:t>
            </w:r>
          </w:p>
        </w:tc>
        <w:tc>
          <w:tcPr>
            <w:tcW w:type="dxa" w:w="2351"/>
          </w:tcPr>
          <w:p>
            <w:pPr>
              <w:spacing w:before="40" w:after="40"/>
            </w:pPr>
            <w:r>
              <w:rPr>
                <w:rFonts w:ascii="Calibri" w:hAnsi="Calibri"/>
                <w:sz w:val="20"/>
              </w:rPr>
              <w:t>Cohort participants enrolled (WP2)</w:t>
            </w:r>
          </w:p>
        </w:tc>
        <w:tc>
          <w:tcPr>
            <w:tcW w:type="dxa" w:w="2351"/>
          </w:tcPr>
          <w:p>
            <w:pPr>
              <w:spacing w:before="40" w:after="40"/>
            </w:pPr>
            <w:r>
              <w:rPr>
                <w:rFonts w:ascii="Calibri" w:hAnsi="Calibri"/>
                <w:sz w:val="20"/>
              </w:rPr>
              <w:t>n ≥ 288</w:t>
            </w:r>
          </w:p>
        </w:tc>
        <w:tc>
          <w:tcPr>
            <w:tcW w:type="dxa" w:w="2351"/>
          </w:tcPr>
          <w:p>
            <w:pPr>
              <w:spacing w:before="40" w:after="40"/>
            </w:pPr>
            <w:r>
              <w:rPr>
                <w:rFonts w:ascii="Calibri" w:hAnsi="Calibri"/>
                <w:sz w:val="20"/>
              </w:rPr>
              <w:t>IRB screening logs</w:t>
            </w:r>
          </w:p>
        </w:tc>
      </w:tr>
      <w:tr>
        <w:tc>
          <w:tcPr>
            <w:tcW w:type="dxa" w:w="2351"/>
          </w:tcPr>
          <w:p>
            <w:pPr>
              <w:spacing w:before="40" w:after="40"/>
            </w:pPr>
            <w:r>
              <w:rPr>
                <w:rFonts w:ascii="Calibri" w:hAnsi="Calibri"/>
                <w:sz w:val="20"/>
              </w:rPr>
              <w:t>7</w:t>
            </w:r>
          </w:p>
        </w:tc>
        <w:tc>
          <w:tcPr>
            <w:tcW w:type="dxa" w:w="2351"/>
          </w:tcPr>
          <w:p>
            <w:pPr>
              <w:spacing w:before="40" w:after="40"/>
            </w:pPr>
            <w:r>
              <w:rPr>
                <w:rFonts w:ascii="Calibri" w:hAnsi="Calibri"/>
                <w:sz w:val="20"/>
              </w:rPr>
              <w:t>Cohort participants with 2-yr follow-up</w:t>
            </w:r>
          </w:p>
        </w:tc>
        <w:tc>
          <w:tcPr>
            <w:tcW w:type="dxa" w:w="2351"/>
          </w:tcPr>
          <w:p>
            <w:pPr>
              <w:spacing w:before="40" w:after="40"/>
            </w:pPr>
            <w:r>
              <w:rPr>
                <w:rFonts w:ascii="Calibri" w:hAnsi="Calibri"/>
                <w:sz w:val="20"/>
              </w:rPr>
              <w:t>n ≥ 240</w:t>
            </w:r>
          </w:p>
        </w:tc>
        <w:tc>
          <w:tcPr>
            <w:tcW w:type="dxa" w:w="2351"/>
          </w:tcPr>
          <w:p>
            <w:pPr>
              <w:spacing w:before="40" w:after="40"/>
            </w:pPr>
            <w:r>
              <w:rPr>
                <w:rFonts w:ascii="Calibri" w:hAnsi="Calibri"/>
                <w:sz w:val="20"/>
              </w:rPr>
              <w:t>Study database</w:t>
            </w:r>
          </w:p>
        </w:tc>
      </w:tr>
      <w:tr>
        <w:tc>
          <w:tcPr>
            <w:tcW w:type="dxa" w:w="2351"/>
          </w:tcPr>
          <w:p>
            <w:pPr>
              <w:spacing w:before="40" w:after="40"/>
            </w:pPr>
            <w:r>
              <w:rPr>
                <w:rFonts w:ascii="Calibri" w:hAnsi="Calibri"/>
                <w:sz w:val="20"/>
              </w:rPr>
              <w:t>8</w:t>
            </w:r>
          </w:p>
        </w:tc>
        <w:tc>
          <w:tcPr>
            <w:tcW w:type="dxa" w:w="2351"/>
          </w:tcPr>
          <w:p>
            <w:pPr>
              <w:spacing w:before="40" w:after="40"/>
            </w:pPr>
            <w:r>
              <w:rPr>
                <w:rFonts w:ascii="Calibri" w:hAnsi="Calibri"/>
                <w:sz w:val="20"/>
              </w:rPr>
              <w:t>CAII–frailty association (primary endpoint)</w:t>
            </w:r>
          </w:p>
        </w:tc>
        <w:tc>
          <w:tcPr>
            <w:tcW w:type="dxa" w:w="2351"/>
          </w:tcPr>
          <w:p>
            <w:pPr>
              <w:spacing w:before="40" w:after="40"/>
            </w:pPr>
            <w:r>
              <w:rPr>
                <w:rFonts w:ascii="Calibri" w:hAnsi="Calibri"/>
                <w:sz w:val="20"/>
              </w:rPr>
              <w:t>OR &gt; 1.8, p &lt; 0.05</w:t>
            </w:r>
          </w:p>
        </w:tc>
        <w:tc>
          <w:tcPr>
            <w:tcW w:type="dxa" w:w="2351"/>
          </w:tcPr>
          <w:p>
            <w:pPr>
              <w:spacing w:before="40" w:after="40"/>
            </w:pPr>
            <w:r>
              <w:rPr>
                <w:rFonts w:ascii="Calibri" w:hAnsi="Calibri"/>
                <w:sz w:val="20"/>
              </w:rPr>
              <w:t>Statistical analysis report</w:t>
            </w:r>
          </w:p>
        </w:tc>
      </w:tr>
      <w:tr>
        <w:tc>
          <w:tcPr>
            <w:tcW w:type="dxa" w:w="2351"/>
          </w:tcPr>
          <w:p>
            <w:pPr>
              <w:spacing w:before="40" w:after="40"/>
            </w:pPr>
            <w:r>
              <w:rPr>
                <w:rFonts w:ascii="Calibri" w:hAnsi="Calibri"/>
                <w:sz w:val="20"/>
              </w:rPr>
              <w:t>9</w:t>
            </w:r>
          </w:p>
        </w:tc>
        <w:tc>
          <w:tcPr>
            <w:tcW w:type="dxa" w:w="2351"/>
          </w:tcPr>
          <w:p>
            <w:pPr>
              <w:spacing w:before="40" w:after="40"/>
            </w:pPr>
            <w:r>
              <w:rPr>
                <w:rFonts w:ascii="Calibri" w:hAnsi="Calibri"/>
                <w:sz w:val="20"/>
              </w:rPr>
              <w:t>CAII–epigenetic clock correlation</w:t>
            </w:r>
          </w:p>
        </w:tc>
        <w:tc>
          <w:tcPr>
            <w:tcW w:type="dxa" w:w="2351"/>
          </w:tcPr>
          <w:p>
            <w:pPr>
              <w:spacing w:before="40" w:after="40"/>
            </w:pPr>
            <w:r>
              <w:rPr>
                <w:rFonts w:ascii="Calibri" w:hAnsi="Calibri"/>
                <w:sz w:val="20"/>
              </w:rPr>
              <w:t>Pearson r &gt; 0.5</w:t>
            </w:r>
          </w:p>
        </w:tc>
        <w:tc>
          <w:tcPr>
            <w:tcW w:type="dxa" w:w="2351"/>
          </w:tcPr>
          <w:p>
            <w:pPr>
              <w:spacing w:before="40" w:after="40"/>
            </w:pPr>
            <w:r>
              <w:rPr>
                <w:rFonts w:ascii="Calibri" w:hAnsi="Calibri"/>
                <w:sz w:val="20"/>
              </w:rPr>
              <w:t>WP2 report</w:t>
            </w:r>
          </w:p>
        </w:tc>
      </w:tr>
      <w:tr>
        <w:tc>
          <w:tcPr>
            <w:tcW w:type="dxa" w:w="2351"/>
          </w:tcPr>
          <w:p>
            <w:pPr>
              <w:spacing w:before="40" w:after="40"/>
            </w:pPr>
            <w:r>
              <w:rPr>
                <w:rFonts w:ascii="Calibri" w:hAnsi="Calibri"/>
                <w:sz w:val="20"/>
              </w:rPr>
              <w:t>10</w:t>
            </w:r>
          </w:p>
        </w:tc>
        <w:tc>
          <w:tcPr>
            <w:tcW w:type="dxa" w:w="2351"/>
          </w:tcPr>
          <w:p>
            <w:pPr>
              <w:spacing w:before="40" w:after="40"/>
            </w:pPr>
            <w:r>
              <w:rPr>
                <w:rFonts w:ascii="Calibri" w:hAnsi="Calibri"/>
                <w:sz w:val="20"/>
              </w:rPr>
              <w:t>Cell-DT vs. experimental validation</w:t>
            </w:r>
          </w:p>
        </w:tc>
        <w:tc>
          <w:tcPr>
            <w:tcW w:type="dxa" w:w="2351"/>
          </w:tcPr>
          <w:p>
            <w:pPr>
              <w:spacing w:before="40" w:after="40"/>
            </w:pPr>
            <w:r>
              <w:rPr>
                <w:rFonts w:ascii="Calibri" w:hAnsi="Calibri"/>
                <w:sz w:val="20"/>
              </w:rPr>
              <w:t>Pearson r &gt; 0.5 (with biological replicates; n≥6)</w:t>
            </w:r>
          </w:p>
        </w:tc>
        <w:tc>
          <w:tcPr>
            <w:tcW w:type="dxa" w:w="2351"/>
          </w:tcPr>
          <w:p>
            <w:pPr>
              <w:spacing w:before="40" w:after="40"/>
            </w:pPr>
            <w:r>
              <w:rPr>
                <w:rFonts w:ascii="Calibri" w:hAnsi="Calibri"/>
                <w:sz w:val="20"/>
              </w:rPr>
              <w:t>WP3 technical report</w:t>
            </w:r>
          </w:p>
        </w:tc>
      </w:tr>
      <w:tr>
        <w:tc>
          <w:tcPr>
            <w:tcW w:type="dxa" w:w="2351"/>
          </w:tcPr>
          <w:p>
            <w:pPr>
              <w:spacing w:before="40" w:after="40"/>
            </w:pPr>
            <w:r>
              <w:rPr>
                <w:rFonts w:ascii="Calibri" w:hAnsi="Calibri"/>
                <w:b/>
                <w:sz w:val="20"/>
              </w:rPr>
              <w:t>Therapeutic PoC</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rFonts w:ascii="Calibri" w:hAnsi="Calibri"/>
                <w:sz w:val="20"/>
              </w:rPr>
              <w:t>11</w:t>
            </w:r>
          </w:p>
        </w:tc>
        <w:tc>
          <w:tcPr>
            <w:tcW w:type="dxa" w:w="2351"/>
          </w:tcPr>
          <w:p>
            <w:pPr>
              <w:spacing w:before="40" w:after="40"/>
            </w:pPr>
            <w:r>
              <w:rPr>
                <w:rFonts w:ascii="Calibri" w:hAnsi="Calibri"/>
                <w:sz w:val="20"/>
              </w:rPr>
              <w:t>CDATA interventions tested in vitro</w:t>
            </w:r>
          </w:p>
        </w:tc>
        <w:tc>
          <w:tcPr>
            <w:tcW w:type="dxa" w:w="2351"/>
          </w:tcPr>
          <w:p>
            <w:pPr>
              <w:spacing w:before="40" w:after="40"/>
            </w:pPr>
            <w:r>
              <w:rPr>
                <w:rFonts w:ascii="Calibri" w:hAnsi="Calibri"/>
                <w:sz w:val="20"/>
              </w:rPr>
              <w:t>≥ 3 interventions</w:t>
            </w:r>
          </w:p>
        </w:tc>
        <w:tc>
          <w:tcPr>
            <w:tcW w:type="dxa" w:w="2351"/>
          </w:tcPr>
          <w:p>
            <w:pPr>
              <w:spacing w:before="40" w:after="40"/>
            </w:pPr>
            <w:r>
              <w:rPr>
                <w:rFonts w:ascii="Calibri" w:hAnsi="Calibri"/>
                <w:sz w:val="20"/>
              </w:rPr>
              <w:t>WP4 lab report</w:t>
            </w:r>
          </w:p>
        </w:tc>
      </w:tr>
      <w:tr>
        <w:tc>
          <w:tcPr>
            <w:tcW w:type="dxa" w:w="2351"/>
          </w:tcPr>
          <w:p>
            <w:pPr>
              <w:spacing w:before="40" w:after="40"/>
            </w:pPr>
            <w:r>
              <w:rPr>
                <w:rFonts w:ascii="Calibri" w:hAnsi="Calibri"/>
                <w:sz w:val="20"/>
              </w:rPr>
              <w:t>12</w:t>
            </w:r>
          </w:p>
        </w:tc>
        <w:tc>
          <w:tcPr>
            <w:tcW w:type="dxa" w:w="2351"/>
          </w:tcPr>
          <w:p>
            <w:pPr>
              <w:spacing w:before="40" w:after="40"/>
            </w:pPr>
            <w:r>
              <w:rPr>
                <w:rFonts w:ascii="Calibri" w:hAnsi="Calibri"/>
                <w:sz w:val="20"/>
              </w:rPr>
              <w:t>Proof-of-mechanism confirmed for ≥ 1 CDATA intervention</w:t>
            </w:r>
          </w:p>
        </w:tc>
        <w:tc>
          <w:tcPr>
            <w:tcW w:type="dxa" w:w="2351"/>
          </w:tcPr>
          <w:p>
            <w:pPr>
              <w:spacing w:before="40" w:after="40"/>
            </w:pPr>
            <w:r>
              <w:rPr>
                <w:rFonts w:ascii="Calibri" w:hAnsi="Calibri"/>
                <w:sz w:val="20"/>
              </w:rPr>
              <w:t>Statistically significant reduction in SA-β-Gal or CAII score vs. control</w:t>
            </w:r>
          </w:p>
        </w:tc>
        <w:tc>
          <w:tcPr>
            <w:tcW w:type="dxa" w:w="2351"/>
          </w:tcPr>
          <w:p>
            <w:pPr>
              <w:spacing w:before="40" w:after="40"/>
            </w:pPr>
            <w:r>
              <w:rPr>
                <w:rFonts w:ascii="Calibri" w:hAnsi="Calibri"/>
                <w:sz w:val="20"/>
              </w:rPr>
              <w:t>WP4 lab report or preprint</w:t>
            </w:r>
          </w:p>
        </w:tc>
      </w:tr>
      <w:tr>
        <w:tc>
          <w:tcPr>
            <w:tcW w:type="dxa" w:w="2351"/>
          </w:tcPr>
          <w:p>
            <w:pPr>
              <w:spacing w:before="40" w:after="40"/>
            </w:pPr>
            <w:r>
              <w:rPr>
                <w:rFonts w:ascii="Calibri" w:hAnsi="Calibri"/>
                <w:b/>
                <w:sz w:val="20"/>
              </w:rPr>
              <w:t>Translation</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rFonts w:ascii="Calibri" w:hAnsi="Calibri"/>
                <w:sz w:val="20"/>
              </w:rPr>
              <w:t>13</w:t>
            </w:r>
          </w:p>
        </w:tc>
        <w:tc>
          <w:tcPr>
            <w:tcW w:type="dxa" w:w="2351"/>
          </w:tcPr>
          <w:p>
            <w:pPr>
              <w:spacing w:before="40" w:after="40"/>
            </w:pPr>
            <w:r>
              <w:rPr>
                <w:rFonts w:ascii="Calibri" w:hAnsi="Calibri"/>
                <w:sz w:val="20"/>
              </w:rPr>
              <w:t>Patent application filed (CAII assay or CentrosomeTransplant)</w:t>
            </w:r>
          </w:p>
        </w:tc>
        <w:tc>
          <w:tcPr>
            <w:tcW w:type="dxa" w:w="2351"/>
          </w:tcPr>
          <w:p>
            <w:pPr>
              <w:spacing w:before="40" w:after="40"/>
            </w:pPr>
            <w:r>
              <w:rPr>
                <w:rFonts w:ascii="Calibri" w:hAnsi="Calibri"/>
                <w:sz w:val="20"/>
              </w:rPr>
              <w:t>1</w:t>
            </w:r>
          </w:p>
        </w:tc>
        <w:tc>
          <w:tcPr>
            <w:tcW w:type="dxa" w:w="2351"/>
          </w:tcPr>
          <w:p>
            <w:pPr>
              <w:spacing w:before="40" w:after="40"/>
            </w:pPr>
            <w:r>
              <w:rPr>
                <w:rFonts w:ascii="Calibri" w:hAnsi="Calibri"/>
                <w:sz w:val="20"/>
              </w:rPr>
              <w:t>Patent filing receipt</w:t>
            </w:r>
          </w:p>
        </w:tc>
      </w:tr>
      <w:tr>
        <w:tc>
          <w:tcPr>
            <w:tcW w:type="dxa" w:w="2351"/>
          </w:tcPr>
          <w:p>
            <w:pPr>
              <w:spacing w:before="40" w:after="40"/>
            </w:pPr>
            <w:r>
              <w:rPr>
                <w:rFonts w:ascii="Calibri" w:hAnsi="Calibri"/>
                <w:sz w:val="20"/>
              </w:rPr>
              <w:t>14</w:t>
            </w:r>
          </w:p>
        </w:tc>
        <w:tc>
          <w:tcPr>
            <w:tcW w:type="dxa" w:w="2351"/>
          </w:tcPr>
          <w:p>
            <w:pPr>
              <w:spacing w:before="40" w:after="40"/>
            </w:pPr>
            <w:r>
              <w:rPr>
                <w:rFonts w:ascii="Calibri" w:hAnsi="Calibri"/>
                <w:sz w:val="20"/>
              </w:rPr>
              <w:t>Industry partnership / LoI for Cell-DT licensing</w:t>
            </w:r>
          </w:p>
        </w:tc>
        <w:tc>
          <w:tcPr>
            <w:tcW w:type="dxa" w:w="2351"/>
          </w:tcPr>
          <w:p>
            <w:pPr>
              <w:spacing w:before="40" w:after="40"/>
            </w:pPr>
            <w:r>
              <w:rPr>
                <w:rFonts w:ascii="Calibri" w:hAnsi="Calibri"/>
                <w:sz w:val="20"/>
              </w:rPr>
              <w:t>≥ 1</w:t>
            </w:r>
          </w:p>
        </w:tc>
        <w:tc>
          <w:tcPr>
            <w:tcW w:type="dxa" w:w="2351"/>
          </w:tcPr>
          <w:p>
            <w:pPr>
              <w:spacing w:before="40" w:after="40"/>
            </w:pPr>
            <w:r>
              <w:rPr>
                <w:rFonts w:ascii="Calibri" w:hAnsi="Calibri"/>
                <w:sz w:val="20"/>
              </w:rPr>
              <w:t>Signed LoI</w:t>
            </w:r>
          </w:p>
        </w:tc>
      </w:tr>
      <w:tr>
        <w:tc>
          <w:tcPr>
            <w:tcW w:type="dxa" w:w="2351"/>
          </w:tcPr>
          <w:p>
            <w:pPr>
              <w:spacing w:before="40" w:after="40"/>
            </w:pPr>
            <w:r>
              <w:rPr>
                <w:rFonts w:ascii="Calibri" w:hAnsi="Calibri"/>
                <w:sz w:val="20"/>
              </w:rPr>
              <w:t>15</w:t>
            </w:r>
          </w:p>
        </w:tc>
        <w:tc>
          <w:tcPr>
            <w:tcW w:type="dxa" w:w="2351"/>
          </w:tcPr>
          <w:p>
            <w:pPr>
              <w:spacing w:before="40" w:after="40"/>
            </w:pPr>
            <w:r>
              <w:rPr>
                <w:rFonts w:ascii="Calibri" w:hAnsi="Calibri"/>
                <w:sz w:val="20"/>
              </w:rPr>
              <w:t>Conference presentations (international)</w:t>
            </w:r>
          </w:p>
        </w:tc>
        <w:tc>
          <w:tcPr>
            <w:tcW w:type="dxa" w:w="2351"/>
          </w:tcPr>
          <w:p>
            <w:pPr>
              <w:spacing w:before="40" w:after="40"/>
            </w:pPr>
            <w:r>
              <w:rPr>
                <w:rFonts w:ascii="Calibri" w:hAnsi="Calibri"/>
                <w:sz w:val="20"/>
              </w:rPr>
              <w:t>≥ 6</w:t>
            </w:r>
          </w:p>
        </w:tc>
        <w:tc>
          <w:tcPr>
            <w:tcW w:type="dxa" w:w="2351"/>
          </w:tcPr>
          <w:p>
            <w:pPr>
              <w:spacing w:before="40" w:after="40"/>
            </w:pPr>
            <w:r>
              <w:rPr>
                <w:rFonts w:ascii="Calibri" w:hAnsi="Calibri"/>
                <w:sz w:val="20"/>
              </w:rPr>
              <w:t>Confirmation letters</w:t>
            </w:r>
          </w:p>
        </w:tc>
      </w:tr>
      <w:tr>
        <w:tc>
          <w:tcPr>
            <w:tcW w:type="dxa" w:w="2351"/>
          </w:tcPr>
          <w:p>
            <w:pPr>
              <w:spacing w:before="40" w:after="40"/>
            </w:pPr>
            <w:r>
              <w:rPr>
                <w:rFonts w:ascii="Calibri" w:hAnsi="Calibri"/>
                <w:b/>
                <w:sz w:val="20"/>
              </w:rPr>
              <w:t>Clinical translation</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rFonts w:ascii="Calibri" w:hAnsi="Calibri"/>
                <w:sz w:val="20"/>
              </w:rPr>
              <w:t>16</w:t>
            </w:r>
          </w:p>
        </w:tc>
        <w:tc>
          <w:tcPr>
            <w:tcW w:type="dxa" w:w="2351"/>
          </w:tcPr>
          <w:p>
            <w:pPr>
              <w:spacing w:before="40" w:after="40"/>
            </w:pPr>
            <w:r>
              <w:rPr>
                <w:rFonts w:ascii="Calibri" w:hAnsi="Calibri"/>
                <w:sz w:val="20"/>
              </w:rPr>
              <w:t>CAII ELISA compatibility with automated platform demonstrated</w:t>
            </w:r>
          </w:p>
        </w:tc>
        <w:tc>
          <w:tcPr>
            <w:tcW w:type="dxa" w:w="2351"/>
          </w:tcPr>
          <w:p>
            <w:pPr>
              <w:spacing w:before="40" w:after="40"/>
            </w:pPr>
            <w:r>
              <w:rPr>
                <w:rFonts w:ascii="Calibri" w:hAnsi="Calibri"/>
                <w:sz w:val="20"/>
              </w:rPr>
              <w:t>Feasibility report (Roche Cobas or equivalent) by M36</w:t>
            </w:r>
          </w:p>
        </w:tc>
        <w:tc>
          <w:tcPr>
            <w:tcW w:type="dxa" w:w="2351"/>
          </w:tcPr>
          <w:p>
            <w:pPr>
              <w:spacing w:before="40" w:after="40"/>
            </w:pPr>
            <w:r>
              <w:rPr>
                <w:rFonts w:ascii="Calibri" w:hAnsi="Calibri"/>
                <w:sz w:val="20"/>
              </w:rPr>
              <w:t>Technical feasibility report</w:t>
            </w:r>
          </w:p>
        </w:tc>
      </w:tr>
    </w:tbl>
    <w:p>
      <w:pPr>
        <w:spacing w:after="120"/>
      </w:pPr>
    </w:p>
    <w:p>
      <w:pPr>
        <w:spacing w:before="80" w:after="80"/>
        <w:pBdr>
          <w:bottom w:val="single" w:sz="6" w:space="1" w:color="auto"/>
        </w:pBdr>
      </w:pPr>
    </w:p>
    <w:p>
      <w:pPr>
        <w:spacing w:before="200" w:after="60"/>
        <w:outlineLvl w:val="2"/>
      </w:pPr>
      <w:r>
        <w:rPr>
          <w:rFonts w:ascii="Calibri" w:hAnsi="Calibri"/>
          <w:b/>
          <w:sz w:val="24"/>
        </w:rPr>
        <w:t>2.2 Potential Societal Impact and EU Policy Relevance</w:t>
      </w:r>
    </w:p>
    <w:p>
      <w:pPr>
        <w:spacing w:before="160" w:after="60"/>
        <w:outlineLvl w:val="3"/>
      </w:pPr>
      <w:r>
        <w:rPr>
          <w:rFonts w:ascii="Calibri" w:hAnsi="Calibri"/>
          <w:b/>
          <w:i/>
          <w:sz w:val="22"/>
        </w:rPr>
        <w:t>2.2.1 Healthy Ageing: The EU Policy Context</w:t>
      </w:r>
    </w:p>
    <w:p>
      <w:pPr>
        <w:spacing w:before="0" w:after="120" w:line="276" w:lineRule="auto"/>
      </w:pPr>
      <w:r>
        <w:rPr>
          <w:rFonts w:ascii="Calibri" w:hAnsi="Calibri"/>
          <w:sz w:val="22"/>
        </w:rPr>
        <w:t xml:space="preserve">Ageing is the primary risk factor for all major non-communicable diseases (cardiovascular, Alzheimer's, cancer, type 2 diabetes, sarcopenia) that collectively account for </w:t>
      </w:r>
      <w:r>
        <w:rPr>
          <w:rFonts w:ascii="Calibri" w:hAnsi="Calibri"/>
          <w:b/>
          <w:sz w:val="22"/>
        </w:rPr>
        <w:t>86% of premature deaths and 77% of the disease burden</w:t>
      </w:r>
      <w:r>
        <w:rPr>
          <w:rFonts w:ascii="Calibri" w:hAnsi="Calibri"/>
          <w:sz w:val="22"/>
        </w:rPr>
        <w:t xml:space="preserve"> in the EU (WHO Europe, 2023). The EU's </w:t>
      </w:r>
      <w:r>
        <w:rPr>
          <w:rFonts w:ascii="Calibri" w:hAnsi="Calibri"/>
          <w:i/>
          <w:sz w:val="22"/>
        </w:rPr>
        <w:t>Healthier Together</w:t>
      </w:r>
      <w:r>
        <w:rPr>
          <w:rFonts w:ascii="Calibri" w:hAnsi="Calibri"/>
          <w:sz w:val="22"/>
        </w:rPr>
        <w:t xml:space="preserve"> initiative (2022–2027) specifically prioritises healthy ageing as a strategic area. CDATA directly addresses this priority by targeting the root molecular cause of ageing.</w:t>
      </w:r>
    </w:p>
    <w:p>
      <w:pPr>
        <w:spacing w:before="0" w:after="120" w:line="276" w:lineRule="auto"/>
      </w:pPr>
      <w:r>
        <w:rPr>
          <w:rFonts w:ascii="Calibri" w:hAnsi="Calibri"/>
          <w:sz w:val="22"/>
        </w:rPr>
        <w:t xml:space="preserve">Georgia, as an EU-associated country since 2023, is committed to alignment with EU health research policy. The CDATA project will generate high-quality Georgian biomarker data (WP2 cohort), contributing to the </w:t>
      </w:r>
      <w:r>
        <w:rPr>
          <w:rFonts w:ascii="Calibri" w:hAnsi="Calibri"/>
          <w:b/>
          <w:sz w:val="22"/>
        </w:rPr>
        <w:t>European Health Data Space</w:t>
      </w:r>
      <w:r>
        <w:rPr>
          <w:rFonts w:ascii="Calibri" w:hAnsi="Calibri"/>
          <w:sz w:val="22"/>
        </w:rPr>
        <w:t xml:space="preserve"> and establishing Georgia as a contributor to EU ageing research infrastructure.</w:t>
      </w:r>
    </w:p>
    <w:p>
      <w:pPr>
        <w:spacing w:before="160" w:after="60"/>
        <w:outlineLvl w:val="3"/>
      </w:pPr>
      <w:r>
        <w:rPr>
          <w:rFonts w:ascii="Calibri" w:hAnsi="Calibri"/>
          <w:b/>
          <w:i/>
          <w:sz w:val="22"/>
        </w:rPr>
        <w:t>2.2.2 Longevity Economy</w:t>
      </w:r>
    </w:p>
    <w:p>
      <w:pPr>
        <w:spacing w:before="0" w:after="120" w:line="276" w:lineRule="auto"/>
      </w:pPr>
      <w:r>
        <w:rPr>
          <w:rFonts w:ascii="Calibri" w:hAnsi="Calibri"/>
          <w:sz w:val="22"/>
        </w:rPr>
        <w:t xml:space="preserve">The global healthy longevity market is projected to reach </w:t>
      </w:r>
      <w:r>
        <w:rPr>
          <w:rFonts w:ascii="Calibri" w:hAnsi="Calibri"/>
          <w:b/>
          <w:sz w:val="22"/>
        </w:rPr>
        <w:t>$600 billion by 2030</w:t>
      </w:r>
      <w:r>
        <w:rPr>
          <w:rFonts w:ascii="Calibri" w:hAnsi="Calibri"/>
          <w:sz w:val="22"/>
        </w:rPr>
        <w:t xml:space="preserve"> (AARP, 2021). CDATA-derived technologies — CAII diagnostic test, personalised Cell-DT — are directly positioned in this market. The project will create the scientific foundation for at least </w:t>
      </w:r>
      <w:r>
        <w:rPr>
          <w:rFonts w:ascii="Calibri" w:hAnsi="Calibri"/>
          <w:b/>
          <w:sz w:val="22"/>
        </w:rPr>
        <w:t>1 spinout company</w:t>
      </w:r>
      <w:r>
        <w:rPr>
          <w:rFonts w:ascii="Calibri" w:hAnsi="Calibri"/>
          <w:sz w:val="22"/>
        </w:rPr>
        <w:t xml:space="preserve"> and generate IP (patent applications for CAII assay methodology and CentrosomeTransplant protocols) by M36.</w:t>
      </w:r>
    </w:p>
    <w:p>
      <w:pPr>
        <w:spacing w:before="160" w:after="60"/>
        <w:outlineLvl w:val="3"/>
      </w:pPr>
      <w:r>
        <w:rPr>
          <w:rFonts w:ascii="Calibri" w:hAnsi="Calibri"/>
          <w:b/>
          <w:i/>
          <w:sz w:val="22"/>
        </w:rPr>
        <w:t>2.2.3 Widening Country Excellence</w:t>
      </w:r>
    </w:p>
    <w:p>
      <w:pPr>
        <w:spacing w:before="0" w:after="120" w:line="276" w:lineRule="auto"/>
      </w:pPr>
      <w:r>
        <w:rPr>
          <w:rFonts w:ascii="Calibri" w:hAnsi="Calibri"/>
          <w:sz w:val="22"/>
        </w:rPr>
        <w:t>Georgia is a Widening country under Horizon Europe. This project will:</w:t>
      </w:r>
    </w:p>
    <w:p>
      <w:pPr>
        <w:pStyle w:val="ListBullet"/>
        <w:spacing w:before="20" w:after="20"/>
      </w:pPr>
      <w:r>
        <w:rPr>
          <w:rFonts w:ascii="Calibri" w:hAnsi="Calibri"/>
          <w:sz w:val="22"/>
        </w:rPr>
        <w:t xml:space="preserve">Establish the </w:t>
      </w:r>
      <w:r>
        <w:rPr>
          <w:rFonts w:ascii="Calibri" w:hAnsi="Calibri"/>
          <w:b/>
          <w:sz w:val="22"/>
        </w:rPr>
        <w:t>first computational ageing research group in Georgia</w:t>
      </w:r>
    </w:p>
    <w:p>
      <w:pPr>
        <w:pStyle w:val="ListBullet"/>
        <w:spacing w:before="20" w:after="20"/>
      </w:pPr>
      <w:r>
        <w:rPr>
          <w:rFonts w:ascii="Calibri" w:hAnsi="Calibri"/>
          <w:sz w:val="22"/>
        </w:rPr>
        <w:t>Equip GTU ABET BME with Leica SP8 STED super-resolution microscopy capability (accessible to the Georgian academic community beyond this project)</w:t>
      </w:r>
    </w:p>
    <w:p>
      <w:pPr>
        <w:pStyle w:val="ListBullet"/>
        <w:spacing w:before="20" w:after="20"/>
      </w:pPr>
      <w:r>
        <w:rPr>
          <w:rFonts w:ascii="Calibri" w:hAnsi="Calibri"/>
          <w:sz w:val="22"/>
        </w:rPr>
        <w:t>Create a longitudinal Georgian Elderly Cohort Biobank (n=288+) — a unique national research asset</w:t>
      </w:r>
    </w:p>
    <w:p>
      <w:pPr>
        <w:pStyle w:val="ListBullet"/>
        <w:spacing w:before="20" w:after="20"/>
      </w:pPr>
      <w:r>
        <w:rPr>
          <w:rFonts w:ascii="Calibri" w:hAnsi="Calibri"/>
          <w:sz w:val="22"/>
        </w:rPr>
        <w:t>Provide Georgian researchers with direct experience of Horizon-level project management and international publication standards</w:t>
      </w:r>
    </w:p>
    <w:p>
      <w:pPr>
        <w:spacing w:before="80" w:after="80"/>
        <w:pBdr>
          <w:bottom w:val="single" w:sz="6" w:space="1" w:color="auto"/>
        </w:pBdr>
      </w:pPr>
    </w:p>
    <w:p>
      <w:pPr>
        <w:spacing w:before="200" w:after="60"/>
        <w:outlineLvl w:val="2"/>
      </w:pPr>
      <w:r>
        <w:rPr>
          <w:rFonts w:ascii="Calibri" w:hAnsi="Calibri"/>
          <w:b/>
          <w:sz w:val="24"/>
        </w:rPr>
        <w:t>2.3 Dissemination, Exploitation and Communication</w:t>
      </w:r>
    </w:p>
    <w:p>
      <w:pPr>
        <w:spacing w:before="160" w:after="60"/>
        <w:outlineLvl w:val="3"/>
      </w:pPr>
      <w:r>
        <w:rPr>
          <w:rFonts w:ascii="Calibri" w:hAnsi="Calibri"/>
          <w:b/>
          <w:i/>
          <w:sz w:val="22"/>
        </w:rPr>
        <w:t>2.3.1 Open Science and Dissemination Plan</w:t>
      </w:r>
    </w:p>
    <w:p>
      <w:pPr>
        <w:spacing w:before="0" w:after="120" w:line="276" w:lineRule="auto"/>
      </w:pPr>
      <w:r>
        <w:rPr>
          <w:rFonts w:ascii="Calibri" w:hAnsi="Calibri"/>
          <w:b/>
          <w:sz w:val="22"/>
        </w:rPr>
        <w:t>Publications:</w:t>
      </w:r>
      <w:r>
        <w:rPr>
          <w:rFonts w:ascii="Calibri" w:hAnsi="Calibri"/>
          <w:sz w:val="22"/>
        </w:rPr>
        <w:t xml:space="preserve"> All publications will be submitted as Open Access (Gold or Green OA where Gold is not feasible). Target journals:</w:t>
      </w:r>
    </w:p>
    <w:p>
      <w:pPr>
        <w:pStyle w:val="ListBullet"/>
        <w:spacing w:before="20" w:after="20"/>
      </w:pPr>
      <w:r>
        <w:rPr>
          <w:rFonts w:ascii="Calibri" w:hAnsi="Calibri"/>
          <w:sz w:val="22"/>
        </w:rPr>
        <w:t xml:space="preserve">WP1 results → </w:t>
      </w:r>
      <w:r>
        <w:rPr>
          <w:rFonts w:ascii="Calibri" w:hAnsi="Calibri"/>
          <w:i/>
          <w:sz w:val="22"/>
        </w:rPr>
        <w:t>Aging Cell</w:t>
      </w:r>
      <w:r>
        <w:rPr>
          <w:rFonts w:ascii="Calibri" w:hAnsi="Calibri"/>
          <w:sz w:val="22"/>
        </w:rPr>
        <w:t xml:space="preserve"> (IF 9.9) or </w:t>
      </w:r>
      <w:r>
        <w:rPr>
          <w:rFonts w:ascii="Calibri" w:hAnsi="Calibri"/>
          <w:i/>
          <w:sz w:val="22"/>
        </w:rPr>
        <w:t>Journal of Cell Biology</w:t>
      </w:r>
    </w:p>
    <w:p>
      <w:pPr>
        <w:pStyle w:val="ListBullet"/>
        <w:spacing w:before="20" w:after="20"/>
      </w:pPr>
      <w:r>
        <w:rPr>
          <w:rFonts w:ascii="Calibri" w:hAnsi="Calibri"/>
          <w:sz w:val="22"/>
        </w:rPr>
        <w:t xml:space="preserve">WP2 results → </w:t>
      </w:r>
      <w:r>
        <w:rPr>
          <w:rFonts w:ascii="Calibri" w:hAnsi="Calibri"/>
          <w:i/>
          <w:sz w:val="22"/>
        </w:rPr>
        <w:t>npj Aging</w:t>
      </w:r>
      <w:r>
        <w:rPr>
          <w:rFonts w:ascii="Calibri" w:hAnsi="Calibri"/>
          <w:sz w:val="22"/>
        </w:rPr>
        <w:t xml:space="preserve"> (Nature Portfolio)</w:t>
      </w:r>
    </w:p>
    <w:p>
      <w:pPr>
        <w:pStyle w:val="ListBullet"/>
        <w:spacing w:before="20" w:after="20"/>
      </w:pPr>
      <w:r>
        <w:rPr>
          <w:rFonts w:ascii="Calibri" w:hAnsi="Calibri"/>
          <w:sz w:val="22"/>
        </w:rPr>
        <w:t xml:space="preserve">WP3 Cell-DT → </w:t>
      </w:r>
      <w:r>
        <w:rPr>
          <w:rFonts w:ascii="Calibri" w:hAnsi="Calibri"/>
          <w:i/>
          <w:sz w:val="22"/>
        </w:rPr>
        <w:t>PLOS Computational Biology</w:t>
      </w:r>
      <w:r>
        <w:rPr>
          <w:rFonts w:ascii="Calibri" w:hAnsi="Calibri"/>
          <w:sz w:val="22"/>
        </w:rPr>
        <w:t xml:space="preserve"> or </w:t>
      </w:r>
      <w:r>
        <w:rPr>
          <w:rFonts w:ascii="Calibri" w:hAnsi="Calibri"/>
          <w:i/>
          <w:sz w:val="22"/>
        </w:rPr>
        <w:t>Bioinformatics</w:t>
      </w:r>
    </w:p>
    <w:p>
      <w:pPr>
        <w:pStyle w:val="ListBullet"/>
        <w:spacing w:before="20" w:after="20"/>
      </w:pPr>
      <w:r>
        <w:rPr>
          <w:rFonts w:ascii="Calibri" w:hAnsi="Calibri"/>
          <w:sz w:val="22"/>
        </w:rPr>
        <w:t xml:space="preserve">WP4 therapeutic PoC → </w:t>
      </w:r>
      <w:r>
        <w:rPr>
          <w:rFonts w:ascii="Calibri" w:hAnsi="Calibri"/>
          <w:i/>
          <w:sz w:val="22"/>
        </w:rPr>
        <w:t>Nature Aging</w:t>
      </w:r>
      <w:r>
        <w:rPr>
          <w:rFonts w:ascii="Calibri" w:hAnsi="Calibri"/>
          <w:sz w:val="22"/>
        </w:rPr>
        <w:t xml:space="preserve"> (brief communication)</w:t>
      </w:r>
    </w:p>
    <w:p>
      <w:pPr>
        <w:spacing w:before="0" w:after="120" w:line="276" w:lineRule="auto"/>
      </w:pPr>
      <w:r>
        <w:rPr>
          <w:rFonts w:ascii="Calibri" w:hAnsi="Calibri"/>
          <w:b/>
          <w:sz w:val="22"/>
        </w:rPr>
        <w:t>Preprints:</w:t>
      </w:r>
      <w:r>
        <w:rPr>
          <w:rFonts w:ascii="Calibri" w:hAnsi="Calibri"/>
          <w:sz w:val="22"/>
        </w:rPr>
        <w:t xml:space="preserve"> bioRxiv deposits at M1 (CDATA theory), M12 (WP1 interim) and M24 (WP2 interim) ensure immediate community access.</w:t>
      </w:r>
    </w:p>
    <w:p>
      <w:pPr>
        <w:spacing w:before="0" w:after="120" w:line="276" w:lineRule="auto"/>
      </w:pPr>
      <w:r>
        <w:rPr>
          <w:rFonts w:ascii="Calibri" w:hAnsi="Calibri"/>
          <w:b/>
          <w:sz w:val="22"/>
        </w:rPr>
        <w:t>Cell-DT code:</w:t>
      </w:r>
      <w:r>
        <w:rPr>
          <w:rFonts w:ascii="Calibri" w:hAnsi="Calibri"/>
          <w:sz w:val="22"/>
        </w:rPr>
        <w:t xml:space="preserve"> Open source at GitHub (djabbat/CDATA-Longevity), MIT licence. Zenodo DOI for each version ensuring persistent citation.</w:t>
      </w:r>
    </w:p>
    <w:p>
      <w:pPr>
        <w:spacing w:before="160" w:after="60"/>
        <w:outlineLvl w:val="3"/>
      </w:pPr>
      <w:r>
        <w:rPr>
          <w:rFonts w:ascii="Calibri" w:hAnsi="Calibri"/>
          <w:b/>
          <w:i/>
          <w:sz w:val="22"/>
        </w:rPr>
        <w:t>2.3.2 Communication to General Public</w:t>
      </w:r>
    </w:p>
    <w:p>
      <w:pPr>
        <w:pStyle w:val="ListBullet"/>
        <w:spacing w:before="20" w:after="20"/>
      </w:pPr>
      <w:r>
        <w:rPr>
          <w:rFonts w:ascii="Calibri" w:hAnsi="Calibri"/>
          <w:b/>
          <w:sz w:val="22"/>
        </w:rPr>
        <w:t>drjaba.com</w:t>
      </w:r>
      <w:r>
        <w:rPr>
          <w:rFonts w:ascii="Calibri" w:hAnsi="Calibri"/>
          <w:sz w:val="22"/>
        </w:rPr>
        <w:t xml:space="preserve"> (existing platform): regular updates, patient-facing summaries in 4 languages (EN/KA/RU/KZ)</w:t>
      </w:r>
    </w:p>
    <w:p>
      <w:pPr>
        <w:pStyle w:val="ListBullet"/>
        <w:spacing w:before="20" w:after="20"/>
      </w:pPr>
      <w:r>
        <w:rPr>
          <w:rFonts w:ascii="Calibri" w:hAnsi="Calibri"/>
          <w:b/>
          <w:sz w:val="22"/>
        </w:rPr>
        <w:t>Social media:</w:t>
      </w:r>
      <w:r>
        <w:rPr>
          <w:rFonts w:ascii="Calibri" w:hAnsi="Calibri"/>
          <w:sz w:val="22"/>
        </w:rPr>
        <w:t xml:space="preserve"> structured communication campaign targeting longevity community</w:t>
      </w:r>
    </w:p>
    <w:p>
      <w:pPr>
        <w:pStyle w:val="ListBullet"/>
        <w:spacing w:before="20" w:after="20"/>
      </w:pPr>
      <w:r>
        <w:rPr>
          <w:rFonts w:ascii="Calibri" w:hAnsi="Calibri"/>
          <w:b/>
          <w:sz w:val="22"/>
        </w:rPr>
        <w:t>Book:</w:t>
      </w:r>
      <w:r>
        <w:rPr>
          <w:rFonts w:ascii="Calibri" w:hAnsi="Calibri"/>
          <w:sz w:val="22"/>
        </w:rPr>
        <w:t xml:space="preserve"> </w:t>
      </w:r>
      <w:r>
        <w:rPr>
          <w:rFonts w:ascii="Calibri" w:hAnsi="Calibri"/>
          <w:i/>
          <w:sz w:val="22"/>
        </w:rPr>
        <w:t>Medicine of Generations</w:t>
      </w:r>
      <w:r>
        <w:rPr>
          <w:rFonts w:ascii="Calibri" w:hAnsi="Calibri"/>
          <w:sz w:val="22"/>
        </w:rPr>
        <w:t xml:space="preserve"> (Jaba Tkemaladze) — translated into EN/KA/KZ — will serve as a public science communication vehicle</w:t>
      </w:r>
    </w:p>
    <w:p>
      <w:pPr>
        <w:spacing w:before="160" w:after="60"/>
        <w:outlineLvl w:val="3"/>
      </w:pPr>
      <w:r>
        <w:rPr>
          <w:rFonts w:ascii="Calibri" w:hAnsi="Calibri"/>
          <w:b/>
          <w:i/>
          <w:sz w:val="22"/>
        </w:rPr>
        <w:t>2.3.3 Exploitation and IP</w:t>
      </w:r>
    </w:p>
    <w:p>
      <w:pPr>
        <w:spacing w:before="0" w:after="120" w:line="276" w:lineRule="auto"/>
      </w:pPr>
      <w:r>
        <w:rPr>
          <w:rFonts w:ascii="Calibri" w:hAnsi="Calibri"/>
          <w:sz w:val="22"/>
        </w:rPr>
        <w:t xml:space="preserve">A </w:t>
      </w:r>
      <w:r>
        <w:rPr>
          <w:rFonts w:ascii="Calibri" w:hAnsi="Calibri"/>
          <w:b/>
          <w:sz w:val="22"/>
        </w:rPr>
        <w:t>Data Management Plan</w:t>
      </w:r>
      <w:r>
        <w:rPr>
          <w:rFonts w:ascii="Calibri" w:hAnsi="Calibri"/>
          <w:sz w:val="22"/>
        </w:rPr>
        <w:t xml:space="preserve"> (DMP) will be established at M3 and updated at M18. Key IP elements:</w:t>
      </w:r>
    </w:p>
    <w:p>
      <w:pPr>
        <w:pStyle w:val="ListBullet"/>
        <w:spacing w:before="20" w:after="20"/>
      </w:pPr>
      <w:r>
        <w:rPr>
          <w:rFonts w:ascii="Calibri" w:hAnsi="Calibri"/>
          <w:sz w:val="22"/>
        </w:rPr>
        <w:t>CAII assay protocol: patent application targeted at M18 (after initial WP1 validation)</w:t>
      </w:r>
    </w:p>
    <w:p>
      <w:pPr>
        <w:pStyle w:val="ListBullet"/>
        <w:spacing w:before="20" w:after="20"/>
      </w:pPr>
      <w:r>
        <w:rPr>
          <w:rFonts w:ascii="Calibri" w:hAnsi="Calibri"/>
          <w:sz w:val="22"/>
        </w:rPr>
        <w:t>CentrosomeTransplant method: provisional patent at M24 (after WP4 PoC)</w:t>
      </w:r>
    </w:p>
    <w:p>
      <w:pPr>
        <w:pStyle w:val="ListBullet"/>
        <w:spacing w:before="20" w:after="20"/>
      </w:pPr>
      <w:r>
        <w:rPr>
          <w:rFonts w:ascii="Calibri" w:hAnsi="Calibri"/>
          <w:sz w:val="22"/>
        </w:rPr>
        <w:t>Cell-DT software: MIT open-source licence; commercial licensing available under dual-licence model for proprietary pharma applications</w:t>
      </w:r>
    </w:p>
    <w:p>
      <w:pPr>
        <w:spacing w:before="0" w:after="120" w:line="276" w:lineRule="auto"/>
      </w:pPr>
      <w:r>
        <w:rPr>
          <w:rFonts w:ascii="Calibri" w:hAnsi="Calibri"/>
          <w:b/>
          <w:sz w:val="22"/>
        </w:rPr>
        <w:t>Exploitation roadmap:</w:t>
      </w:r>
    </w:p>
    <w:p>
      <w:pPr>
        <w:pStyle w:val="ListBullet"/>
        <w:spacing w:before="20" w:after="20"/>
      </w:pPr>
      <w:r>
        <w:rPr>
          <w:rFonts w:ascii="Calibri" w:hAnsi="Calibri"/>
          <w:sz w:val="22"/>
        </w:rPr>
        <w:t>M1–M18: Scientific validation, IP identification</w:t>
      </w:r>
    </w:p>
    <w:p>
      <w:pPr>
        <w:pStyle w:val="ListBullet"/>
        <w:spacing w:before="20" w:after="20"/>
      </w:pPr>
      <w:r>
        <w:rPr>
          <w:rFonts w:ascii="Calibri" w:hAnsi="Calibri"/>
          <w:sz w:val="22"/>
        </w:rPr>
        <w:t>M18–M30: Industry partner engagement (longevity biotech), LoI negotiations</w:t>
      </w:r>
    </w:p>
    <w:p>
      <w:pPr>
        <w:pStyle w:val="ListBullet"/>
        <w:spacing w:before="20" w:after="20"/>
      </w:pPr>
      <w:r>
        <w:rPr>
          <w:rFonts w:ascii="Calibri" w:hAnsi="Calibri"/>
          <w:sz w:val="22"/>
        </w:rPr>
        <w:t>M30–M36: Spinout company scoping; EIC Transition application preparation</w:t>
      </w:r>
    </w:p>
    <w:p>
      <w:pPr>
        <w:spacing w:before="0" w:after="120" w:line="276" w:lineRule="auto"/>
      </w:pPr>
      <w:r>
        <w:rPr>
          <w:rFonts w:ascii="Calibri" w:hAnsi="Calibri"/>
          <w:b/>
          <w:sz w:val="22"/>
        </w:rPr>
        <w:t>CAII clinical translation pathway:</w:t>
      </w:r>
      <w:r>
        <w:rPr>
          <w:rFonts w:ascii="Calibri" w:hAnsi="Calibri"/>
          <w:sz w:val="22"/>
        </w:rPr>
        <w:t xml:space="preserve"> The CAII ELISA assay (developed in WP1 T1.5) will be validated in WP2 on human blood samples. In M30–M36, CAII ELISA compatibility with an automated clinical chemistry analyser (target platform: Roche Cobas or equivalent) will be evaluated in collaboration with a diagnostic industry partner (identified via WP4 industry outreach). This step is designed to demonstrate the regulatory and technical feasibility of CAII as a routine clinical blood test, preparing the ground for an IVD (in vitro diagnostic) development pathway post-project.</w:t>
      </w:r>
    </w:p>
    <w:p>
      <w:pPr>
        <w:spacing w:before="160" w:after="60"/>
        <w:outlineLvl w:val="3"/>
      </w:pPr>
      <w:r>
        <w:rPr>
          <w:rFonts w:ascii="Calibri" w:hAnsi="Calibri"/>
          <w:b/>
          <w:i/>
          <w:sz w:val="22"/>
        </w:rPr>
        <w:t>2.3.4 Summary of Impact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Pr>
                <w:rFonts w:ascii="Calibri" w:hAnsi="Calibri"/>
                <w:b/>
                <w:sz w:val="20"/>
              </w:rPr>
              <w:t>Impact Category</w:t>
            </w:r>
          </w:p>
        </w:tc>
        <w:tc>
          <w:tcPr>
            <w:tcW w:type="dxa" w:w="3135"/>
            <w:shd w:val="clear" w:color="auto" w:fill="D9E1F2"/>
          </w:tcPr>
          <w:p>
            <w:pPr>
              <w:spacing w:before="40" w:after="40"/>
            </w:pPr>
            <w:r>
              <w:rPr>
                <w:rFonts w:ascii="Calibri" w:hAnsi="Calibri"/>
                <w:b/>
                <w:sz w:val="20"/>
              </w:rPr>
              <w:t>Target</w:t>
            </w:r>
          </w:p>
        </w:tc>
        <w:tc>
          <w:tcPr>
            <w:tcW w:type="dxa" w:w="3135"/>
            <w:shd w:val="clear" w:color="auto" w:fill="D9E1F2"/>
          </w:tcPr>
          <w:p>
            <w:pPr>
              <w:spacing w:before="40" w:after="40"/>
            </w:pPr>
            <w:r>
              <w:rPr>
                <w:rFonts w:ascii="Calibri" w:hAnsi="Calibri"/>
                <w:b/>
                <w:sz w:val="20"/>
              </w:rPr>
              <w:t>Indicator</w:t>
            </w:r>
          </w:p>
        </w:tc>
      </w:tr>
      <w:tr>
        <w:tc>
          <w:tcPr>
            <w:tcW w:type="dxa" w:w="3135"/>
          </w:tcPr>
          <w:p>
            <w:pPr>
              <w:spacing w:before="40" w:after="40"/>
            </w:pPr>
            <w:r>
              <w:rPr>
                <w:rFonts w:ascii="Calibri" w:hAnsi="Calibri"/>
                <w:sz w:val="20"/>
              </w:rPr>
              <w:t>Scientific impact</w:t>
            </w:r>
          </w:p>
        </w:tc>
        <w:tc>
          <w:tcPr>
            <w:tcW w:type="dxa" w:w="3135"/>
          </w:tcPr>
          <w:p>
            <w:pPr>
              <w:spacing w:before="40" w:after="40"/>
            </w:pPr>
            <w:r>
              <w:rPr>
                <w:rFonts w:ascii="Calibri" w:hAnsi="Calibri"/>
                <w:sz w:val="20"/>
              </w:rPr>
              <w:t>4+ Q1 publications</w:t>
            </w:r>
          </w:p>
        </w:tc>
        <w:tc>
          <w:tcPr>
            <w:tcW w:type="dxa" w:w="3135"/>
          </w:tcPr>
          <w:p>
            <w:pPr>
              <w:spacing w:before="40" w:after="40"/>
            </w:pPr>
            <w:r>
              <w:rPr>
                <w:rFonts w:ascii="Calibri" w:hAnsi="Calibri"/>
                <w:sz w:val="20"/>
              </w:rPr>
              <w:t>Journal acceptance</w:t>
            </w:r>
          </w:p>
        </w:tc>
      </w:tr>
      <w:tr>
        <w:tc>
          <w:tcPr>
            <w:tcW w:type="dxa" w:w="3135"/>
          </w:tcPr>
          <w:p>
            <w:pPr>
              <w:spacing w:before="40" w:after="40"/>
            </w:pPr>
            <w:r>
              <w:rPr>
                <w:rFonts w:ascii="Calibri" w:hAnsi="Calibri"/>
                <w:sz w:val="20"/>
              </w:rPr>
              <w:t>New diagnostic</w:t>
            </w:r>
          </w:p>
        </w:tc>
        <w:tc>
          <w:tcPr>
            <w:tcW w:type="dxa" w:w="3135"/>
          </w:tcPr>
          <w:p>
            <w:pPr>
              <w:spacing w:before="40" w:after="40"/>
            </w:pPr>
            <w:r>
              <w:rPr>
                <w:rFonts w:ascii="Calibri" w:hAnsi="Calibri"/>
                <w:sz w:val="20"/>
              </w:rPr>
              <w:t>CAII blood assay validated</w:t>
            </w:r>
          </w:p>
        </w:tc>
        <w:tc>
          <w:tcPr>
            <w:tcW w:type="dxa" w:w="3135"/>
          </w:tcPr>
          <w:p>
            <w:pPr>
              <w:spacing w:before="40" w:after="40"/>
            </w:pPr>
            <w:r>
              <w:rPr>
                <w:rFonts w:ascii="Calibri" w:hAnsi="Calibri"/>
                <w:sz w:val="20"/>
              </w:rPr>
              <w:t>WP2 primary endpoint</w:t>
            </w:r>
          </w:p>
        </w:tc>
      </w:tr>
      <w:tr>
        <w:tc>
          <w:tcPr>
            <w:tcW w:type="dxa" w:w="3135"/>
          </w:tcPr>
          <w:p>
            <w:pPr>
              <w:spacing w:before="40" w:after="40"/>
            </w:pPr>
            <w:r>
              <w:rPr>
                <w:rFonts w:ascii="Calibri" w:hAnsi="Calibri"/>
                <w:sz w:val="20"/>
              </w:rPr>
              <w:t>New therapy concept</w:t>
            </w:r>
          </w:p>
        </w:tc>
        <w:tc>
          <w:tcPr>
            <w:tcW w:type="dxa" w:w="3135"/>
          </w:tcPr>
          <w:p>
            <w:pPr>
              <w:spacing w:before="40" w:after="40"/>
            </w:pPr>
            <w:r>
              <w:rPr>
                <w:rFonts w:ascii="Calibri" w:hAnsi="Calibri"/>
                <w:sz w:val="20"/>
              </w:rPr>
              <w:t>CentrosomeTransplant PoC</w:t>
            </w:r>
          </w:p>
        </w:tc>
        <w:tc>
          <w:tcPr>
            <w:tcW w:type="dxa" w:w="3135"/>
          </w:tcPr>
          <w:p>
            <w:pPr>
              <w:spacing w:before="40" w:after="40"/>
            </w:pPr>
            <w:r>
              <w:rPr>
                <w:rFonts w:ascii="Calibri" w:hAnsi="Calibri"/>
                <w:sz w:val="20"/>
              </w:rPr>
              <w:t>WP4 in vitro data</w:t>
            </w:r>
          </w:p>
        </w:tc>
      </w:tr>
      <w:tr>
        <w:tc>
          <w:tcPr>
            <w:tcW w:type="dxa" w:w="3135"/>
          </w:tcPr>
          <w:p>
            <w:pPr>
              <w:spacing w:before="40" w:after="40"/>
            </w:pPr>
            <w:r>
              <w:rPr>
                <w:rFonts w:ascii="Calibri" w:hAnsi="Calibri"/>
                <w:sz w:val="20"/>
              </w:rPr>
              <w:t>Digital platform</w:t>
            </w:r>
          </w:p>
        </w:tc>
        <w:tc>
          <w:tcPr>
            <w:tcW w:type="dxa" w:w="3135"/>
          </w:tcPr>
          <w:p>
            <w:pPr>
              <w:spacing w:before="40" w:after="40"/>
            </w:pPr>
            <w:r>
              <w:rPr>
                <w:rFonts w:ascii="Calibri" w:hAnsi="Calibri"/>
                <w:sz w:val="20"/>
              </w:rPr>
              <w:t>Cell-DT v2.0 (open source)</w:t>
            </w:r>
          </w:p>
        </w:tc>
        <w:tc>
          <w:tcPr>
            <w:tcW w:type="dxa" w:w="3135"/>
          </w:tcPr>
          <w:p>
            <w:pPr>
              <w:spacing w:before="40" w:after="40"/>
            </w:pPr>
            <w:r>
              <w:rPr>
                <w:rFonts w:ascii="Calibri" w:hAnsi="Calibri"/>
                <w:sz w:val="20"/>
              </w:rPr>
              <w:t>GitHub release + Zenodo DOI</w:t>
            </w:r>
          </w:p>
        </w:tc>
      </w:tr>
      <w:tr>
        <w:tc>
          <w:tcPr>
            <w:tcW w:type="dxa" w:w="3135"/>
          </w:tcPr>
          <w:p>
            <w:pPr>
              <w:spacing w:before="40" w:after="40"/>
            </w:pPr>
            <w:r>
              <w:rPr>
                <w:rFonts w:ascii="Calibri" w:hAnsi="Calibri"/>
                <w:sz w:val="20"/>
              </w:rPr>
              <w:t>Georgian capacity</w:t>
            </w:r>
          </w:p>
        </w:tc>
        <w:tc>
          <w:tcPr>
            <w:tcW w:type="dxa" w:w="3135"/>
          </w:tcPr>
          <w:p>
            <w:pPr>
              <w:spacing w:before="40" w:after="40"/>
            </w:pPr>
            <w:r>
              <w:rPr>
                <w:rFonts w:ascii="Calibri" w:hAnsi="Calibri"/>
                <w:sz w:val="20"/>
              </w:rPr>
              <w:t>Biobank n=288, GTU STED confocal</w:t>
            </w:r>
          </w:p>
        </w:tc>
        <w:tc>
          <w:tcPr>
            <w:tcW w:type="dxa" w:w="3135"/>
          </w:tcPr>
          <w:p>
            <w:pPr>
              <w:spacing w:before="40" w:after="40"/>
            </w:pPr>
            <w:r>
              <w:rPr>
                <w:rFonts w:ascii="Calibri" w:hAnsi="Calibri"/>
                <w:sz w:val="20"/>
              </w:rPr>
              <w:t>WP2 enrolment; equipment delivery</w:t>
            </w:r>
          </w:p>
        </w:tc>
      </w:tr>
      <w:tr>
        <w:tc>
          <w:tcPr>
            <w:tcW w:type="dxa" w:w="3135"/>
          </w:tcPr>
          <w:p>
            <w:pPr>
              <w:spacing w:before="40" w:after="40"/>
            </w:pPr>
            <w:r>
              <w:rPr>
                <w:rFonts w:ascii="Calibri" w:hAnsi="Calibri"/>
                <w:sz w:val="20"/>
              </w:rPr>
              <w:t>IP</w:t>
            </w:r>
          </w:p>
        </w:tc>
        <w:tc>
          <w:tcPr>
            <w:tcW w:type="dxa" w:w="3135"/>
          </w:tcPr>
          <w:p>
            <w:pPr>
              <w:spacing w:before="40" w:after="40"/>
            </w:pPr>
            <w:r>
              <w:rPr>
                <w:rFonts w:ascii="Calibri" w:hAnsi="Calibri"/>
                <w:sz w:val="20"/>
              </w:rPr>
              <w:t>1–2 patent applications</w:t>
            </w:r>
          </w:p>
        </w:tc>
        <w:tc>
          <w:tcPr>
            <w:tcW w:type="dxa" w:w="3135"/>
          </w:tcPr>
          <w:p>
            <w:pPr>
              <w:spacing w:before="40" w:after="40"/>
            </w:pPr>
            <w:r>
              <w:rPr>
                <w:rFonts w:ascii="Calibri" w:hAnsi="Calibri"/>
                <w:sz w:val="20"/>
              </w:rPr>
              <w:t>Filing receipts</w:t>
            </w:r>
          </w:p>
        </w:tc>
      </w:tr>
      <w:tr>
        <w:tc>
          <w:tcPr>
            <w:tcW w:type="dxa" w:w="3135"/>
          </w:tcPr>
          <w:p>
            <w:pPr>
              <w:spacing w:before="40" w:after="40"/>
            </w:pPr>
            <w:r>
              <w:rPr>
                <w:rFonts w:ascii="Calibri" w:hAnsi="Calibri"/>
                <w:sz w:val="20"/>
              </w:rPr>
              <w:t>Translation</w:t>
            </w:r>
          </w:p>
        </w:tc>
        <w:tc>
          <w:tcPr>
            <w:tcW w:type="dxa" w:w="3135"/>
          </w:tcPr>
          <w:p>
            <w:pPr>
              <w:spacing w:before="40" w:after="40"/>
            </w:pPr>
            <w:r>
              <w:rPr>
                <w:rFonts w:ascii="Calibri" w:hAnsi="Calibri"/>
                <w:sz w:val="20"/>
              </w:rPr>
              <w:t>LoI with industry</w:t>
            </w:r>
          </w:p>
        </w:tc>
        <w:tc>
          <w:tcPr>
            <w:tcW w:type="dxa" w:w="3135"/>
          </w:tcPr>
          <w:p>
            <w:pPr>
              <w:spacing w:before="40" w:after="40"/>
            </w:pPr>
            <w:r>
              <w:rPr>
                <w:rFonts w:ascii="Calibri" w:hAnsi="Calibri"/>
                <w:sz w:val="20"/>
              </w:rPr>
              <w:t>Signed document</w:t>
            </w:r>
          </w:p>
        </w:tc>
      </w:tr>
    </w:tbl>
    <w:p>
      <w:pPr>
        <w:spacing w:after="120"/>
      </w:pPr>
    </w:p>
    <w:p>
      <w:pPr>
        <w:spacing w:before="80" w:after="80"/>
        <w:pBdr>
          <w:bottom w:val="single" w:sz="6" w:space="1" w:color="auto"/>
        </w:pBdr>
      </w:pPr>
    </w:p>
    <w:p>
      <w:pPr>
        <w:spacing w:before="280" w:after="80"/>
        <w:outlineLvl w:val="1"/>
      </w:pPr>
      <w:r>
        <w:rPr>
          <w:rFonts w:ascii="Calibri" w:hAnsi="Calibri"/>
          <w:b/>
          <w:sz w:val="28"/>
        </w:rPr>
        <w:t>3. Quality and Efficiency of the Implementation</w:t>
      </w:r>
    </w:p>
    <w:p>
      <w:pPr>
        <w:spacing w:before="200" w:after="60"/>
        <w:outlineLvl w:val="2"/>
      </w:pPr>
      <w:r>
        <w:rPr>
          <w:rFonts w:ascii="Calibri" w:hAnsi="Calibri"/>
          <w:b/>
          <w:sz w:val="24"/>
        </w:rPr>
        <w:t>3.1 Work Plan and Resources</w:t>
      </w:r>
    </w:p>
    <w:p>
      <w:pPr>
        <w:spacing w:before="160" w:after="60"/>
        <w:outlineLvl w:val="3"/>
      </w:pPr>
      <w:r>
        <w:rPr>
          <w:rFonts w:ascii="Calibri" w:hAnsi="Calibri"/>
          <w:b/>
          <w:i/>
          <w:sz w:val="22"/>
        </w:rPr>
        <w:t>Table 3.1a: List of Work Packages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Pr>
                <w:rFonts w:ascii="Calibri" w:hAnsi="Calibri"/>
                <w:b/>
                <w:sz w:val="20"/>
              </w:rPr>
              <w:t>WP</w:t>
            </w:r>
          </w:p>
        </w:tc>
        <w:tc>
          <w:tcPr>
            <w:tcW w:type="dxa" w:w="1568"/>
            <w:shd w:val="clear" w:color="auto" w:fill="D9E1F2"/>
          </w:tcPr>
          <w:p>
            <w:pPr>
              <w:spacing w:before="40" w:after="40"/>
            </w:pPr>
            <w:r>
              <w:rPr>
                <w:rFonts w:ascii="Calibri" w:hAnsi="Calibri"/>
                <w:b/>
                <w:sz w:val="20"/>
              </w:rPr>
              <w:t>Title</w:t>
            </w:r>
          </w:p>
        </w:tc>
        <w:tc>
          <w:tcPr>
            <w:tcW w:type="dxa" w:w="1568"/>
            <w:shd w:val="clear" w:color="auto" w:fill="D9E1F2"/>
          </w:tcPr>
          <w:p>
            <w:pPr>
              <w:spacing w:before="40" w:after="40"/>
            </w:pPr>
            <w:r>
              <w:rPr>
                <w:rFonts w:ascii="Calibri" w:hAnsi="Calibri"/>
                <w:b/>
                <w:sz w:val="20"/>
              </w:rPr>
              <w:t>Lead</w:t>
            </w:r>
          </w:p>
        </w:tc>
        <w:tc>
          <w:tcPr>
            <w:tcW w:type="dxa" w:w="1568"/>
            <w:shd w:val="clear" w:color="auto" w:fill="D9E1F2"/>
          </w:tcPr>
          <w:p>
            <w:pPr>
              <w:spacing w:before="40" w:after="40"/>
            </w:pPr>
            <w:r>
              <w:rPr>
                <w:rFonts w:ascii="Calibri" w:hAnsi="Calibri"/>
                <w:b/>
                <w:sz w:val="20"/>
              </w:rPr>
              <w:t>Start</w:t>
            </w:r>
          </w:p>
        </w:tc>
        <w:tc>
          <w:tcPr>
            <w:tcW w:type="dxa" w:w="1568"/>
            <w:shd w:val="clear" w:color="auto" w:fill="D9E1F2"/>
          </w:tcPr>
          <w:p>
            <w:pPr>
              <w:spacing w:before="40" w:after="40"/>
            </w:pPr>
            <w:r>
              <w:rPr>
                <w:rFonts w:ascii="Calibri" w:hAnsi="Calibri"/>
                <w:b/>
                <w:sz w:val="20"/>
              </w:rPr>
              <w:t>End</w:t>
            </w:r>
          </w:p>
        </w:tc>
        <w:tc>
          <w:tcPr>
            <w:tcW w:type="dxa" w:w="1568"/>
            <w:shd w:val="clear" w:color="auto" w:fill="D9E1F2"/>
          </w:tcPr>
          <w:p>
            <w:pPr>
              <w:spacing w:before="40" w:after="40"/>
            </w:pPr>
            <w:r>
              <w:rPr>
                <w:rFonts w:ascii="Calibri" w:hAnsi="Calibri"/>
                <w:b/>
                <w:sz w:val="20"/>
              </w:rPr>
              <w:t>Budget (direct)</w:t>
            </w:r>
          </w:p>
        </w:tc>
      </w:tr>
      <w:tr>
        <w:tc>
          <w:tcPr>
            <w:tcW w:type="dxa" w:w="1568"/>
          </w:tcPr>
          <w:p>
            <w:pPr>
              <w:spacing w:before="40" w:after="40"/>
            </w:pPr>
            <w:r>
              <w:rPr>
                <w:rFonts w:ascii="Calibri" w:hAnsi="Calibri"/>
                <w:sz w:val="20"/>
              </w:rPr>
              <w:t>WP1</w:t>
            </w:r>
          </w:p>
        </w:tc>
        <w:tc>
          <w:tcPr>
            <w:tcW w:type="dxa" w:w="1568"/>
          </w:tcPr>
          <w:p>
            <w:pPr>
              <w:spacing w:before="40" w:after="40"/>
            </w:pPr>
            <w:r>
              <w:rPr>
                <w:rFonts w:ascii="Calibri" w:hAnsi="Calibri"/>
                <w:sz w:val="20"/>
              </w:rPr>
              <w:t>In Vitro Centriole Damage Validation</w:t>
            </w:r>
          </w:p>
        </w:tc>
        <w:tc>
          <w:tcPr>
            <w:tcW w:type="dxa" w:w="1568"/>
          </w:tcPr>
          <w:p>
            <w:pPr>
              <w:spacing w:before="40" w:after="40"/>
            </w:pPr>
            <w:r>
              <w:rPr>
                <w:rFonts w:ascii="Calibri" w:hAnsi="Calibri"/>
                <w:sz w:val="20"/>
              </w:rPr>
              <w:t>GTU</w:t>
            </w:r>
          </w:p>
        </w:tc>
        <w:tc>
          <w:tcPr>
            <w:tcW w:type="dxa" w:w="1568"/>
          </w:tcPr>
          <w:p>
            <w:pPr>
              <w:spacing w:before="40" w:after="40"/>
            </w:pPr>
            <w:r>
              <w:rPr>
                <w:rFonts w:ascii="Calibri" w:hAnsi="Calibri"/>
                <w:sz w:val="20"/>
              </w:rPr>
              <w:t>M1</w:t>
            </w:r>
          </w:p>
        </w:tc>
        <w:tc>
          <w:tcPr>
            <w:tcW w:type="dxa" w:w="1568"/>
          </w:tcPr>
          <w:p>
            <w:pPr>
              <w:spacing w:before="40" w:after="40"/>
            </w:pPr>
            <w:r>
              <w:rPr>
                <w:rFonts w:ascii="Calibri" w:hAnsi="Calibri"/>
                <w:sz w:val="20"/>
              </w:rPr>
              <w:t>M24</w:t>
            </w:r>
          </w:p>
        </w:tc>
        <w:tc>
          <w:tcPr>
            <w:tcW w:type="dxa" w:w="1568"/>
          </w:tcPr>
          <w:p>
            <w:pPr>
              <w:spacing w:before="40" w:after="40"/>
            </w:pPr>
            <w:r>
              <w:rPr>
                <w:rFonts w:ascii="Calibri" w:hAnsi="Calibri"/>
                <w:sz w:val="20"/>
              </w:rPr>
              <w:t>€800,000</w:t>
            </w:r>
          </w:p>
        </w:tc>
      </w:tr>
      <w:tr>
        <w:tc>
          <w:tcPr>
            <w:tcW w:type="dxa" w:w="1568"/>
          </w:tcPr>
          <w:p>
            <w:pPr>
              <w:spacing w:before="40" w:after="40"/>
            </w:pPr>
            <w:r>
              <w:rPr>
                <w:rFonts w:ascii="Calibri" w:hAnsi="Calibri"/>
                <w:sz w:val="20"/>
              </w:rPr>
              <w:t>WP2</w:t>
            </w:r>
          </w:p>
        </w:tc>
        <w:tc>
          <w:tcPr>
            <w:tcW w:type="dxa" w:w="1568"/>
          </w:tcPr>
          <w:p>
            <w:pPr>
              <w:spacing w:before="40" w:after="40"/>
            </w:pPr>
            <w:r>
              <w:rPr>
                <w:rFonts w:ascii="Calibri" w:hAnsi="Calibri"/>
                <w:sz w:val="20"/>
              </w:rPr>
              <w:t>Human Longitudinal Cohort Study</w:t>
            </w:r>
          </w:p>
        </w:tc>
        <w:tc>
          <w:tcPr>
            <w:tcW w:type="dxa" w:w="1568"/>
          </w:tcPr>
          <w:p>
            <w:pPr>
              <w:spacing w:before="40" w:after="40"/>
            </w:pPr>
            <w:r>
              <w:rPr>
                <w:rFonts w:ascii="Calibri" w:hAnsi="Calibri"/>
                <w:sz w:val="20"/>
              </w:rPr>
              <w:t>GTU</w:t>
            </w:r>
          </w:p>
        </w:tc>
        <w:tc>
          <w:tcPr>
            <w:tcW w:type="dxa" w:w="1568"/>
          </w:tcPr>
          <w:p>
            <w:pPr>
              <w:spacing w:before="40" w:after="40"/>
            </w:pPr>
            <w:r>
              <w:rPr>
                <w:rFonts w:ascii="Calibri" w:hAnsi="Calibri"/>
                <w:sz w:val="20"/>
              </w:rPr>
              <w:t>M3</w:t>
            </w:r>
          </w:p>
        </w:tc>
        <w:tc>
          <w:tcPr>
            <w:tcW w:type="dxa" w:w="1568"/>
          </w:tcPr>
          <w:p>
            <w:pPr>
              <w:spacing w:before="40" w:after="40"/>
            </w:pPr>
            <w:r>
              <w:rPr>
                <w:rFonts w:ascii="Calibri" w:hAnsi="Calibri"/>
                <w:sz w:val="20"/>
              </w:rPr>
              <w:t>M36</w:t>
            </w:r>
          </w:p>
        </w:tc>
        <w:tc>
          <w:tcPr>
            <w:tcW w:type="dxa" w:w="1568"/>
          </w:tcPr>
          <w:p>
            <w:pPr>
              <w:spacing w:before="40" w:after="40"/>
            </w:pPr>
            <w:r>
              <w:rPr>
                <w:rFonts w:ascii="Calibri" w:hAnsi="Calibri"/>
                <w:sz w:val="20"/>
              </w:rPr>
              <w:t>€450,000</w:t>
            </w:r>
          </w:p>
        </w:tc>
      </w:tr>
      <w:tr>
        <w:tc>
          <w:tcPr>
            <w:tcW w:type="dxa" w:w="1568"/>
          </w:tcPr>
          <w:p>
            <w:pPr>
              <w:spacing w:before="40" w:after="40"/>
            </w:pPr>
            <w:r>
              <w:rPr>
                <w:rFonts w:ascii="Calibri" w:hAnsi="Calibri"/>
                <w:sz w:val="20"/>
              </w:rPr>
              <w:t>WP3</w:t>
            </w:r>
          </w:p>
        </w:tc>
        <w:tc>
          <w:tcPr>
            <w:tcW w:type="dxa" w:w="1568"/>
          </w:tcPr>
          <w:p>
            <w:pPr>
              <w:spacing w:before="40" w:after="40"/>
            </w:pPr>
            <w:r>
              <w:rPr>
                <w:rFonts w:ascii="Calibri" w:hAnsi="Calibri"/>
                <w:sz w:val="20"/>
              </w:rPr>
              <w:t>Cell Digital Twin Integration &amp; Validation</w:t>
            </w:r>
          </w:p>
        </w:tc>
        <w:tc>
          <w:tcPr>
            <w:tcW w:type="dxa" w:w="1568"/>
          </w:tcPr>
          <w:p>
            <w:pPr>
              <w:spacing w:before="40" w:after="40"/>
            </w:pPr>
            <w:r>
              <w:rPr>
                <w:rFonts w:ascii="Calibri" w:hAnsi="Calibri"/>
                <w:sz w:val="20"/>
              </w:rPr>
              <w:t>Phasis Academy</w:t>
            </w:r>
          </w:p>
        </w:tc>
        <w:tc>
          <w:tcPr>
            <w:tcW w:type="dxa" w:w="1568"/>
          </w:tcPr>
          <w:p>
            <w:pPr>
              <w:spacing w:before="40" w:after="40"/>
            </w:pPr>
            <w:r>
              <w:rPr>
                <w:rFonts w:ascii="Calibri" w:hAnsi="Calibri"/>
                <w:sz w:val="20"/>
              </w:rPr>
              <w:t>M6</w:t>
            </w:r>
          </w:p>
        </w:tc>
        <w:tc>
          <w:tcPr>
            <w:tcW w:type="dxa" w:w="1568"/>
          </w:tcPr>
          <w:p>
            <w:pPr>
              <w:spacing w:before="40" w:after="40"/>
            </w:pPr>
            <w:r>
              <w:rPr>
                <w:rFonts w:ascii="Calibri" w:hAnsi="Calibri"/>
                <w:sz w:val="20"/>
              </w:rPr>
              <w:t>M36</w:t>
            </w:r>
          </w:p>
        </w:tc>
        <w:tc>
          <w:tcPr>
            <w:tcW w:type="dxa" w:w="1568"/>
          </w:tcPr>
          <w:p>
            <w:pPr>
              <w:spacing w:before="40" w:after="40"/>
            </w:pPr>
            <w:r>
              <w:rPr>
                <w:rFonts w:ascii="Calibri" w:hAnsi="Calibri"/>
                <w:sz w:val="20"/>
              </w:rPr>
              <w:t>€400,000</w:t>
            </w:r>
          </w:p>
        </w:tc>
      </w:tr>
      <w:tr>
        <w:tc>
          <w:tcPr>
            <w:tcW w:type="dxa" w:w="1568"/>
          </w:tcPr>
          <w:p>
            <w:pPr>
              <w:spacing w:before="40" w:after="40"/>
            </w:pPr>
            <w:r>
              <w:rPr>
                <w:rFonts w:ascii="Calibri" w:hAnsi="Calibri"/>
                <w:sz w:val="20"/>
              </w:rPr>
              <w:t>WP4</w:t>
            </w:r>
          </w:p>
        </w:tc>
        <w:tc>
          <w:tcPr>
            <w:tcW w:type="dxa" w:w="1568"/>
          </w:tcPr>
          <w:p>
            <w:pPr>
              <w:spacing w:before="40" w:after="40"/>
            </w:pPr>
            <w:r>
              <w:rPr>
                <w:rFonts w:ascii="Calibri" w:hAnsi="Calibri"/>
                <w:sz w:val="20"/>
              </w:rPr>
              <w:t>Therapeutic PoC and Translation</w:t>
            </w:r>
          </w:p>
        </w:tc>
        <w:tc>
          <w:tcPr>
            <w:tcW w:type="dxa" w:w="1568"/>
          </w:tcPr>
          <w:p>
            <w:pPr>
              <w:spacing w:before="40" w:after="40"/>
            </w:pPr>
            <w:r>
              <w:rPr>
                <w:rFonts w:ascii="Calibri" w:hAnsi="Calibri"/>
                <w:sz w:val="20"/>
              </w:rPr>
              <w:t>Phasis Academy</w:t>
            </w:r>
          </w:p>
        </w:tc>
        <w:tc>
          <w:tcPr>
            <w:tcW w:type="dxa" w:w="1568"/>
          </w:tcPr>
          <w:p>
            <w:pPr>
              <w:spacing w:before="40" w:after="40"/>
            </w:pPr>
            <w:r>
              <w:rPr>
                <w:rFonts w:ascii="Calibri" w:hAnsi="Calibri"/>
                <w:sz w:val="20"/>
              </w:rPr>
              <w:t>M6</w:t>
            </w:r>
          </w:p>
        </w:tc>
        <w:tc>
          <w:tcPr>
            <w:tcW w:type="dxa" w:w="1568"/>
          </w:tcPr>
          <w:p>
            <w:pPr>
              <w:spacing w:before="40" w:after="40"/>
            </w:pPr>
            <w:r>
              <w:rPr>
                <w:rFonts w:ascii="Calibri" w:hAnsi="Calibri"/>
                <w:sz w:val="20"/>
              </w:rPr>
              <w:t>M36</w:t>
            </w:r>
          </w:p>
        </w:tc>
        <w:tc>
          <w:tcPr>
            <w:tcW w:type="dxa" w:w="1568"/>
          </w:tcPr>
          <w:p>
            <w:pPr>
              <w:spacing w:before="40" w:after="40"/>
            </w:pPr>
            <w:r>
              <w:rPr>
                <w:rFonts w:ascii="Calibri" w:hAnsi="Calibri"/>
                <w:sz w:val="20"/>
              </w:rPr>
              <w:t>€350,000</w:t>
            </w:r>
          </w:p>
        </w:tc>
      </w:tr>
      <w:tr>
        <w:tc>
          <w:tcPr>
            <w:tcW w:type="dxa" w:w="1568"/>
          </w:tcPr>
          <w:p>
            <w:pPr>
              <w:spacing w:before="40" w:after="40"/>
            </w:pPr>
            <w:r>
              <w:rPr>
                <w:rFonts w:ascii="Calibri" w:hAnsi="Calibri"/>
                <w:b/>
                <w:sz w:val="20"/>
              </w:rPr>
              <w:t>Total direct</w:t>
            </w: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r>
              <w:rPr>
                <w:rFonts w:ascii="Calibri" w:hAnsi="Calibri"/>
                <w:b/>
                <w:sz w:val="20"/>
              </w:rPr>
              <w:t>€2,000,000</w:t>
            </w:r>
          </w:p>
        </w:tc>
      </w:tr>
      <w:tr>
        <w:tc>
          <w:tcPr>
            <w:tcW w:type="dxa" w:w="1568"/>
          </w:tcPr>
          <w:p>
            <w:pPr>
              <w:spacing w:before="40" w:after="40"/>
            </w:pPr>
            <w:r>
              <w:rPr>
                <w:rFonts w:ascii="Calibri" w:hAnsi="Calibri"/>
                <w:b/>
                <w:sz w:val="20"/>
              </w:rPr>
              <w:t>Indirect (25%)</w:t>
            </w: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r>
              <w:rPr>
                <w:rFonts w:ascii="Calibri" w:hAnsi="Calibri"/>
                <w:b/>
                <w:sz w:val="20"/>
              </w:rPr>
              <w:t>€500,000</w:t>
            </w:r>
          </w:p>
        </w:tc>
      </w:tr>
      <w:tr>
        <w:tc>
          <w:tcPr>
            <w:tcW w:type="dxa" w:w="1568"/>
          </w:tcPr>
          <w:p>
            <w:pPr>
              <w:spacing w:before="40" w:after="40"/>
            </w:pPr>
            <w:r>
              <w:rPr>
                <w:rFonts w:ascii="Calibri" w:hAnsi="Calibri"/>
                <w:b/>
                <w:sz w:val="20"/>
              </w:rPr>
              <w:t>Total</w:t>
            </w: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p>
        </w:tc>
        <w:tc>
          <w:tcPr>
            <w:tcW w:type="dxa" w:w="1568"/>
          </w:tcPr>
          <w:p>
            <w:pPr>
              <w:spacing w:before="40" w:after="40"/>
            </w:pPr>
            <w:r>
              <w:rPr>
                <w:rFonts w:ascii="Calibri" w:hAnsi="Calibri"/>
                <w:b/>
                <w:sz w:val="20"/>
              </w:rPr>
              <w:t>€2,500,000</w:t>
            </w:r>
          </w:p>
        </w:tc>
      </w:tr>
    </w:tbl>
    <w:p>
      <w:pPr>
        <w:spacing w:after="120"/>
      </w:pPr>
    </w:p>
    <w:p>
      <w:pPr>
        <w:spacing w:before="160" w:after="60"/>
        <w:outlineLvl w:val="3"/>
      </w:pPr>
      <w:r>
        <w:rPr>
          <w:rFonts w:ascii="Calibri" w:hAnsi="Calibri"/>
          <w:b/>
          <w:i/>
          <w:sz w:val="22"/>
        </w:rPr>
        <w:t>Table 3.1b: Work Package Descriptions</w:t>
      </w:r>
    </w:p>
    <w:p>
      <w:pPr>
        <w:spacing w:before="0" w:after="120" w:line="276" w:lineRule="auto"/>
      </w:pPr>
      <w:r>
        <w:rPr>
          <w:rFonts w:ascii="Calibri" w:hAnsi="Calibri"/>
          <w:b/>
          <w:sz w:val="22"/>
        </w:rPr>
        <w:t>WP1 — In Vitro Centriole Damage Validation</w:t>
      </w:r>
      <w:r>
        <w:rPr>
          <w:rFonts w:ascii="Calibri" w:hAnsi="Calibri"/>
          <w:sz w:val="22"/>
        </w:rPr>
        <w:t xml:space="preserve"> (Lead: GTU, M1–M24, €800K)</w:t>
      </w:r>
    </w:p>
    <w:p>
      <w:pPr>
        <w:spacing w:before="0" w:after="120" w:line="276" w:lineRule="auto"/>
      </w:pPr>
      <w:r>
        <w:rPr>
          <w:rFonts w:ascii="Calibri" w:hAnsi="Calibri"/>
          <w:i/>
          <w:sz w:val="22"/>
        </w:rPr>
        <w:t>Objective:</w:t>
      </w:r>
      <w:r>
        <w:rPr>
          <w:rFonts w:ascii="Calibri" w:hAnsi="Calibri"/>
          <w:sz w:val="22"/>
        </w:rPr>
        <w:t xml:space="preserve"> Establish CDATA mechanistic validity in human cell models; deliver quantitative PTM-burden → CAII → cilia/spindle dysfunction dose-response relationships for Cell-DT parameterisation.</w:t>
      </w:r>
    </w:p>
    <w:p>
      <w:pPr>
        <w:spacing w:before="0" w:after="120" w:line="276" w:lineRule="auto"/>
      </w:pPr>
      <w:r>
        <w:rPr>
          <w:rFonts w:ascii="Calibri" w:hAnsi="Calibri"/>
          <w:i/>
          <w:sz w:val="22"/>
        </w:rPr>
        <w:t>Key tasks:</w:t>
      </w:r>
    </w:p>
    <w:p>
      <w:pPr>
        <w:pStyle w:val="ListBullet"/>
        <w:spacing w:before="20" w:after="20"/>
      </w:pPr>
      <w:r>
        <w:rPr>
          <w:rFonts w:ascii="Calibri" w:hAnsi="Calibri"/>
          <w:sz w:val="22"/>
        </w:rPr>
        <w:t>T1.1 (M1–M6): Establish cell model panel (HeLa, IMR90, CD34⁺ EPC isolation from 30 consented donors). SOP development for CAII scoring and U-ExM.</w:t>
      </w:r>
    </w:p>
    <w:p>
      <w:pPr>
        <w:pStyle w:val="ListBullet"/>
        <w:spacing w:before="20" w:after="20"/>
      </w:pPr>
      <w:r>
        <w:rPr>
          <w:rFonts w:ascii="Calibri" w:hAnsi="Calibri"/>
          <w:sz w:val="22"/>
        </w:rPr>
        <w:t>T1.2 (M3–M12): PTM induction dose-response experiments (H₂O₂, OA, Taxol series; n=6 replicates per condition). Primary readout: CAII, cilia length, spindle fidelity.</w:t>
      </w:r>
    </w:p>
    <w:p>
      <w:pPr>
        <w:pStyle w:val="ListBullet"/>
        <w:spacing w:before="20" w:after="20"/>
      </w:pPr>
      <w:r>
        <w:rPr>
          <w:rFonts w:ascii="Calibri" w:hAnsi="Calibri"/>
          <w:sz w:val="22"/>
        </w:rPr>
        <w:t>T1.3 (M6–M18): STED super-resolution imaging of centriolar appendage proteins (CEP164/CEP89/Ninein/CEP170). Quantitative nanotopology of PTM-burdened vs. young centrioles.</w:t>
      </w:r>
    </w:p>
    <w:p>
      <w:pPr>
        <w:pStyle w:val="ListBullet"/>
        <w:spacing w:before="20" w:after="20"/>
      </w:pPr>
      <w:r>
        <w:rPr>
          <w:rFonts w:ascii="Calibri" w:hAnsi="Calibri"/>
          <w:sz w:val="22"/>
        </w:rPr>
        <w:t>T1.4 (M12–M24): EPC isolation, CAII measurement in young (age 25–35) vs. old (age 65–75) donors (n=20 per group). First human ex vivo validation of CAII.</w:t>
      </w:r>
    </w:p>
    <w:p>
      <w:pPr>
        <w:pStyle w:val="ListBullet"/>
        <w:spacing w:before="20" w:after="20"/>
      </w:pPr>
      <w:r>
        <w:rPr>
          <w:rFonts w:ascii="Calibri" w:hAnsi="Calibri"/>
          <w:sz w:val="22"/>
        </w:rPr>
        <w:t>T1.5 (M18–M24): CEP164 ELISA assay development and validation (for blood-based CAII in WP2).</w:t>
      </w:r>
    </w:p>
    <w:p>
      <w:pPr>
        <w:spacing w:before="0" w:after="120" w:line="276" w:lineRule="auto"/>
      </w:pPr>
      <w:r>
        <w:rPr>
          <w:rFonts w:ascii="Calibri" w:hAnsi="Calibri"/>
          <w:i/>
          <w:sz w:val="22"/>
        </w:rPr>
        <w:t>Major deliverables:</w:t>
      </w:r>
    </w:p>
    <w:p>
      <w:pPr>
        <w:pStyle w:val="ListBullet"/>
        <w:spacing w:before="20" w:after="20"/>
      </w:pPr>
      <w:r>
        <w:rPr>
          <w:rFonts w:ascii="Calibri" w:hAnsi="Calibri"/>
          <w:sz w:val="22"/>
        </w:rPr>
        <w:t>D1.1 (M6): Cell model panel established; SOPs submitted to GTU Ethics</w:t>
      </w:r>
    </w:p>
    <w:p>
      <w:pPr>
        <w:pStyle w:val="ListBullet"/>
        <w:spacing w:before="20" w:after="20"/>
      </w:pPr>
      <w:r>
        <w:rPr>
          <w:rFonts w:ascii="Calibri" w:hAnsi="Calibri"/>
          <w:sz w:val="22"/>
        </w:rPr>
        <w:t>D1.2 (M12): PTM dose-response dataset (open data, Zenodo)</w:t>
      </w:r>
    </w:p>
    <w:p>
      <w:pPr>
        <w:pStyle w:val="ListBullet"/>
        <w:spacing w:before="20" w:after="20"/>
      </w:pPr>
      <w:r>
        <w:rPr>
          <w:rFonts w:ascii="Calibri" w:hAnsi="Calibri"/>
          <w:sz w:val="22"/>
        </w:rPr>
        <w:t>D1.3 (M18): STED imaging dataset; CAII nanotopology paper submitted</w:t>
      </w:r>
    </w:p>
    <w:p>
      <w:pPr>
        <w:pStyle w:val="ListBullet"/>
        <w:spacing w:before="20" w:after="20"/>
      </w:pPr>
      <w:r>
        <w:rPr>
          <w:rFonts w:ascii="Calibri" w:hAnsi="Calibri"/>
          <w:sz w:val="22"/>
        </w:rPr>
        <w:t>D1.4 (M24): CEP164 ELISA validated; WP1 final report</w:t>
      </w:r>
    </w:p>
    <w:p>
      <w:pPr>
        <w:spacing w:before="0" w:after="120" w:line="276" w:lineRule="auto"/>
      </w:pPr>
      <w:r>
        <w:rPr>
          <w:rFonts w:ascii="Calibri" w:hAnsi="Calibri"/>
          <w:i/>
          <w:sz w:val="22"/>
        </w:rPr>
        <w:t>Equipment:</w:t>
      </w:r>
      <w:r>
        <w:rPr>
          <w:rFonts w:ascii="Calibri" w:hAnsi="Calibri"/>
          <w:sz w:val="22"/>
        </w:rPr>
        <w:t xml:space="preserve"> Leica SP8 STED acquisition (€120K, new instrument at GTU core facility; the existing Zeiss LSM 700 continues for standard confocal); Miltenyi MACS EasySep (€15K); standard cell culture consumables (€180K); reagents (€120K); open-access confocal time (€50K).</w:t>
      </w:r>
    </w:p>
    <w:p>
      <w:pPr>
        <w:spacing w:before="80" w:after="80"/>
        <w:pBdr>
          <w:bottom w:val="single" w:sz="6" w:space="1" w:color="auto"/>
        </w:pBdr>
      </w:pPr>
    </w:p>
    <w:p>
      <w:pPr>
        <w:spacing w:before="0" w:after="120" w:line="276" w:lineRule="auto"/>
      </w:pPr>
      <w:r>
        <w:rPr>
          <w:rFonts w:ascii="Calibri" w:hAnsi="Calibri"/>
          <w:b/>
          <w:sz w:val="22"/>
        </w:rPr>
        <w:t>WP2 — Human Longitudinal Cohort Study</w:t>
      </w:r>
      <w:r>
        <w:rPr>
          <w:rFonts w:ascii="Calibri" w:hAnsi="Calibri"/>
          <w:sz w:val="22"/>
        </w:rPr>
        <w:t xml:space="preserve"> (Lead: GTU, M3–M36, €450K)</w:t>
      </w:r>
    </w:p>
    <w:p>
      <w:pPr>
        <w:spacing w:before="0" w:after="120" w:line="276" w:lineRule="auto"/>
      </w:pPr>
      <w:r>
        <w:rPr>
          <w:rFonts w:ascii="Calibri" w:hAnsi="Calibri"/>
          <w:i/>
          <w:sz w:val="22"/>
        </w:rPr>
        <w:t>Objective:</w:t>
      </w:r>
      <w:r>
        <w:rPr>
          <w:rFonts w:ascii="Calibri" w:hAnsi="Calibri"/>
          <w:sz w:val="22"/>
        </w:rPr>
        <w:t xml:space="preserve"> Correlate CAII index with clinical ageing phenotypes (Fried frailty, cognitive decline, immune senescence) in a Georgian elderly cohort (n=288 enrolled, 240 evaluable) at baseline and 2-year follow-up.</w:t>
      </w:r>
    </w:p>
    <w:p>
      <w:pPr>
        <w:spacing w:before="0" w:after="120" w:line="276" w:lineRule="auto"/>
      </w:pPr>
      <w:r>
        <w:rPr>
          <w:rFonts w:ascii="Calibri" w:hAnsi="Calibri"/>
          <w:i/>
          <w:sz w:val="22"/>
        </w:rPr>
        <w:t>Key tasks:</w:t>
      </w:r>
    </w:p>
    <w:p>
      <w:pPr>
        <w:pStyle w:val="ListBullet"/>
        <w:spacing w:before="20" w:after="20"/>
      </w:pPr>
      <w:r>
        <w:rPr>
          <w:rFonts w:ascii="Calibri" w:hAnsi="Calibri"/>
          <w:sz w:val="22"/>
        </w:rPr>
        <w:t>T2.1 (M3–M9): Ethics approval (GTU IRB + national), participant recruitment launch (Tbilisi polyclinics, 12 sites), informed consent (two-stage Mini-Cog screen → written consent)</w:t>
      </w:r>
    </w:p>
    <w:p>
      <w:pPr>
        <w:pStyle w:val="ListBullet"/>
        <w:spacing w:before="20" w:after="20"/>
      </w:pPr>
      <w:r>
        <w:rPr>
          <w:rFonts w:ascii="Calibri" w:hAnsi="Calibri"/>
          <w:sz w:val="22"/>
        </w:rPr>
        <w:t xml:space="preserve">T2.2 (M6–M18): Baseline assessment (n=288): CAII, CEP164, HRV index, epigenetic age, telomere length, clinical phenotyping (Fried, MMSE, grip). </w:t>
      </w:r>
      <w:r>
        <w:rPr>
          <w:rFonts w:ascii="Calibri" w:hAnsi="Calibri"/>
          <w:b/>
          <w:sz w:val="22"/>
        </w:rPr>
        <w:t>All biomarker analyses performed blinded to clinical phenotype data; unblinding occurs only after the baseline dataset is locked (M18).</w:t>
      </w:r>
    </w:p>
    <w:p>
      <w:pPr>
        <w:pStyle w:val="ListBullet"/>
        <w:spacing w:before="20" w:after="20"/>
      </w:pPr>
      <w:r>
        <w:rPr>
          <w:rFonts w:ascii="Calibri" w:hAnsi="Calibri"/>
          <w:sz w:val="22"/>
        </w:rPr>
        <w:t>T2.3 (M18–M36): 2-year follow-up: repeat all biomarkers; incident frailty, hospitalisations, mortality recorded</w:t>
      </w:r>
    </w:p>
    <w:p>
      <w:pPr>
        <w:pStyle w:val="ListBullet"/>
        <w:spacing w:before="20" w:after="20"/>
      </w:pPr>
      <w:r>
        <w:rPr>
          <w:rFonts w:ascii="Calibri" w:hAnsi="Calibri"/>
          <w:sz w:val="22"/>
        </w:rPr>
        <w:t xml:space="preserve">T2.4 (M24–M36): Statistical analysis: logistic regression (primary endpoint), correlation analysis (secondary endpoints), survival analysis. </w:t>
      </w:r>
      <w:r>
        <w:rPr>
          <w:rFonts w:ascii="Calibri" w:hAnsi="Calibri"/>
          <w:b/>
          <w:sz w:val="22"/>
        </w:rPr>
        <w:t>Biomarker data are analysed by a biostatistician blinded to clinical outcomes; unblinding occurs only after the final dataset is locked (M30).</w:t>
      </w:r>
    </w:p>
    <w:p>
      <w:pPr>
        <w:pStyle w:val="ListBullet"/>
        <w:spacing w:before="20" w:after="20"/>
      </w:pPr>
      <w:r>
        <w:rPr>
          <w:rFonts w:ascii="Calibri" w:hAnsi="Calibri"/>
          <w:sz w:val="22"/>
        </w:rPr>
        <w:t>T2.5 (M30–M36): Biobank formalisation; GDPR consent for future use; transfer to National Biobank of Georgia</w:t>
      </w:r>
    </w:p>
    <w:p>
      <w:pPr>
        <w:spacing w:before="0" w:after="120" w:line="276" w:lineRule="auto"/>
      </w:pPr>
      <w:r>
        <w:rPr>
          <w:rFonts w:ascii="Calibri" w:hAnsi="Calibri"/>
          <w:i/>
          <w:sz w:val="22"/>
        </w:rPr>
        <w:t>Major deliverables:</w:t>
      </w:r>
    </w:p>
    <w:p>
      <w:pPr>
        <w:pStyle w:val="ListBullet"/>
        <w:spacing w:before="20" w:after="20"/>
      </w:pPr>
      <w:r>
        <w:rPr>
          <w:rFonts w:ascii="Calibri" w:hAnsi="Calibri"/>
          <w:sz w:val="22"/>
        </w:rPr>
        <w:t>D2.1 (M9): Ethics approval + participant recruitment protocol</w:t>
      </w:r>
    </w:p>
    <w:p>
      <w:pPr>
        <w:pStyle w:val="ListBullet"/>
        <w:spacing w:before="20" w:after="20"/>
      </w:pPr>
      <w:r>
        <w:rPr>
          <w:rFonts w:ascii="Calibri" w:hAnsi="Calibri"/>
          <w:sz w:val="22"/>
        </w:rPr>
        <w:t>D2.2 (M18): Baseline dataset deposited in European Health Data Space (EHDS)</w:t>
      </w:r>
    </w:p>
    <w:p>
      <w:pPr>
        <w:pStyle w:val="ListBullet"/>
        <w:spacing w:before="20" w:after="20"/>
      </w:pPr>
      <w:r>
        <w:rPr>
          <w:rFonts w:ascii="Calibri" w:hAnsi="Calibri"/>
          <w:sz w:val="22"/>
        </w:rPr>
        <w:t>D2.3 (M36): 2-year follow-up analysis; paper submitted to npj Aging</w:t>
      </w:r>
    </w:p>
    <w:p>
      <w:pPr>
        <w:spacing w:before="0" w:after="120" w:line="276" w:lineRule="auto"/>
      </w:pPr>
      <w:r>
        <w:rPr>
          <w:rFonts w:ascii="Calibri" w:hAnsi="Calibri"/>
          <w:i/>
          <w:sz w:val="22"/>
        </w:rPr>
        <w:t>Personnel:</w:t>
      </w:r>
      <w:r>
        <w:rPr>
          <w:rFonts w:ascii="Calibri" w:hAnsi="Calibri"/>
          <w:sz w:val="22"/>
        </w:rPr>
        <w:t xml:space="preserve"> 2 clinical research nurses (full-time, M3–M36); 1 biostatistician (0.5 FTE, M18–M36); 1 laboratory technician (full-time, M3–M24).</w:t>
      </w:r>
    </w:p>
    <w:p>
      <w:pPr>
        <w:spacing w:before="80" w:after="80"/>
        <w:pBdr>
          <w:bottom w:val="single" w:sz="6" w:space="1" w:color="auto"/>
        </w:pBdr>
      </w:pPr>
    </w:p>
    <w:p>
      <w:pPr>
        <w:spacing w:before="0" w:after="120" w:line="276" w:lineRule="auto"/>
      </w:pPr>
      <w:r>
        <w:rPr>
          <w:rFonts w:ascii="Calibri" w:hAnsi="Calibri"/>
          <w:b/>
          <w:sz w:val="22"/>
        </w:rPr>
        <w:t>WP3 — Cell Digital Twin Integration and Validation</w:t>
      </w:r>
      <w:r>
        <w:rPr>
          <w:rFonts w:ascii="Calibri" w:hAnsi="Calibri"/>
          <w:sz w:val="22"/>
        </w:rPr>
        <w:t xml:space="preserve"> (Lead: Phasis Academy, M6–M36, €400K)</w:t>
      </w:r>
    </w:p>
    <w:p>
      <w:pPr>
        <w:spacing w:before="0" w:after="120" w:line="276" w:lineRule="auto"/>
      </w:pPr>
      <w:r>
        <w:rPr>
          <w:rFonts w:ascii="Calibri" w:hAnsi="Calibri"/>
          <w:i/>
          <w:sz w:val="22"/>
        </w:rPr>
        <w:t>Objective:</w:t>
      </w:r>
      <w:r>
        <w:rPr>
          <w:rFonts w:ascii="Calibri" w:hAnsi="Calibri"/>
          <w:sz w:val="22"/>
        </w:rPr>
        <w:t xml:space="preserve"> Integrate WP1/WP2 empirical data into Cell-DT; produce a validated, personalised longevity prediction engine; release Cell-DT v2.0 as open-source software.</w:t>
      </w:r>
    </w:p>
    <w:p>
      <w:pPr>
        <w:spacing w:before="0" w:after="120" w:line="276" w:lineRule="auto"/>
      </w:pPr>
      <w:r>
        <w:rPr>
          <w:rFonts w:ascii="Calibri" w:hAnsi="Calibri"/>
          <w:i/>
          <w:sz w:val="22"/>
        </w:rPr>
        <w:t>Key tasks:</w:t>
      </w:r>
    </w:p>
    <w:p>
      <w:pPr>
        <w:pStyle w:val="ListBullet"/>
        <w:spacing w:before="20" w:after="20"/>
      </w:pPr>
      <w:r>
        <w:rPr>
          <w:rFonts w:ascii="Calibri" w:hAnsi="Calibri"/>
          <w:sz w:val="22"/>
        </w:rPr>
        <w:t>T3.1 (M6–M18): Bayesian parameter estimation using WP1 dose-response data; replace Cell-DT defaults with experimentally derived kinetic rates. Rust Engineer position opened at M1 via international recruitment (open to EU and Horizon Associated Country candidates).</w:t>
      </w:r>
    </w:p>
    <w:p>
      <w:pPr>
        <w:pStyle w:val="ListBullet"/>
        <w:spacing w:before="20" w:after="20"/>
      </w:pPr>
      <w:r>
        <w:rPr>
          <w:rFonts w:ascii="Calibri" w:hAnsi="Calibri"/>
          <w:sz w:val="22"/>
        </w:rPr>
        <w:t>T3.2 (M12–M24): Implement personalised biological age (pBA) module: given individual CAII + epigenetic age → infer DamageParams via posterior sampling (Stan)</w:t>
      </w:r>
    </w:p>
    <w:p>
      <w:pPr>
        <w:pStyle w:val="ListBullet"/>
        <w:spacing w:before="20" w:after="20"/>
      </w:pPr>
      <w:r>
        <w:rPr>
          <w:rFonts w:ascii="Calibri" w:hAnsi="Calibri"/>
          <w:sz w:val="22"/>
        </w:rPr>
        <w:t>T3.3 (M18–M30): Validate pBA against WP2 outcomes (AUROC for 2-year frailty progression; target AUROC &gt; 0.75)</w:t>
      </w:r>
    </w:p>
    <w:p>
      <w:pPr>
        <w:pStyle w:val="ListBullet"/>
        <w:spacing w:before="20" w:after="20"/>
      </w:pPr>
      <w:r>
        <w:rPr>
          <w:rFonts w:ascii="Calibri" w:hAnsi="Calibri"/>
          <w:sz w:val="22"/>
        </w:rPr>
        <w:t>T3.4 (M24–M36): Implement remaining roadmap items (asymmetric_cytoqc_module, IGF-1 axis, PTM CSV exporter)</w:t>
      </w:r>
    </w:p>
    <w:p>
      <w:pPr>
        <w:pStyle w:val="ListBullet"/>
        <w:spacing w:before="20" w:after="20"/>
      </w:pPr>
      <w:r>
        <w:rPr>
          <w:rFonts w:ascii="Calibri" w:hAnsi="Calibri"/>
          <w:sz w:val="22"/>
        </w:rPr>
        <w:t>T3.5 (M28–M36): Cell-DT v2.0 release (GitHub + Zenodo DOI); PyO3 Python bindings; documentation; tutorial notebooks</w:t>
      </w:r>
    </w:p>
    <w:p>
      <w:pPr>
        <w:spacing w:before="0" w:after="120" w:line="276" w:lineRule="auto"/>
      </w:pPr>
      <w:r>
        <w:rPr>
          <w:rFonts w:ascii="Calibri" w:hAnsi="Calibri"/>
          <w:i/>
          <w:sz w:val="22"/>
        </w:rPr>
        <w:t>Major deliverables:</w:t>
      </w:r>
    </w:p>
    <w:p>
      <w:pPr>
        <w:pStyle w:val="ListBullet"/>
        <w:spacing w:before="20" w:after="20"/>
      </w:pPr>
      <w:r>
        <w:rPr>
          <w:rFonts w:ascii="Calibri" w:hAnsi="Calibri"/>
          <w:sz w:val="22"/>
        </w:rPr>
        <w:t>D3.1 (M18): Cell-DT v1.5 with experimental parameters (Zenodo prerelease)</w:t>
      </w:r>
    </w:p>
    <w:p>
      <w:pPr>
        <w:pStyle w:val="ListBullet"/>
        <w:spacing w:before="20" w:after="20"/>
      </w:pPr>
      <w:r>
        <w:rPr>
          <w:rFonts w:ascii="Calibri" w:hAnsi="Calibri"/>
          <w:sz w:val="22"/>
        </w:rPr>
        <w:t>D3.2 (M24): pBA module validated on WP2 interim data; PLOS Comp Bio submission</w:t>
      </w:r>
    </w:p>
    <w:p>
      <w:pPr>
        <w:pStyle w:val="ListBullet"/>
        <w:spacing w:before="20" w:after="20"/>
      </w:pPr>
      <w:r>
        <w:rPr>
          <w:rFonts w:ascii="Calibri" w:hAnsi="Calibri"/>
          <w:sz w:val="22"/>
        </w:rPr>
        <w:t>D3.3 (M36): Cell-DT v2.0 public release; Python package on PyPI</w:t>
      </w:r>
    </w:p>
    <w:p>
      <w:pPr>
        <w:spacing w:before="0" w:after="120" w:line="276" w:lineRule="auto"/>
      </w:pPr>
      <w:r>
        <w:rPr>
          <w:rFonts w:ascii="Calibri" w:hAnsi="Calibri"/>
          <w:i/>
          <w:sz w:val="22"/>
        </w:rPr>
        <w:t>Software requirements:</w:t>
      </w:r>
      <w:r>
        <w:rPr>
          <w:rFonts w:ascii="Calibri" w:hAnsi="Calibri"/>
          <w:sz w:val="22"/>
        </w:rPr>
        <w:t xml:space="preserve"> Rust 2021, hecs, Rayon, PyO3; Stan/PyMC for Bayesian fitting; all changes require passing cargo test suite (≥ 439 tests + new tests for added modules).</w:t>
      </w:r>
    </w:p>
    <w:p>
      <w:pPr>
        <w:spacing w:before="80" w:after="80"/>
        <w:pBdr>
          <w:bottom w:val="single" w:sz="6" w:space="1" w:color="auto"/>
        </w:pBdr>
      </w:pPr>
    </w:p>
    <w:p>
      <w:pPr>
        <w:spacing w:before="0" w:after="120" w:line="276" w:lineRule="auto"/>
      </w:pPr>
      <w:r>
        <w:rPr>
          <w:rFonts w:ascii="Calibri" w:hAnsi="Calibri"/>
          <w:b/>
          <w:sz w:val="22"/>
        </w:rPr>
        <w:t>WP4 — Therapeutic PoC and Translation</w:t>
      </w:r>
      <w:r>
        <w:rPr>
          <w:rFonts w:ascii="Calibri" w:hAnsi="Calibri"/>
          <w:sz w:val="22"/>
        </w:rPr>
        <w:t xml:space="preserve"> (Lead: Phasis Academy, M6–M36, €350K)</w:t>
      </w:r>
    </w:p>
    <w:p>
      <w:pPr>
        <w:spacing w:before="0" w:after="120" w:line="276" w:lineRule="auto"/>
      </w:pPr>
      <w:r>
        <w:rPr>
          <w:rFonts w:ascii="Calibri" w:hAnsi="Calibri"/>
          <w:i/>
          <w:sz w:val="22"/>
        </w:rPr>
        <w:t>Objective:</w:t>
      </w:r>
      <w:r>
        <w:rPr>
          <w:rFonts w:ascii="Calibri" w:hAnsi="Calibri"/>
          <w:sz w:val="22"/>
        </w:rPr>
        <w:t xml:space="preserve"> Test Cell-DT-predicted CDATA-specific interventions in </w:t>
      </w:r>
      <w:r>
        <w:rPr>
          <w:rFonts w:ascii="Calibri" w:hAnsi="Calibri"/>
          <w:i/>
          <w:sz w:val="22"/>
        </w:rPr>
        <w:t>in vitro</w:t>
      </w:r>
      <w:r>
        <w:rPr>
          <w:rFonts w:ascii="Calibri" w:hAnsi="Calibri"/>
          <w:sz w:val="22"/>
        </w:rPr>
        <w:t xml:space="preserve"> ageing models; file patent applications; secure industry LoI for Cell-DT licensing.</w:t>
      </w:r>
    </w:p>
    <w:p>
      <w:pPr>
        <w:spacing w:before="0" w:after="120" w:line="276" w:lineRule="auto"/>
      </w:pPr>
      <w:r>
        <w:rPr>
          <w:rFonts w:ascii="Calibri" w:hAnsi="Calibri"/>
          <w:i/>
          <w:sz w:val="22"/>
        </w:rPr>
        <w:t>Key tasks:</w:t>
      </w:r>
    </w:p>
    <w:p>
      <w:pPr>
        <w:pStyle w:val="ListBullet"/>
        <w:spacing w:before="20" w:after="20"/>
      </w:pPr>
      <w:r>
        <w:rPr>
          <w:rFonts w:ascii="Calibri" w:hAnsi="Calibri"/>
          <w:b/>
          <w:sz w:val="22"/>
        </w:rPr>
        <w:t>T4.0 (M6–M18):</w:t>
      </w:r>
      <w:r>
        <w:rPr>
          <w:rFonts w:ascii="Calibri" w:hAnsi="Calibri"/>
          <w:sz w:val="22"/>
        </w:rPr>
        <w:t xml:space="preserve"> Preparatory phase — cell line preparation, dose-finding for top-3 interventions, SOP development; first results feed into T4.2 design.</w:t>
      </w:r>
    </w:p>
    <w:p>
      <w:pPr>
        <w:pStyle w:val="ListBullet"/>
        <w:spacing w:before="20" w:after="20"/>
      </w:pPr>
      <w:r>
        <w:rPr>
          <w:rFonts w:ascii="Calibri" w:hAnsi="Calibri"/>
          <w:sz w:val="22"/>
        </w:rPr>
        <w:t xml:space="preserve">T4.1 (M1): </w:t>
      </w:r>
      <w:r>
        <w:rPr>
          <w:rFonts w:ascii="Calibri" w:hAnsi="Calibri"/>
          <w:b/>
          <w:sz w:val="22"/>
        </w:rPr>
        <w:t>Consortium Agreement signed</w:t>
      </w:r>
      <w:r>
        <w:rPr>
          <w:rFonts w:ascii="Calibri" w:hAnsi="Calibri"/>
          <w:sz w:val="22"/>
        </w:rPr>
        <w:t xml:space="preserve"> (Milestone M1); IP policy agreed at project start.</w:t>
      </w:r>
    </w:p>
    <w:p>
      <w:pPr>
        <w:pStyle w:val="ListBullet"/>
        <w:spacing w:before="20" w:after="20"/>
      </w:pPr>
      <w:r>
        <w:rPr>
          <w:rFonts w:ascii="Calibri" w:hAnsi="Calibri"/>
          <w:sz w:val="22"/>
        </w:rPr>
        <w:t>T4.2 (M18–M30): In vitro testing of top-3 Cell-DT-predicted interventions (CentrosomeTransplant, CafdRetainer, Senolytics) in high-passage IMR90 and CD34⁺ EPCs; readouts: CAII, SA-β-Gal, EdU, cilia length</w:t>
      </w:r>
    </w:p>
    <w:p>
      <w:pPr>
        <w:pStyle w:val="ListBullet"/>
        <w:spacing w:before="20" w:after="20"/>
      </w:pPr>
      <w:r>
        <w:rPr>
          <w:rFonts w:ascii="Calibri" w:hAnsi="Calibri"/>
          <w:sz w:val="22"/>
        </w:rPr>
        <w:t>T4.3 (M24–M30): Cell-DT prediction vs. experimental comparison (Pearson r); refine intervention parameters in silico using WP4 feedback</w:t>
      </w:r>
    </w:p>
    <w:p>
      <w:pPr>
        <w:pStyle w:val="ListBullet"/>
        <w:spacing w:before="20" w:after="20"/>
      </w:pPr>
      <w:r>
        <w:rPr>
          <w:rFonts w:ascii="Calibri" w:hAnsi="Calibri"/>
          <w:sz w:val="22"/>
        </w:rPr>
        <w:t>T4.4 (M24–M30): Patent application (CAII assay + CEP164 ELISA); provisional filing in Georgia + PCT</w:t>
      </w:r>
    </w:p>
    <w:p>
      <w:pPr>
        <w:pStyle w:val="ListBullet"/>
        <w:spacing w:before="20" w:after="20"/>
      </w:pPr>
      <w:r>
        <w:rPr>
          <w:rFonts w:ascii="Calibri" w:hAnsi="Calibri"/>
          <w:sz w:val="22"/>
        </w:rPr>
        <w:t>T4.5 (M30–M36): Industry outreach (longevity biotech, pharma CRO); EIC Transition concept note preparation</w:t>
      </w:r>
    </w:p>
    <w:p>
      <w:pPr>
        <w:pStyle w:val="ListBullet"/>
        <w:spacing w:before="20" w:after="20"/>
      </w:pPr>
      <w:r>
        <w:rPr>
          <w:rFonts w:ascii="Calibri" w:hAnsi="Calibri"/>
          <w:sz w:val="22"/>
        </w:rPr>
        <w:t>T4.6 (M36): Final dissemination conference (Tbilisi; invited EU speakers); FORGE-AI network leverage for EU visibility</w:t>
      </w:r>
    </w:p>
    <w:p>
      <w:pPr>
        <w:spacing w:before="0" w:after="120" w:line="276" w:lineRule="auto"/>
      </w:pPr>
      <w:r>
        <w:rPr>
          <w:rFonts w:ascii="Calibri" w:hAnsi="Calibri"/>
          <w:i/>
          <w:sz w:val="22"/>
        </w:rPr>
        <w:t>Major deliverables:</w:t>
      </w:r>
    </w:p>
    <w:p>
      <w:pPr>
        <w:pStyle w:val="ListBullet"/>
        <w:spacing w:before="20" w:after="20"/>
      </w:pPr>
      <w:r>
        <w:rPr>
          <w:rFonts w:ascii="Calibri" w:hAnsi="Calibri"/>
          <w:sz w:val="22"/>
        </w:rPr>
        <w:t>D4.1 (M1): Consortium Agreement signed (Milestone M1)</w:t>
      </w:r>
    </w:p>
    <w:p>
      <w:pPr>
        <w:pStyle w:val="ListBullet"/>
        <w:spacing w:before="20" w:after="20"/>
      </w:pPr>
      <w:r>
        <w:rPr>
          <w:rFonts w:ascii="Calibri" w:hAnsi="Calibri"/>
          <w:sz w:val="22"/>
        </w:rPr>
        <w:t>D4.2 (M30): WP4 therapeutic PoC report; patent filing receipt</w:t>
      </w:r>
    </w:p>
    <w:p>
      <w:pPr>
        <w:pStyle w:val="ListBullet"/>
        <w:spacing w:before="20" w:after="20"/>
      </w:pPr>
      <w:r>
        <w:rPr>
          <w:rFonts w:ascii="Calibri" w:hAnsi="Calibri"/>
          <w:sz w:val="22"/>
        </w:rPr>
        <w:t>D4.3 (M30): Industry LoI (≥1 signed)</w:t>
      </w:r>
    </w:p>
    <w:p>
      <w:pPr>
        <w:pStyle w:val="ListBullet"/>
        <w:spacing w:before="20" w:after="20"/>
      </w:pPr>
      <w:r>
        <w:rPr>
          <w:rFonts w:ascii="Calibri" w:hAnsi="Calibri"/>
          <w:sz w:val="22"/>
        </w:rPr>
        <w:t>D4.4 (M36): Final project report; EIC Transition concept note</w:t>
      </w:r>
    </w:p>
    <w:p>
      <w:pPr>
        <w:spacing w:before="80" w:after="80"/>
        <w:pBdr>
          <w:bottom w:val="single" w:sz="6" w:space="1" w:color="auto"/>
        </w:pBdr>
      </w:pPr>
    </w:p>
    <w:p>
      <w:pPr>
        <w:spacing w:before="160" w:after="60"/>
        <w:outlineLvl w:val="3"/>
      </w:pPr>
      <w:r>
        <w:rPr>
          <w:rFonts w:ascii="Calibri" w:hAnsi="Calibri"/>
          <w:b/>
          <w:i/>
          <w:sz w:val="22"/>
        </w:rPr>
        <w:t>Table 3.1c: List of Deliverables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Pr>
                <w:rFonts w:ascii="Calibri" w:hAnsi="Calibri"/>
                <w:b/>
                <w:sz w:val="20"/>
              </w:rPr>
              <w:t>D#</w:t>
            </w:r>
          </w:p>
        </w:tc>
        <w:tc>
          <w:tcPr>
            <w:tcW w:type="dxa" w:w="1881"/>
            <w:shd w:val="clear" w:color="auto" w:fill="D9E1F2"/>
          </w:tcPr>
          <w:p>
            <w:pPr>
              <w:spacing w:before="40" w:after="40"/>
            </w:pPr>
            <w:r>
              <w:rPr>
                <w:rFonts w:ascii="Calibri" w:hAnsi="Calibri"/>
                <w:b/>
                <w:sz w:val="20"/>
              </w:rPr>
              <w:t>Title</w:t>
            </w:r>
          </w:p>
        </w:tc>
        <w:tc>
          <w:tcPr>
            <w:tcW w:type="dxa" w:w="1881"/>
            <w:shd w:val="clear" w:color="auto" w:fill="D9E1F2"/>
          </w:tcPr>
          <w:p>
            <w:pPr>
              <w:spacing w:before="40" w:after="40"/>
            </w:pPr>
            <w:r>
              <w:rPr>
                <w:rFonts w:ascii="Calibri" w:hAnsi="Calibri"/>
                <w:b/>
                <w:sz w:val="20"/>
              </w:rPr>
              <w:t>WP</w:t>
            </w:r>
          </w:p>
        </w:tc>
        <w:tc>
          <w:tcPr>
            <w:tcW w:type="dxa" w:w="1881"/>
            <w:shd w:val="clear" w:color="auto" w:fill="D9E1F2"/>
          </w:tcPr>
          <w:p>
            <w:pPr>
              <w:spacing w:before="40" w:after="40"/>
            </w:pPr>
            <w:r>
              <w:rPr>
                <w:rFonts w:ascii="Calibri" w:hAnsi="Calibri"/>
                <w:b/>
                <w:sz w:val="20"/>
              </w:rPr>
              <w:t>Type</w:t>
            </w:r>
          </w:p>
        </w:tc>
        <w:tc>
          <w:tcPr>
            <w:tcW w:type="dxa" w:w="1881"/>
            <w:shd w:val="clear" w:color="auto" w:fill="D9E1F2"/>
          </w:tcPr>
          <w:p>
            <w:pPr>
              <w:spacing w:before="40" w:after="40"/>
            </w:pPr>
            <w:r>
              <w:rPr>
                <w:rFonts w:ascii="Calibri" w:hAnsi="Calibri"/>
                <w:b/>
                <w:sz w:val="20"/>
              </w:rPr>
              <w:t>Due</w:t>
            </w:r>
          </w:p>
        </w:tc>
      </w:tr>
      <w:tr>
        <w:tc>
          <w:tcPr>
            <w:tcW w:type="dxa" w:w="1881"/>
          </w:tcPr>
          <w:p>
            <w:pPr>
              <w:spacing w:before="40" w:after="40"/>
            </w:pPr>
            <w:r>
              <w:rPr>
                <w:rFonts w:ascii="Calibri" w:hAnsi="Calibri"/>
                <w:sz w:val="20"/>
              </w:rPr>
              <w:t>D1.1</w:t>
            </w:r>
          </w:p>
        </w:tc>
        <w:tc>
          <w:tcPr>
            <w:tcW w:type="dxa" w:w="1881"/>
          </w:tcPr>
          <w:p>
            <w:pPr>
              <w:spacing w:before="40" w:after="40"/>
            </w:pPr>
            <w:r>
              <w:rPr>
                <w:rFonts w:ascii="Calibri" w:hAnsi="Calibri"/>
                <w:sz w:val="20"/>
              </w:rPr>
              <w:t>Cell model panel + SOPs</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Report</w:t>
            </w:r>
          </w:p>
        </w:tc>
        <w:tc>
          <w:tcPr>
            <w:tcW w:type="dxa" w:w="1881"/>
          </w:tcPr>
          <w:p>
            <w:pPr>
              <w:spacing w:before="40" w:after="40"/>
            </w:pPr>
            <w:r>
              <w:rPr>
                <w:rFonts w:ascii="Calibri" w:hAnsi="Calibri"/>
                <w:sz w:val="20"/>
              </w:rPr>
              <w:t>M6</w:t>
            </w:r>
          </w:p>
        </w:tc>
      </w:tr>
      <w:tr>
        <w:tc>
          <w:tcPr>
            <w:tcW w:type="dxa" w:w="1881"/>
          </w:tcPr>
          <w:p>
            <w:pPr>
              <w:spacing w:before="40" w:after="40"/>
            </w:pPr>
            <w:r>
              <w:rPr>
                <w:rFonts w:ascii="Calibri" w:hAnsi="Calibri"/>
                <w:sz w:val="20"/>
              </w:rPr>
              <w:t>D1.2</w:t>
            </w:r>
          </w:p>
        </w:tc>
        <w:tc>
          <w:tcPr>
            <w:tcW w:type="dxa" w:w="1881"/>
          </w:tcPr>
          <w:p>
            <w:pPr>
              <w:spacing w:before="40" w:after="40"/>
            </w:pPr>
            <w:r>
              <w:rPr>
                <w:rFonts w:ascii="Calibri" w:hAnsi="Calibri"/>
                <w:sz w:val="20"/>
              </w:rPr>
              <w:t>PTM dose-response dataset</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Open data</w:t>
            </w:r>
          </w:p>
        </w:tc>
        <w:tc>
          <w:tcPr>
            <w:tcW w:type="dxa" w:w="1881"/>
          </w:tcPr>
          <w:p>
            <w:pPr>
              <w:spacing w:before="40" w:after="40"/>
            </w:pPr>
            <w:r>
              <w:rPr>
                <w:rFonts w:ascii="Calibri" w:hAnsi="Calibri"/>
                <w:sz w:val="20"/>
              </w:rPr>
              <w:t>M12</w:t>
            </w:r>
          </w:p>
        </w:tc>
      </w:tr>
      <w:tr>
        <w:tc>
          <w:tcPr>
            <w:tcW w:type="dxa" w:w="1881"/>
          </w:tcPr>
          <w:p>
            <w:pPr>
              <w:spacing w:before="40" w:after="40"/>
            </w:pPr>
            <w:r>
              <w:rPr>
                <w:rFonts w:ascii="Calibri" w:hAnsi="Calibri"/>
                <w:sz w:val="20"/>
              </w:rPr>
              <w:t>D1.3</w:t>
            </w:r>
          </w:p>
        </w:tc>
        <w:tc>
          <w:tcPr>
            <w:tcW w:type="dxa" w:w="1881"/>
          </w:tcPr>
          <w:p>
            <w:pPr>
              <w:spacing w:before="40" w:after="40"/>
            </w:pPr>
            <w:r>
              <w:rPr>
                <w:rFonts w:ascii="Calibri" w:hAnsi="Calibri"/>
                <w:sz w:val="20"/>
              </w:rPr>
              <w:t>STED imaging dataset + paper submitted</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Publication</w:t>
            </w:r>
          </w:p>
        </w:tc>
        <w:tc>
          <w:tcPr>
            <w:tcW w:type="dxa" w:w="1881"/>
          </w:tcPr>
          <w:p>
            <w:pPr>
              <w:spacing w:before="40" w:after="40"/>
            </w:pPr>
            <w:r>
              <w:rPr>
                <w:rFonts w:ascii="Calibri" w:hAnsi="Calibri"/>
                <w:sz w:val="20"/>
              </w:rPr>
              <w:t>M18</w:t>
            </w:r>
          </w:p>
        </w:tc>
      </w:tr>
      <w:tr>
        <w:tc>
          <w:tcPr>
            <w:tcW w:type="dxa" w:w="1881"/>
          </w:tcPr>
          <w:p>
            <w:pPr>
              <w:spacing w:before="40" w:after="40"/>
            </w:pPr>
            <w:r>
              <w:rPr>
                <w:rFonts w:ascii="Calibri" w:hAnsi="Calibri"/>
                <w:sz w:val="20"/>
              </w:rPr>
              <w:t>D1.4</w:t>
            </w:r>
          </w:p>
        </w:tc>
        <w:tc>
          <w:tcPr>
            <w:tcW w:type="dxa" w:w="1881"/>
          </w:tcPr>
          <w:p>
            <w:pPr>
              <w:spacing w:before="40" w:after="40"/>
            </w:pPr>
            <w:r>
              <w:rPr>
                <w:rFonts w:ascii="Calibri" w:hAnsi="Calibri"/>
                <w:sz w:val="20"/>
              </w:rPr>
              <w:t>CEP164 ELISA validated + WP1 final report</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Report</w:t>
            </w:r>
          </w:p>
        </w:tc>
        <w:tc>
          <w:tcPr>
            <w:tcW w:type="dxa" w:w="1881"/>
          </w:tcPr>
          <w:p>
            <w:pPr>
              <w:spacing w:before="40" w:after="40"/>
            </w:pPr>
            <w:r>
              <w:rPr>
                <w:rFonts w:ascii="Calibri" w:hAnsi="Calibri"/>
                <w:sz w:val="20"/>
              </w:rPr>
              <w:t>M24</w:t>
            </w:r>
          </w:p>
        </w:tc>
      </w:tr>
      <w:tr>
        <w:tc>
          <w:tcPr>
            <w:tcW w:type="dxa" w:w="1881"/>
          </w:tcPr>
          <w:p>
            <w:pPr>
              <w:spacing w:before="40" w:after="40"/>
            </w:pPr>
            <w:r>
              <w:rPr>
                <w:rFonts w:ascii="Calibri" w:hAnsi="Calibri"/>
                <w:sz w:val="20"/>
              </w:rPr>
              <w:t>D2.1</w:t>
            </w:r>
          </w:p>
        </w:tc>
        <w:tc>
          <w:tcPr>
            <w:tcW w:type="dxa" w:w="1881"/>
          </w:tcPr>
          <w:p>
            <w:pPr>
              <w:spacing w:before="40" w:after="40"/>
            </w:pPr>
            <w:r>
              <w:rPr>
                <w:rFonts w:ascii="Calibri" w:hAnsi="Calibri"/>
                <w:sz w:val="20"/>
              </w:rPr>
              <w:t>Ethics approval + recruitment protocol</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Report</w:t>
            </w:r>
          </w:p>
        </w:tc>
        <w:tc>
          <w:tcPr>
            <w:tcW w:type="dxa" w:w="1881"/>
          </w:tcPr>
          <w:p>
            <w:pPr>
              <w:spacing w:before="40" w:after="40"/>
            </w:pPr>
            <w:r>
              <w:rPr>
                <w:rFonts w:ascii="Calibri" w:hAnsi="Calibri"/>
                <w:sz w:val="20"/>
              </w:rPr>
              <w:t>M9</w:t>
            </w:r>
          </w:p>
        </w:tc>
      </w:tr>
      <w:tr>
        <w:tc>
          <w:tcPr>
            <w:tcW w:type="dxa" w:w="1881"/>
          </w:tcPr>
          <w:p>
            <w:pPr>
              <w:spacing w:before="40" w:after="40"/>
            </w:pPr>
            <w:r>
              <w:rPr>
                <w:rFonts w:ascii="Calibri" w:hAnsi="Calibri"/>
                <w:sz w:val="20"/>
              </w:rPr>
              <w:t>D2.2</w:t>
            </w:r>
          </w:p>
        </w:tc>
        <w:tc>
          <w:tcPr>
            <w:tcW w:type="dxa" w:w="1881"/>
          </w:tcPr>
          <w:p>
            <w:pPr>
              <w:spacing w:before="40" w:after="40"/>
            </w:pPr>
            <w:r>
              <w:rPr>
                <w:rFonts w:ascii="Calibri" w:hAnsi="Calibri"/>
                <w:sz w:val="20"/>
              </w:rPr>
              <w:t>Baseline dataset (EHDS)</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Dataset</w:t>
            </w:r>
          </w:p>
        </w:tc>
        <w:tc>
          <w:tcPr>
            <w:tcW w:type="dxa" w:w="1881"/>
          </w:tcPr>
          <w:p>
            <w:pPr>
              <w:spacing w:before="40" w:after="40"/>
            </w:pPr>
            <w:r>
              <w:rPr>
                <w:rFonts w:ascii="Calibri" w:hAnsi="Calibri"/>
                <w:sz w:val="20"/>
              </w:rPr>
              <w:t>M18</w:t>
            </w:r>
          </w:p>
        </w:tc>
      </w:tr>
      <w:tr>
        <w:tc>
          <w:tcPr>
            <w:tcW w:type="dxa" w:w="1881"/>
          </w:tcPr>
          <w:p>
            <w:pPr>
              <w:spacing w:before="40" w:after="40"/>
            </w:pPr>
            <w:r>
              <w:rPr>
                <w:rFonts w:ascii="Calibri" w:hAnsi="Calibri"/>
                <w:sz w:val="20"/>
              </w:rPr>
              <w:t>D2.3</w:t>
            </w:r>
          </w:p>
        </w:tc>
        <w:tc>
          <w:tcPr>
            <w:tcW w:type="dxa" w:w="1881"/>
          </w:tcPr>
          <w:p>
            <w:pPr>
              <w:spacing w:before="40" w:after="40"/>
            </w:pPr>
            <w:r>
              <w:rPr>
                <w:rFonts w:ascii="Calibri" w:hAnsi="Calibri"/>
                <w:sz w:val="20"/>
              </w:rPr>
              <w:t>2-year follow-up analysis + paper</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Publication</w:t>
            </w:r>
          </w:p>
        </w:tc>
        <w:tc>
          <w:tcPr>
            <w:tcW w:type="dxa" w:w="1881"/>
          </w:tcPr>
          <w:p>
            <w:pPr>
              <w:spacing w:before="40" w:after="40"/>
            </w:pPr>
            <w:r>
              <w:rPr>
                <w:rFonts w:ascii="Calibri" w:hAnsi="Calibri"/>
                <w:sz w:val="20"/>
              </w:rPr>
              <w:t>M36</w:t>
            </w:r>
          </w:p>
        </w:tc>
      </w:tr>
      <w:tr>
        <w:tc>
          <w:tcPr>
            <w:tcW w:type="dxa" w:w="1881"/>
          </w:tcPr>
          <w:p>
            <w:pPr>
              <w:spacing w:before="40" w:after="40"/>
            </w:pPr>
            <w:r>
              <w:rPr>
                <w:rFonts w:ascii="Calibri" w:hAnsi="Calibri"/>
                <w:sz w:val="20"/>
              </w:rPr>
              <w:t>D3.1</w:t>
            </w:r>
          </w:p>
        </w:tc>
        <w:tc>
          <w:tcPr>
            <w:tcW w:type="dxa" w:w="1881"/>
          </w:tcPr>
          <w:p>
            <w:pPr>
              <w:spacing w:before="40" w:after="40"/>
            </w:pPr>
            <w:r>
              <w:rPr>
                <w:rFonts w:ascii="Calibri" w:hAnsi="Calibri"/>
                <w:sz w:val="20"/>
              </w:rPr>
              <w:t>Cell-DT v1.5 experimental parameters</w:t>
            </w:r>
          </w:p>
        </w:tc>
        <w:tc>
          <w:tcPr>
            <w:tcW w:type="dxa" w:w="1881"/>
          </w:tcPr>
          <w:p>
            <w:pPr>
              <w:spacing w:before="40" w:after="40"/>
            </w:pPr>
            <w:r>
              <w:rPr>
                <w:rFonts w:ascii="Calibri" w:hAnsi="Calibri"/>
                <w:sz w:val="20"/>
              </w:rPr>
              <w:t>WP3</w:t>
            </w:r>
          </w:p>
        </w:tc>
        <w:tc>
          <w:tcPr>
            <w:tcW w:type="dxa" w:w="1881"/>
          </w:tcPr>
          <w:p>
            <w:pPr>
              <w:spacing w:before="40" w:after="40"/>
            </w:pPr>
            <w:r>
              <w:rPr>
                <w:rFonts w:ascii="Calibri" w:hAnsi="Calibri"/>
                <w:sz w:val="20"/>
              </w:rPr>
              <w:t>Software</w:t>
            </w:r>
          </w:p>
        </w:tc>
        <w:tc>
          <w:tcPr>
            <w:tcW w:type="dxa" w:w="1881"/>
          </w:tcPr>
          <w:p>
            <w:pPr>
              <w:spacing w:before="40" w:after="40"/>
            </w:pPr>
            <w:r>
              <w:rPr>
                <w:rFonts w:ascii="Calibri" w:hAnsi="Calibri"/>
                <w:sz w:val="20"/>
              </w:rPr>
              <w:t>M18</w:t>
            </w:r>
          </w:p>
        </w:tc>
      </w:tr>
      <w:tr>
        <w:tc>
          <w:tcPr>
            <w:tcW w:type="dxa" w:w="1881"/>
          </w:tcPr>
          <w:p>
            <w:pPr>
              <w:spacing w:before="40" w:after="40"/>
            </w:pPr>
            <w:r>
              <w:rPr>
                <w:rFonts w:ascii="Calibri" w:hAnsi="Calibri"/>
                <w:sz w:val="20"/>
              </w:rPr>
              <w:t>D3.2</w:t>
            </w:r>
          </w:p>
        </w:tc>
        <w:tc>
          <w:tcPr>
            <w:tcW w:type="dxa" w:w="1881"/>
          </w:tcPr>
          <w:p>
            <w:pPr>
              <w:spacing w:before="40" w:after="40"/>
            </w:pPr>
            <w:r>
              <w:rPr>
                <w:rFonts w:ascii="Calibri" w:hAnsi="Calibri"/>
                <w:sz w:val="20"/>
              </w:rPr>
              <w:t>pBA module validated + paper submitted</w:t>
            </w:r>
          </w:p>
        </w:tc>
        <w:tc>
          <w:tcPr>
            <w:tcW w:type="dxa" w:w="1881"/>
          </w:tcPr>
          <w:p>
            <w:pPr>
              <w:spacing w:before="40" w:after="40"/>
            </w:pPr>
            <w:r>
              <w:rPr>
                <w:rFonts w:ascii="Calibri" w:hAnsi="Calibri"/>
                <w:sz w:val="20"/>
              </w:rPr>
              <w:t>WP3</w:t>
            </w:r>
          </w:p>
        </w:tc>
        <w:tc>
          <w:tcPr>
            <w:tcW w:type="dxa" w:w="1881"/>
          </w:tcPr>
          <w:p>
            <w:pPr>
              <w:spacing w:before="40" w:after="40"/>
            </w:pPr>
            <w:r>
              <w:rPr>
                <w:rFonts w:ascii="Calibri" w:hAnsi="Calibri"/>
                <w:sz w:val="20"/>
              </w:rPr>
              <w:t>Publication</w:t>
            </w:r>
          </w:p>
        </w:tc>
        <w:tc>
          <w:tcPr>
            <w:tcW w:type="dxa" w:w="1881"/>
          </w:tcPr>
          <w:p>
            <w:pPr>
              <w:spacing w:before="40" w:after="40"/>
            </w:pPr>
            <w:r>
              <w:rPr>
                <w:rFonts w:ascii="Calibri" w:hAnsi="Calibri"/>
                <w:sz w:val="20"/>
              </w:rPr>
              <w:t>M24</w:t>
            </w:r>
          </w:p>
        </w:tc>
      </w:tr>
      <w:tr>
        <w:tc>
          <w:tcPr>
            <w:tcW w:type="dxa" w:w="1881"/>
          </w:tcPr>
          <w:p>
            <w:pPr>
              <w:spacing w:before="40" w:after="40"/>
            </w:pPr>
            <w:r>
              <w:rPr>
                <w:rFonts w:ascii="Calibri" w:hAnsi="Calibri"/>
                <w:sz w:val="20"/>
              </w:rPr>
              <w:t>D3.3</w:t>
            </w:r>
          </w:p>
        </w:tc>
        <w:tc>
          <w:tcPr>
            <w:tcW w:type="dxa" w:w="1881"/>
          </w:tcPr>
          <w:p>
            <w:pPr>
              <w:spacing w:before="40" w:after="40"/>
            </w:pPr>
            <w:r>
              <w:rPr>
                <w:rFonts w:ascii="Calibri" w:hAnsi="Calibri"/>
                <w:sz w:val="20"/>
              </w:rPr>
              <w:t>Cell-DT v2.0 public release</w:t>
            </w:r>
          </w:p>
        </w:tc>
        <w:tc>
          <w:tcPr>
            <w:tcW w:type="dxa" w:w="1881"/>
          </w:tcPr>
          <w:p>
            <w:pPr>
              <w:spacing w:before="40" w:after="40"/>
            </w:pPr>
            <w:r>
              <w:rPr>
                <w:rFonts w:ascii="Calibri" w:hAnsi="Calibri"/>
                <w:sz w:val="20"/>
              </w:rPr>
              <w:t>WP3</w:t>
            </w:r>
          </w:p>
        </w:tc>
        <w:tc>
          <w:tcPr>
            <w:tcW w:type="dxa" w:w="1881"/>
          </w:tcPr>
          <w:p>
            <w:pPr>
              <w:spacing w:before="40" w:after="40"/>
            </w:pPr>
            <w:r>
              <w:rPr>
                <w:rFonts w:ascii="Calibri" w:hAnsi="Calibri"/>
                <w:sz w:val="20"/>
              </w:rPr>
              <w:t>Software</w:t>
            </w:r>
          </w:p>
        </w:tc>
        <w:tc>
          <w:tcPr>
            <w:tcW w:type="dxa" w:w="1881"/>
          </w:tcPr>
          <w:p>
            <w:pPr>
              <w:spacing w:before="40" w:after="40"/>
            </w:pPr>
            <w:r>
              <w:rPr>
                <w:rFonts w:ascii="Calibri" w:hAnsi="Calibri"/>
                <w:sz w:val="20"/>
              </w:rPr>
              <w:t>M36</w:t>
            </w:r>
          </w:p>
        </w:tc>
      </w:tr>
      <w:tr>
        <w:tc>
          <w:tcPr>
            <w:tcW w:type="dxa" w:w="1881"/>
          </w:tcPr>
          <w:p>
            <w:pPr>
              <w:spacing w:before="40" w:after="40"/>
            </w:pPr>
            <w:r>
              <w:rPr>
                <w:rFonts w:ascii="Calibri" w:hAnsi="Calibri"/>
                <w:sz w:val="20"/>
              </w:rPr>
              <w:t>D4.1</w:t>
            </w:r>
          </w:p>
        </w:tc>
        <w:tc>
          <w:tcPr>
            <w:tcW w:type="dxa" w:w="1881"/>
          </w:tcPr>
          <w:p>
            <w:pPr>
              <w:spacing w:before="40" w:after="40"/>
            </w:pPr>
            <w:r>
              <w:rPr>
                <w:rFonts w:ascii="Calibri" w:hAnsi="Calibri"/>
                <w:sz w:val="20"/>
              </w:rPr>
              <w:t>Consortium Agreement</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sz w:val="20"/>
              </w:rPr>
              <w:t>Admin</w:t>
            </w:r>
          </w:p>
        </w:tc>
        <w:tc>
          <w:tcPr>
            <w:tcW w:type="dxa" w:w="1881"/>
          </w:tcPr>
          <w:p>
            <w:pPr>
              <w:spacing w:before="40" w:after="40"/>
            </w:pPr>
            <w:r>
              <w:rPr>
                <w:rFonts w:ascii="Calibri" w:hAnsi="Calibri"/>
                <w:b/>
                <w:sz w:val="20"/>
              </w:rPr>
              <w:t>M1</w:t>
            </w:r>
          </w:p>
        </w:tc>
      </w:tr>
      <w:tr>
        <w:tc>
          <w:tcPr>
            <w:tcW w:type="dxa" w:w="1881"/>
          </w:tcPr>
          <w:p>
            <w:pPr>
              <w:spacing w:before="40" w:after="40"/>
            </w:pPr>
            <w:r>
              <w:rPr>
                <w:rFonts w:ascii="Calibri" w:hAnsi="Calibri"/>
                <w:sz w:val="20"/>
              </w:rPr>
              <w:t>D4.2</w:t>
            </w:r>
          </w:p>
        </w:tc>
        <w:tc>
          <w:tcPr>
            <w:tcW w:type="dxa" w:w="1881"/>
          </w:tcPr>
          <w:p>
            <w:pPr>
              <w:spacing w:before="40" w:after="40"/>
            </w:pPr>
            <w:r>
              <w:rPr>
                <w:rFonts w:ascii="Calibri" w:hAnsi="Calibri"/>
                <w:sz w:val="20"/>
              </w:rPr>
              <w:t>Therapeutic PoC report + patent filing</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sz w:val="20"/>
              </w:rPr>
              <w:t>Report/IP</w:t>
            </w:r>
          </w:p>
        </w:tc>
        <w:tc>
          <w:tcPr>
            <w:tcW w:type="dxa" w:w="1881"/>
          </w:tcPr>
          <w:p>
            <w:pPr>
              <w:spacing w:before="40" w:after="40"/>
            </w:pPr>
            <w:r>
              <w:rPr>
                <w:rFonts w:ascii="Calibri" w:hAnsi="Calibri"/>
                <w:sz w:val="20"/>
              </w:rPr>
              <w:t>M30</w:t>
            </w:r>
          </w:p>
        </w:tc>
      </w:tr>
      <w:tr>
        <w:tc>
          <w:tcPr>
            <w:tcW w:type="dxa" w:w="1881"/>
          </w:tcPr>
          <w:p>
            <w:pPr>
              <w:spacing w:before="40" w:after="40"/>
            </w:pPr>
            <w:r>
              <w:rPr>
                <w:rFonts w:ascii="Calibri" w:hAnsi="Calibri"/>
                <w:sz w:val="20"/>
              </w:rPr>
              <w:t>D4.3</w:t>
            </w:r>
          </w:p>
        </w:tc>
        <w:tc>
          <w:tcPr>
            <w:tcW w:type="dxa" w:w="1881"/>
          </w:tcPr>
          <w:p>
            <w:pPr>
              <w:spacing w:before="40" w:after="40"/>
            </w:pPr>
            <w:r>
              <w:rPr>
                <w:rFonts w:ascii="Calibri" w:hAnsi="Calibri"/>
                <w:sz w:val="20"/>
              </w:rPr>
              <w:t>Industry LoI</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sz w:val="20"/>
              </w:rPr>
              <w:t>Admin</w:t>
            </w:r>
          </w:p>
        </w:tc>
        <w:tc>
          <w:tcPr>
            <w:tcW w:type="dxa" w:w="1881"/>
          </w:tcPr>
          <w:p>
            <w:pPr>
              <w:spacing w:before="40" w:after="40"/>
            </w:pPr>
            <w:r>
              <w:rPr>
                <w:rFonts w:ascii="Calibri" w:hAnsi="Calibri"/>
                <w:sz w:val="20"/>
              </w:rPr>
              <w:t>M30</w:t>
            </w:r>
          </w:p>
        </w:tc>
      </w:tr>
      <w:tr>
        <w:tc>
          <w:tcPr>
            <w:tcW w:type="dxa" w:w="1881"/>
          </w:tcPr>
          <w:p>
            <w:pPr>
              <w:spacing w:before="40" w:after="40"/>
            </w:pPr>
            <w:r>
              <w:rPr>
                <w:rFonts w:ascii="Calibri" w:hAnsi="Calibri"/>
                <w:sz w:val="20"/>
              </w:rPr>
              <w:t>D4.4</w:t>
            </w:r>
          </w:p>
        </w:tc>
        <w:tc>
          <w:tcPr>
            <w:tcW w:type="dxa" w:w="1881"/>
          </w:tcPr>
          <w:p>
            <w:pPr>
              <w:spacing w:before="40" w:after="40"/>
            </w:pPr>
            <w:r>
              <w:rPr>
                <w:rFonts w:ascii="Calibri" w:hAnsi="Calibri"/>
                <w:sz w:val="20"/>
              </w:rPr>
              <w:t>Final report + EIC Transition concept note</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sz w:val="20"/>
              </w:rPr>
              <w:t>Report</w:t>
            </w:r>
          </w:p>
        </w:tc>
        <w:tc>
          <w:tcPr>
            <w:tcW w:type="dxa" w:w="1881"/>
          </w:tcPr>
          <w:p>
            <w:pPr>
              <w:spacing w:before="40" w:after="40"/>
            </w:pPr>
            <w:r>
              <w:rPr>
                <w:rFonts w:ascii="Calibri" w:hAnsi="Calibri"/>
                <w:sz w:val="20"/>
              </w:rPr>
              <w:t>M36</w:t>
            </w:r>
          </w:p>
        </w:tc>
      </w:tr>
    </w:tbl>
    <w:p>
      <w:pPr>
        <w:spacing w:after="120"/>
      </w:pPr>
    </w:p>
    <w:p>
      <w:pPr>
        <w:spacing w:before="160" w:after="60"/>
        <w:outlineLvl w:val="3"/>
      </w:pPr>
      <w:r>
        <w:rPr>
          <w:rFonts w:ascii="Calibri" w:hAnsi="Calibri"/>
          <w:b/>
          <w:i/>
          <w:sz w:val="22"/>
        </w:rPr>
        <w:t>Table 3.1d: List of Milestones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Pr>
                <w:rFonts w:ascii="Calibri" w:hAnsi="Calibri"/>
                <w:b/>
                <w:sz w:val="20"/>
              </w:rPr>
              <w:t>M#</w:t>
            </w:r>
          </w:p>
        </w:tc>
        <w:tc>
          <w:tcPr>
            <w:tcW w:type="dxa" w:w="1881"/>
            <w:shd w:val="clear" w:color="auto" w:fill="D9E1F2"/>
          </w:tcPr>
          <w:p>
            <w:pPr>
              <w:spacing w:before="40" w:after="40"/>
            </w:pPr>
            <w:r>
              <w:rPr>
                <w:rFonts w:ascii="Calibri" w:hAnsi="Calibri"/>
                <w:b/>
                <w:sz w:val="20"/>
              </w:rPr>
              <w:t>Milestone</w:t>
            </w:r>
          </w:p>
        </w:tc>
        <w:tc>
          <w:tcPr>
            <w:tcW w:type="dxa" w:w="1881"/>
            <w:shd w:val="clear" w:color="auto" w:fill="D9E1F2"/>
          </w:tcPr>
          <w:p>
            <w:pPr>
              <w:spacing w:before="40" w:after="40"/>
            </w:pPr>
            <w:r>
              <w:rPr>
                <w:rFonts w:ascii="Calibri" w:hAnsi="Calibri"/>
                <w:b/>
                <w:sz w:val="20"/>
              </w:rPr>
              <w:t>WP</w:t>
            </w:r>
          </w:p>
        </w:tc>
        <w:tc>
          <w:tcPr>
            <w:tcW w:type="dxa" w:w="1881"/>
            <w:shd w:val="clear" w:color="auto" w:fill="D9E1F2"/>
          </w:tcPr>
          <w:p>
            <w:pPr>
              <w:spacing w:before="40" w:after="40"/>
            </w:pPr>
            <w:r>
              <w:rPr>
                <w:rFonts w:ascii="Calibri" w:hAnsi="Calibri"/>
                <w:b/>
                <w:sz w:val="20"/>
              </w:rPr>
              <w:t>Due</w:t>
            </w:r>
          </w:p>
        </w:tc>
        <w:tc>
          <w:tcPr>
            <w:tcW w:type="dxa" w:w="1881"/>
            <w:shd w:val="clear" w:color="auto" w:fill="D9E1F2"/>
          </w:tcPr>
          <w:p>
            <w:pPr>
              <w:spacing w:before="40" w:after="40"/>
            </w:pPr>
            <w:r>
              <w:rPr>
                <w:rFonts w:ascii="Calibri" w:hAnsi="Calibri"/>
                <w:b/>
                <w:sz w:val="20"/>
              </w:rPr>
              <w:t>Verification</w:t>
            </w:r>
          </w:p>
        </w:tc>
      </w:tr>
      <w:tr>
        <w:tc>
          <w:tcPr>
            <w:tcW w:type="dxa" w:w="1881"/>
          </w:tcPr>
          <w:p>
            <w:pPr>
              <w:spacing w:before="40" w:after="40"/>
            </w:pPr>
            <w:r>
              <w:rPr>
                <w:rFonts w:ascii="Calibri" w:hAnsi="Calibri"/>
                <w:b/>
                <w:sz w:val="20"/>
              </w:rPr>
              <w:t>M1</w:t>
            </w:r>
          </w:p>
        </w:tc>
        <w:tc>
          <w:tcPr>
            <w:tcW w:type="dxa" w:w="1881"/>
          </w:tcPr>
          <w:p>
            <w:pPr>
              <w:spacing w:before="40" w:after="40"/>
            </w:pPr>
            <w:r>
              <w:rPr>
                <w:rFonts w:ascii="Calibri" w:hAnsi="Calibri"/>
                <w:b/>
                <w:sz w:val="20"/>
              </w:rPr>
              <w:t>Consortium Agreement signed</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b/>
                <w:sz w:val="20"/>
              </w:rPr>
              <w:t>M1</w:t>
            </w:r>
          </w:p>
        </w:tc>
        <w:tc>
          <w:tcPr>
            <w:tcW w:type="dxa" w:w="1881"/>
          </w:tcPr>
          <w:p>
            <w:pPr>
              <w:spacing w:before="40" w:after="40"/>
            </w:pPr>
            <w:r>
              <w:rPr>
                <w:rFonts w:ascii="Calibri" w:hAnsi="Calibri"/>
                <w:sz w:val="20"/>
              </w:rPr>
              <w:t>Signed document</w:t>
            </w:r>
          </w:p>
        </w:tc>
      </w:tr>
      <w:tr>
        <w:tc>
          <w:tcPr>
            <w:tcW w:type="dxa" w:w="1881"/>
          </w:tcPr>
          <w:p>
            <w:pPr>
              <w:spacing w:before="40" w:after="40"/>
            </w:pPr>
            <w:r>
              <w:rPr>
                <w:rFonts w:ascii="Calibri" w:hAnsi="Calibri"/>
                <w:sz w:val="20"/>
              </w:rPr>
              <w:t>M2</w:t>
            </w:r>
          </w:p>
        </w:tc>
        <w:tc>
          <w:tcPr>
            <w:tcW w:type="dxa" w:w="1881"/>
          </w:tcPr>
          <w:p>
            <w:pPr>
              <w:spacing w:before="40" w:after="40"/>
            </w:pPr>
            <w:r>
              <w:rPr>
                <w:rFonts w:ascii="Calibri" w:hAnsi="Calibri"/>
                <w:sz w:val="20"/>
              </w:rPr>
              <w:t>Ethics approval received (WP2)</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M9</w:t>
            </w:r>
          </w:p>
        </w:tc>
        <w:tc>
          <w:tcPr>
            <w:tcW w:type="dxa" w:w="1881"/>
          </w:tcPr>
          <w:p>
            <w:pPr>
              <w:spacing w:before="40" w:after="40"/>
            </w:pPr>
            <w:r>
              <w:rPr>
                <w:rFonts w:ascii="Calibri" w:hAnsi="Calibri"/>
                <w:sz w:val="20"/>
              </w:rPr>
              <w:t>IRB letter</w:t>
            </w:r>
          </w:p>
        </w:tc>
      </w:tr>
      <w:tr>
        <w:tc>
          <w:tcPr>
            <w:tcW w:type="dxa" w:w="1881"/>
          </w:tcPr>
          <w:p>
            <w:pPr>
              <w:spacing w:before="40" w:after="40"/>
            </w:pPr>
            <w:r>
              <w:rPr>
                <w:rFonts w:ascii="Calibri" w:hAnsi="Calibri"/>
                <w:sz w:val="20"/>
              </w:rPr>
              <w:t>M3</w:t>
            </w:r>
          </w:p>
        </w:tc>
        <w:tc>
          <w:tcPr>
            <w:tcW w:type="dxa" w:w="1881"/>
          </w:tcPr>
          <w:p>
            <w:pPr>
              <w:spacing w:before="40" w:after="40"/>
            </w:pPr>
            <w:r>
              <w:rPr>
                <w:rFonts w:ascii="Calibri" w:hAnsi="Calibri"/>
                <w:sz w:val="20"/>
              </w:rPr>
              <w:t>Cell model panel + CAII SOP validated</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M6</w:t>
            </w:r>
          </w:p>
        </w:tc>
        <w:tc>
          <w:tcPr>
            <w:tcW w:type="dxa" w:w="1881"/>
          </w:tcPr>
          <w:p>
            <w:pPr>
              <w:spacing w:before="40" w:after="40"/>
            </w:pPr>
            <w:r>
              <w:rPr>
                <w:rFonts w:ascii="Calibri" w:hAnsi="Calibri"/>
                <w:sz w:val="20"/>
              </w:rPr>
              <w:t>QC report</w:t>
            </w:r>
          </w:p>
        </w:tc>
      </w:tr>
      <w:tr>
        <w:tc>
          <w:tcPr>
            <w:tcW w:type="dxa" w:w="1881"/>
          </w:tcPr>
          <w:p>
            <w:pPr>
              <w:spacing w:before="40" w:after="40"/>
            </w:pPr>
            <w:r>
              <w:rPr>
                <w:rFonts w:ascii="Calibri" w:hAnsi="Calibri"/>
                <w:sz w:val="20"/>
              </w:rPr>
              <w:t>M4</w:t>
            </w:r>
          </w:p>
        </w:tc>
        <w:tc>
          <w:tcPr>
            <w:tcW w:type="dxa" w:w="1881"/>
          </w:tcPr>
          <w:p>
            <w:pPr>
              <w:spacing w:before="40" w:after="40"/>
            </w:pPr>
            <w:r>
              <w:rPr>
                <w:rFonts w:ascii="Calibri" w:hAnsi="Calibri"/>
                <w:sz w:val="20"/>
              </w:rPr>
              <w:t>PTM dose-response dataset complete</w:t>
            </w:r>
          </w:p>
        </w:tc>
        <w:tc>
          <w:tcPr>
            <w:tcW w:type="dxa" w:w="1881"/>
          </w:tcPr>
          <w:p>
            <w:pPr>
              <w:spacing w:before="40" w:after="40"/>
            </w:pPr>
            <w:r>
              <w:rPr>
                <w:rFonts w:ascii="Calibri" w:hAnsi="Calibri"/>
                <w:sz w:val="20"/>
              </w:rPr>
              <w:t>WP1</w:t>
            </w:r>
          </w:p>
        </w:tc>
        <w:tc>
          <w:tcPr>
            <w:tcW w:type="dxa" w:w="1881"/>
          </w:tcPr>
          <w:p>
            <w:pPr>
              <w:spacing w:before="40" w:after="40"/>
            </w:pPr>
            <w:r>
              <w:rPr>
                <w:rFonts w:ascii="Calibri" w:hAnsi="Calibri"/>
                <w:sz w:val="20"/>
              </w:rPr>
              <w:t>M12</w:t>
            </w:r>
          </w:p>
        </w:tc>
        <w:tc>
          <w:tcPr>
            <w:tcW w:type="dxa" w:w="1881"/>
          </w:tcPr>
          <w:p>
            <w:pPr>
              <w:spacing w:before="40" w:after="40"/>
            </w:pPr>
            <w:r>
              <w:rPr>
                <w:rFonts w:ascii="Calibri" w:hAnsi="Calibri"/>
                <w:sz w:val="20"/>
              </w:rPr>
              <w:t>Zenodo upload</w:t>
            </w:r>
          </w:p>
        </w:tc>
      </w:tr>
      <w:tr>
        <w:tc>
          <w:tcPr>
            <w:tcW w:type="dxa" w:w="1881"/>
          </w:tcPr>
          <w:p>
            <w:pPr>
              <w:spacing w:before="40" w:after="40"/>
            </w:pPr>
            <w:r>
              <w:rPr>
                <w:rFonts w:ascii="Calibri" w:hAnsi="Calibri"/>
                <w:sz w:val="20"/>
              </w:rPr>
              <w:t>M5</w:t>
            </w:r>
          </w:p>
        </w:tc>
        <w:tc>
          <w:tcPr>
            <w:tcW w:type="dxa" w:w="1881"/>
          </w:tcPr>
          <w:p>
            <w:pPr>
              <w:spacing w:before="40" w:after="40"/>
            </w:pPr>
            <w:r>
              <w:rPr>
                <w:rFonts w:ascii="Calibri" w:hAnsi="Calibri"/>
                <w:sz w:val="20"/>
              </w:rPr>
              <w:t>WP2 full baseline enrolment (n=288)</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M18</w:t>
            </w:r>
          </w:p>
        </w:tc>
        <w:tc>
          <w:tcPr>
            <w:tcW w:type="dxa" w:w="1881"/>
          </w:tcPr>
          <w:p>
            <w:pPr>
              <w:spacing w:before="40" w:after="40"/>
            </w:pPr>
            <w:r>
              <w:rPr>
                <w:rFonts w:ascii="Calibri" w:hAnsi="Calibri"/>
                <w:sz w:val="20"/>
              </w:rPr>
              <w:t>CTMS report</w:t>
            </w:r>
          </w:p>
        </w:tc>
      </w:tr>
      <w:tr>
        <w:tc>
          <w:tcPr>
            <w:tcW w:type="dxa" w:w="1881"/>
          </w:tcPr>
          <w:p>
            <w:pPr>
              <w:spacing w:before="40" w:after="40"/>
            </w:pPr>
            <w:r>
              <w:rPr>
                <w:rFonts w:ascii="Calibri" w:hAnsi="Calibri"/>
                <w:sz w:val="20"/>
              </w:rPr>
              <w:t>M6</w:t>
            </w:r>
          </w:p>
        </w:tc>
        <w:tc>
          <w:tcPr>
            <w:tcW w:type="dxa" w:w="1881"/>
          </w:tcPr>
          <w:p>
            <w:pPr>
              <w:spacing w:before="40" w:after="40"/>
            </w:pPr>
            <w:r>
              <w:rPr>
                <w:rFonts w:ascii="Calibri" w:hAnsi="Calibri"/>
                <w:sz w:val="20"/>
              </w:rPr>
              <w:t>Cell-DT experimental parameterisation</w:t>
            </w:r>
          </w:p>
        </w:tc>
        <w:tc>
          <w:tcPr>
            <w:tcW w:type="dxa" w:w="1881"/>
          </w:tcPr>
          <w:p>
            <w:pPr>
              <w:spacing w:before="40" w:after="40"/>
            </w:pPr>
            <w:r>
              <w:rPr>
                <w:rFonts w:ascii="Calibri" w:hAnsi="Calibri"/>
                <w:sz w:val="20"/>
              </w:rPr>
              <w:t>WP3</w:t>
            </w:r>
          </w:p>
        </w:tc>
        <w:tc>
          <w:tcPr>
            <w:tcW w:type="dxa" w:w="1881"/>
          </w:tcPr>
          <w:p>
            <w:pPr>
              <w:spacing w:before="40" w:after="40"/>
            </w:pPr>
            <w:r>
              <w:rPr>
                <w:rFonts w:ascii="Calibri" w:hAnsi="Calibri"/>
                <w:sz w:val="20"/>
              </w:rPr>
              <w:t>M18</w:t>
            </w:r>
          </w:p>
        </w:tc>
        <w:tc>
          <w:tcPr>
            <w:tcW w:type="dxa" w:w="1881"/>
          </w:tcPr>
          <w:p>
            <w:pPr>
              <w:spacing w:before="40" w:after="40"/>
            </w:pPr>
            <w:r>
              <w:rPr>
                <w:rFonts w:ascii="Calibri" w:hAnsi="Calibri"/>
                <w:sz w:val="20"/>
              </w:rPr>
              <w:t>Software release</w:t>
            </w:r>
          </w:p>
        </w:tc>
      </w:tr>
      <w:tr>
        <w:tc>
          <w:tcPr>
            <w:tcW w:type="dxa" w:w="1881"/>
          </w:tcPr>
          <w:p>
            <w:pPr>
              <w:spacing w:before="40" w:after="40"/>
            </w:pPr>
            <w:r>
              <w:rPr>
                <w:rFonts w:ascii="Calibri" w:hAnsi="Calibri"/>
                <w:sz w:val="20"/>
              </w:rPr>
              <w:t>M7</w:t>
            </w:r>
          </w:p>
        </w:tc>
        <w:tc>
          <w:tcPr>
            <w:tcW w:type="dxa" w:w="1881"/>
          </w:tcPr>
          <w:p>
            <w:pPr>
              <w:spacing w:before="40" w:after="40"/>
            </w:pPr>
            <w:r>
              <w:rPr>
                <w:rFonts w:ascii="Calibri" w:hAnsi="Calibri"/>
                <w:sz w:val="20"/>
              </w:rPr>
              <w:t>CAII–frailty association confirmed (primary endpoint)</w:t>
            </w:r>
          </w:p>
        </w:tc>
        <w:tc>
          <w:tcPr>
            <w:tcW w:type="dxa" w:w="1881"/>
          </w:tcPr>
          <w:p>
            <w:pPr>
              <w:spacing w:before="40" w:after="40"/>
            </w:pPr>
            <w:r>
              <w:rPr>
                <w:rFonts w:ascii="Calibri" w:hAnsi="Calibri"/>
                <w:sz w:val="20"/>
              </w:rPr>
              <w:t>WP2</w:t>
            </w:r>
          </w:p>
        </w:tc>
        <w:tc>
          <w:tcPr>
            <w:tcW w:type="dxa" w:w="1881"/>
          </w:tcPr>
          <w:p>
            <w:pPr>
              <w:spacing w:before="40" w:after="40"/>
            </w:pPr>
            <w:r>
              <w:rPr>
                <w:rFonts w:ascii="Calibri" w:hAnsi="Calibri"/>
                <w:sz w:val="20"/>
              </w:rPr>
              <w:t>M30</w:t>
            </w:r>
          </w:p>
        </w:tc>
        <w:tc>
          <w:tcPr>
            <w:tcW w:type="dxa" w:w="1881"/>
          </w:tcPr>
          <w:p>
            <w:pPr>
              <w:spacing w:before="40" w:after="40"/>
            </w:pPr>
            <w:r>
              <w:rPr>
                <w:rFonts w:ascii="Calibri" w:hAnsi="Calibri"/>
                <w:sz w:val="20"/>
              </w:rPr>
              <w:t>Statistical report</w:t>
            </w:r>
          </w:p>
        </w:tc>
      </w:tr>
      <w:tr>
        <w:tc>
          <w:tcPr>
            <w:tcW w:type="dxa" w:w="1881"/>
          </w:tcPr>
          <w:p>
            <w:pPr>
              <w:spacing w:before="40" w:after="40"/>
            </w:pPr>
            <w:r>
              <w:rPr>
                <w:rFonts w:ascii="Calibri" w:hAnsi="Calibri"/>
                <w:sz w:val="20"/>
              </w:rPr>
              <w:t>M8</w:t>
            </w:r>
          </w:p>
        </w:tc>
        <w:tc>
          <w:tcPr>
            <w:tcW w:type="dxa" w:w="1881"/>
          </w:tcPr>
          <w:p>
            <w:pPr>
              <w:spacing w:before="40" w:after="40"/>
            </w:pPr>
            <w:r>
              <w:rPr>
                <w:rFonts w:ascii="Calibri" w:hAnsi="Calibri"/>
                <w:sz w:val="20"/>
              </w:rPr>
              <w:t>Patent applications filed</w:t>
            </w:r>
          </w:p>
        </w:tc>
        <w:tc>
          <w:tcPr>
            <w:tcW w:type="dxa" w:w="1881"/>
          </w:tcPr>
          <w:p>
            <w:pPr>
              <w:spacing w:before="40" w:after="40"/>
            </w:pPr>
            <w:r>
              <w:rPr>
                <w:rFonts w:ascii="Calibri" w:hAnsi="Calibri"/>
                <w:sz w:val="20"/>
              </w:rPr>
              <w:t>WP4</w:t>
            </w:r>
          </w:p>
        </w:tc>
        <w:tc>
          <w:tcPr>
            <w:tcW w:type="dxa" w:w="1881"/>
          </w:tcPr>
          <w:p>
            <w:pPr>
              <w:spacing w:before="40" w:after="40"/>
            </w:pPr>
            <w:r>
              <w:rPr>
                <w:rFonts w:ascii="Calibri" w:hAnsi="Calibri"/>
                <w:sz w:val="20"/>
              </w:rPr>
              <w:t>M30</w:t>
            </w:r>
          </w:p>
        </w:tc>
        <w:tc>
          <w:tcPr>
            <w:tcW w:type="dxa" w:w="1881"/>
          </w:tcPr>
          <w:p>
            <w:pPr>
              <w:spacing w:before="40" w:after="40"/>
            </w:pPr>
            <w:r>
              <w:rPr>
                <w:rFonts w:ascii="Calibri" w:hAnsi="Calibri"/>
                <w:sz w:val="20"/>
              </w:rPr>
              <w:t>Filing receipt</w:t>
            </w:r>
          </w:p>
        </w:tc>
      </w:tr>
      <w:tr>
        <w:tc>
          <w:tcPr>
            <w:tcW w:type="dxa" w:w="1881"/>
          </w:tcPr>
          <w:p>
            <w:pPr>
              <w:spacing w:before="40" w:after="40"/>
            </w:pPr>
            <w:r>
              <w:rPr>
                <w:rFonts w:ascii="Calibri" w:hAnsi="Calibri"/>
                <w:sz w:val="20"/>
              </w:rPr>
              <w:t>M9</w:t>
            </w:r>
          </w:p>
        </w:tc>
        <w:tc>
          <w:tcPr>
            <w:tcW w:type="dxa" w:w="1881"/>
          </w:tcPr>
          <w:p>
            <w:pPr>
              <w:spacing w:before="40" w:after="40"/>
            </w:pPr>
            <w:r>
              <w:rPr>
                <w:rFonts w:ascii="Calibri" w:hAnsi="Calibri"/>
                <w:sz w:val="20"/>
              </w:rPr>
              <w:t>Cell-DT v2.0 open release</w:t>
            </w:r>
          </w:p>
        </w:tc>
        <w:tc>
          <w:tcPr>
            <w:tcW w:type="dxa" w:w="1881"/>
          </w:tcPr>
          <w:p>
            <w:pPr>
              <w:spacing w:before="40" w:after="40"/>
            </w:pPr>
            <w:r>
              <w:rPr>
                <w:rFonts w:ascii="Calibri" w:hAnsi="Calibri"/>
                <w:sz w:val="20"/>
              </w:rPr>
              <w:t>WP3</w:t>
            </w:r>
          </w:p>
        </w:tc>
        <w:tc>
          <w:tcPr>
            <w:tcW w:type="dxa" w:w="1881"/>
          </w:tcPr>
          <w:p>
            <w:pPr>
              <w:spacing w:before="40" w:after="40"/>
            </w:pPr>
            <w:r>
              <w:rPr>
                <w:rFonts w:ascii="Calibri" w:hAnsi="Calibri"/>
                <w:sz w:val="20"/>
              </w:rPr>
              <w:t>M36</w:t>
            </w:r>
          </w:p>
        </w:tc>
        <w:tc>
          <w:tcPr>
            <w:tcW w:type="dxa" w:w="1881"/>
          </w:tcPr>
          <w:p>
            <w:pPr>
              <w:spacing w:before="40" w:after="40"/>
            </w:pPr>
            <w:r>
              <w:rPr>
                <w:rFonts w:ascii="Calibri" w:hAnsi="Calibri"/>
                <w:sz w:val="20"/>
              </w:rPr>
              <w:t>GitHub + Zenodo</w:t>
            </w:r>
          </w:p>
        </w:tc>
      </w:tr>
    </w:tbl>
    <w:p>
      <w:pPr>
        <w:spacing w:after="120"/>
      </w:pPr>
    </w:p>
    <w:p>
      <w:pPr>
        <w:spacing w:before="160" w:after="60"/>
        <w:outlineLvl w:val="3"/>
      </w:pPr>
      <w:r>
        <w:rPr>
          <w:rFonts w:ascii="Calibri" w:hAnsi="Calibri"/>
          <w:b/>
          <w:i/>
          <w:sz w:val="22"/>
        </w:rPr>
        <w:t>Table 3.1e: Gantt Chart</w:t>
      </w:r>
    </w:p>
    <w:p>
      <w:pPr>
        <w:spacing w:before="80" w:after="80"/>
        <w:ind w:left="283"/>
      </w:pPr>
      <w:r>
        <w:rPr>
          <w:rFonts w:ascii="Courier New" w:hAnsi="Courier New"/>
          <w:sz w:val="16"/>
          <w:shd w:val="clear" w:color="auto" w:fill="F2F2F2"/>
        </w:rPr>
        <w:t>WP/Task         M01 M02 M03 M04 M05 M06 M07 M08 M09 M10 M11 M12 M13 M14 M15 M16 M17 M18 M19 M20 M21 M22 M23 M24 M25 M26 M27 M28 M29 M30 M31 M32 M33 M34 M35 M36</w:t>
        <w:br/>
        <w:t>WP1-T1.1         ████████████</w:t>
        <w:br/>
        <w:t>WP1-T1.2                  ████████████████████████</w:t>
        <w:br/>
        <w:t>WP1-T1.3                        ████████████████████████████████</w:t>
        <w:br/>
        <w:t>WP1-T1.4                                             ████████████████████████</w:t>
        <w:br/>
        <w:t>WP1-T1.5                                                   ████████████████</w:t>
        <w:br/>
        <w:t>WP2-T2.1               ████████████████████</w:t>
        <w:br/>
        <w:t>WP2-T2.2                           ████████████████████████████████</w:t>
        <w:br/>
        <w:t>WP2-T2.3                                                █████████████████████████████████</w:t>
        <w:br/>
        <w:t>WP2-T2.4                                                               ████████████████████████</w:t>
        <w:br/>
        <w:t>WP3-T3.1                     ████████████████████████████████████</w:t>
        <w:br/>
        <w:t>WP3-T3.2                                    ████████████████████████████████████</w:t>
        <w:br/>
        <w:t>WP3-T3.3                                                  ████████████████████████████████</w:t>
        <w:br/>
        <w:t>WP3-T3.4                                                               ████████████████████████████</w:t>
        <w:br/>
        <w:t>WP3-T3.5                                                                        ████████████████████</w:t>
        <w:br/>
        <w:t>WP4-T4.0                     ████████████████████████████████████</w:t>
        <w:br/>
        <w:t>WP4-T4.1         ██ (M1)</w:t>
        <w:br/>
        <w:t>WP4-T4.2                                   ████████████████████████████████████████</w:t>
        <w:br/>
        <w:t>WP4-T4.3                                                         ████████████████████████████</w:t>
        <w:br/>
        <w:t>WP4-T4.4                                                         ████████████████████████</w:t>
        <w:br/>
        <w:t>WP4-T4.5                                                                        ████████████████████</w:t>
        <w:br/>
        <w:t>WP4-T4.6                                                                                  ██████████</w:t>
        <w:br/>
        <w:t>─────────────────────────────────────────────────────────────────────────────────────────────────────</w:t>
        <w:br/>
        <w:t>Milestones       ▼M1       ▼M3      ▼M2      ▼M4         ▼M5,M6                  ▼M7  ▼M8      ▼M9</w:t>
        <w:br/>
        <w:t>(chronological)  M1        M6       M9       M12         M18                     M30  M30      M36</w:t>
      </w:r>
    </w:p>
    <w:p>
      <w:pPr>
        <w:spacing w:before="160" w:after="60"/>
        <w:outlineLvl w:val="3"/>
      </w:pPr>
      <w:r>
        <w:rPr>
          <w:rFonts w:ascii="Calibri" w:hAnsi="Calibri"/>
          <w:b/>
          <w:i/>
          <w:sz w:val="22"/>
        </w:rPr>
        <w:t>Table 3.1f: Summary of Staff Effort (Person-Months)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9E1F2"/>
          </w:tcPr>
          <w:p>
            <w:pPr>
              <w:spacing w:before="40" w:after="40"/>
            </w:pPr>
            <w:r>
              <w:rPr>
                <w:rFonts w:ascii="Calibri" w:hAnsi="Calibri"/>
                <w:b/>
                <w:sz w:val="20"/>
              </w:rPr>
              <w:t>Role</w:t>
            </w:r>
          </w:p>
        </w:tc>
        <w:tc>
          <w:tcPr>
            <w:tcW w:type="dxa" w:w="1344"/>
            <w:shd w:val="clear" w:color="auto" w:fill="D9E1F2"/>
          </w:tcPr>
          <w:p>
            <w:pPr>
              <w:spacing w:before="40" w:after="40"/>
            </w:pPr>
            <w:r>
              <w:rPr>
                <w:rFonts w:ascii="Calibri" w:hAnsi="Calibri"/>
                <w:b/>
                <w:sz w:val="20"/>
              </w:rPr>
              <w:t>Institution</w:t>
            </w:r>
          </w:p>
        </w:tc>
        <w:tc>
          <w:tcPr>
            <w:tcW w:type="dxa" w:w="1344"/>
            <w:shd w:val="clear" w:color="auto" w:fill="D9E1F2"/>
          </w:tcPr>
          <w:p>
            <w:pPr>
              <w:spacing w:before="40" w:after="40"/>
            </w:pPr>
            <w:r>
              <w:rPr>
                <w:rFonts w:ascii="Calibri" w:hAnsi="Calibri"/>
                <w:b/>
                <w:sz w:val="20"/>
              </w:rPr>
              <w:t>WP1</w:t>
            </w:r>
          </w:p>
        </w:tc>
        <w:tc>
          <w:tcPr>
            <w:tcW w:type="dxa" w:w="1344"/>
            <w:shd w:val="clear" w:color="auto" w:fill="D9E1F2"/>
          </w:tcPr>
          <w:p>
            <w:pPr>
              <w:spacing w:before="40" w:after="40"/>
            </w:pPr>
            <w:r>
              <w:rPr>
                <w:rFonts w:ascii="Calibri" w:hAnsi="Calibri"/>
                <w:b/>
                <w:sz w:val="20"/>
              </w:rPr>
              <w:t>WP2</w:t>
            </w:r>
          </w:p>
        </w:tc>
        <w:tc>
          <w:tcPr>
            <w:tcW w:type="dxa" w:w="1344"/>
            <w:shd w:val="clear" w:color="auto" w:fill="D9E1F2"/>
          </w:tcPr>
          <w:p>
            <w:pPr>
              <w:spacing w:before="40" w:after="40"/>
            </w:pPr>
            <w:r>
              <w:rPr>
                <w:rFonts w:ascii="Calibri" w:hAnsi="Calibri"/>
                <w:b/>
                <w:sz w:val="20"/>
              </w:rPr>
              <w:t>WP3</w:t>
            </w:r>
          </w:p>
        </w:tc>
        <w:tc>
          <w:tcPr>
            <w:tcW w:type="dxa" w:w="1344"/>
            <w:shd w:val="clear" w:color="auto" w:fill="D9E1F2"/>
          </w:tcPr>
          <w:p>
            <w:pPr>
              <w:spacing w:before="40" w:after="40"/>
            </w:pPr>
            <w:r>
              <w:rPr>
                <w:rFonts w:ascii="Calibri" w:hAnsi="Calibri"/>
                <w:b/>
                <w:sz w:val="20"/>
              </w:rPr>
              <w:t>WP4</w:t>
            </w:r>
          </w:p>
        </w:tc>
        <w:tc>
          <w:tcPr>
            <w:tcW w:type="dxa" w:w="1344"/>
            <w:shd w:val="clear" w:color="auto" w:fill="D9E1F2"/>
          </w:tcPr>
          <w:p>
            <w:pPr>
              <w:spacing w:before="40" w:after="40"/>
            </w:pPr>
            <w:r>
              <w:rPr>
                <w:rFonts w:ascii="Calibri" w:hAnsi="Calibri"/>
                <w:b/>
                <w:sz w:val="20"/>
              </w:rPr>
              <w:t>Total PM</w:t>
            </w:r>
          </w:p>
        </w:tc>
      </w:tr>
      <w:tr>
        <w:tc>
          <w:tcPr>
            <w:tcW w:type="dxa" w:w="1344"/>
          </w:tcPr>
          <w:p>
            <w:pPr>
              <w:spacing w:before="40" w:after="40"/>
            </w:pPr>
            <w:r>
              <w:rPr>
                <w:rFonts w:ascii="Calibri" w:hAnsi="Calibri"/>
                <w:sz w:val="20"/>
              </w:rPr>
              <w:t>PI (Tkemaladze, MD)</w:t>
            </w:r>
          </w:p>
        </w:tc>
        <w:tc>
          <w:tcPr>
            <w:tcW w:type="dxa" w:w="1344"/>
          </w:tcPr>
          <w:p>
            <w:pPr>
              <w:spacing w:before="40" w:after="40"/>
            </w:pPr>
            <w:r>
              <w:rPr>
                <w:rFonts w:ascii="Calibri" w:hAnsi="Calibri"/>
                <w:sz w:val="20"/>
              </w:rPr>
              <w:t>Phasis Academy</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18</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b/>
                <w:sz w:val="20"/>
              </w:rPr>
              <w:t>42</w:t>
            </w:r>
          </w:p>
        </w:tc>
      </w:tr>
      <w:tr>
        <w:tc>
          <w:tcPr>
            <w:tcW w:type="dxa" w:w="1344"/>
          </w:tcPr>
          <w:p>
            <w:pPr>
              <w:spacing w:before="40" w:after="40"/>
            </w:pPr>
            <w:r>
              <w:rPr>
                <w:rFonts w:ascii="Calibri" w:hAnsi="Calibri"/>
                <w:sz w:val="20"/>
              </w:rPr>
              <w:t>co-PI (Prof. Batoni Gela)</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4</w:t>
            </w:r>
          </w:p>
        </w:tc>
        <w:tc>
          <w:tcPr>
            <w:tcW w:type="dxa" w:w="1344"/>
          </w:tcPr>
          <w:p>
            <w:pPr>
              <w:spacing w:before="40" w:after="40"/>
            </w:pPr>
            <w:r>
              <w:rPr>
                <w:rFonts w:ascii="Calibri" w:hAnsi="Calibri"/>
                <w:b/>
                <w:sz w:val="20"/>
              </w:rPr>
              <w:t>34</w:t>
            </w:r>
          </w:p>
        </w:tc>
      </w:tr>
      <w:tr>
        <w:tc>
          <w:tcPr>
            <w:tcW w:type="dxa" w:w="1344"/>
          </w:tcPr>
          <w:p>
            <w:pPr>
              <w:spacing w:before="40" w:after="40"/>
            </w:pPr>
            <w:r>
              <w:rPr>
                <w:rFonts w:ascii="Calibri" w:hAnsi="Calibri"/>
                <w:sz w:val="20"/>
              </w:rPr>
              <w:t>Postdoc — Cell Biology</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18</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b/>
                <w:sz w:val="20"/>
              </w:rPr>
              <w:t>36</w:t>
            </w:r>
          </w:p>
        </w:tc>
      </w:tr>
      <w:tr>
        <w:tc>
          <w:tcPr>
            <w:tcW w:type="dxa" w:w="1344"/>
          </w:tcPr>
          <w:p>
            <w:pPr>
              <w:spacing w:before="40" w:after="40"/>
            </w:pPr>
            <w:r>
              <w:rPr>
                <w:rFonts w:ascii="Calibri" w:hAnsi="Calibri"/>
                <w:sz w:val="20"/>
              </w:rPr>
              <w:t>Postdoc — Bioinformatics</w:t>
            </w:r>
          </w:p>
        </w:tc>
        <w:tc>
          <w:tcPr>
            <w:tcW w:type="dxa" w:w="1344"/>
          </w:tcPr>
          <w:p>
            <w:pPr>
              <w:spacing w:before="40" w:after="40"/>
            </w:pPr>
            <w:r>
              <w:rPr>
                <w:rFonts w:ascii="Calibri" w:hAnsi="Calibri"/>
                <w:sz w:val="20"/>
              </w:rPr>
              <w:t>Phasis Academy</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24</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b/>
                <w:sz w:val="20"/>
              </w:rPr>
              <w:t>36</w:t>
            </w:r>
          </w:p>
        </w:tc>
      </w:tr>
      <w:tr>
        <w:tc>
          <w:tcPr>
            <w:tcW w:type="dxa" w:w="1344"/>
          </w:tcPr>
          <w:p>
            <w:pPr>
              <w:spacing w:before="40" w:after="40"/>
            </w:pPr>
            <w:r>
              <w:rPr>
                <w:rFonts w:ascii="Calibri" w:hAnsi="Calibri"/>
                <w:sz w:val="20"/>
              </w:rPr>
              <w:t>PhD student 1</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24</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b/>
                <w:sz w:val="20"/>
              </w:rPr>
              <w:t>42</w:t>
            </w:r>
          </w:p>
        </w:tc>
      </w:tr>
      <w:tr>
        <w:tc>
          <w:tcPr>
            <w:tcW w:type="dxa" w:w="1344"/>
          </w:tcPr>
          <w:p>
            <w:pPr>
              <w:spacing w:before="40" w:after="40"/>
            </w:pPr>
            <w:r>
              <w:rPr>
                <w:rFonts w:ascii="Calibri" w:hAnsi="Calibri"/>
                <w:sz w:val="20"/>
              </w:rPr>
              <w:t>PhD student 2</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24</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b/>
                <w:sz w:val="20"/>
              </w:rPr>
              <w:t>36</w:t>
            </w:r>
          </w:p>
        </w:tc>
      </w:tr>
      <w:tr>
        <w:tc>
          <w:tcPr>
            <w:tcW w:type="dxa" w:w="1344"/>
          </w:tcPr>
          <w:p>
            <w:pPr>
              <w:spacing w:before="40" w:after="40"/>
            </w:pPr>
            <w:r>
              <w:rPr>
                <w:rFonts w:ascii="Calibri" w:hAnsi="Calibri"/>
                <w:sz w:val="20"/>
              </w:rPr>
              <w:t>Clinical Research Nurse ×2</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72</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b/>
                <w:sz w:val="20"/>
              </w:rPr>
              <w:t>72</w:t>
            </w:r>
          </w:p>
        </w:tc>
      </w:tr>
      <w:tr>
        <w:tc>
          <w:tcPr>
            <w:tcW w:type="dxa" w:w="1344"/>
          </w:tcPr>
          <w:p>
            <w:pPr>
              <w:spacing w:before="40" w:after="40"/>
            </w:pPr>
            <w:r>
              <w:rPr>
                <w:rFonts w:ascii="Calibri" w:hAnsi="Calibri"/>
                <w:sz w:val="20"/>
              </w:rPr>
              <w:t>Lab Technician</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24</w:t>
            </w:r>
          </w:p>
        </w:tc>
        <w:tc>
          <w:tcPr>
            <w:tcW w:type="dxa" w:w="1344"/>
          </w:tcPr>
          <w:p>
            <w:pPr>
              <w:spacing w:before="40" w:after="40"/>
            </w:pPr>
            <w:r>
              <w:rPr>
                <w:rFonts w:ascii="Calibri" w:hAnsi="Calibri"/>
                <w:sz w:val="20"/>
              </w:rPr>
              <w:t>12</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b/>
                <w:sz w:val="20"/>
              </w:rPr>
              <w:t>36</w:t>
            </w:r>
          </w:p>
        </w:tc>
      </w:tr>
      <w:tr>
        <w:tc>
          <w:tcPr>
            <w:tcW w:type="dxa" w:w="1344"/>
          </w:tcPr>
          <w:p>
            <w:pPr>
              <w:spacing w:before="40" w:after="40"/>
            </w:pPr>
            <w:r>
              <w:rPr>
                <w:rFonts w:ascii="Calibri" w:hAnsi="Calibri"/>
                <w:sz w:val="20"/>
              </w:rPr>
              <w:t>Biostatistician (0.5)</w:t>
            </w:r>
          </w:p>
        </w:tc>
        <w:tc>
          <w:tcPr>
            <w:tcW w:type="dxa" w:w="1344"/>
          </w:tcPr>
          <w:p>
            <w:pPr>
              <w:spacing w:before="40" w:after="40"/>
            </w:pPr>
            <w:r>
              <w:rPr>
                <w:rFonts w:ascii="Calibri" w:hAnsi="Calibri"/>
                <w:sz w:val="20"/>
              </w:rPr>
              <w:t>GTU</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18</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sz w:val="20"/>
              </w:rPr>
              <w:t>3</w:t>
            </w:r>
          </w:p>
        </w:tc>
        <w:tc>
          <w:tcPr>
            <w:tcW w:type="dxa" w:w="1344"/>
          </w:tcPr>
          <w:p>
            <w:pPr>
              <w:spacing w:before="40" w:after="40"/>
            </w:pPr>
            <w:r>
              <w:rPr>
                <w:rFonts w:ascii="Calibri" w:hAnsi="Calibri"/>
                <w:b/>
                <w:sz w:val="20"/>
              </w:rPr>
              <w:t>27</w:t>
            </w:r>
          </w:p>
        </w:tc>
      </w:tr>
      <w:tr>
        <w:tc>
          <w:tcPr>
            <w:tcW w:type="dxa" w:w="1344"/>
          </w:tcPr>
          <w:p>
            <w:pPr>
              <w:spacing w:before="40" w:after="40"/>
            </w:pPr>
            <w:r>
              <w:rPr>
                <w:rFonts w:ascii="Calibri" w:hAnsi="Calibri"/>
                <w:sz w:val="20"/>
              </w:rPr>
              <w:t>Rust Engineer</w:t>
            </w:r>
          </w:p>
        </w:tc>
        <w:tc>
          <w:tcPr>
            <w:tcW w:type="dxa" w:w="1344"/>
          </w:tcPr>
          <w:p>
            <w:pPr>
              <w:spacing w:before="40" w:after="40"/>
            </w:pPr>
            <w:r>
              <w:rPr>
                <w:rFonts w:ascii="Calibri" w:hAnsi="Calibri"/>
                <w:sz w:val="20"/>
              </w:rPr>
              <w:t>Phasis Academy</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w:t>
            </w:r>
          </w:p>
        </w:tc>
        <w:tc>
          <w:tcPr>
            <w:tcW w:type="dxa" w:w="1344"/>
          </w:tcPr>
          <w:p>
            <w:pPr>
              <w:spacing w:before="40" w:after="40"/>
            </w:pPr>
            <w:r>
              <w:rPr>
                <w:rFonts w:ascii="Calibri" w:hAnsi="Calibri"/>
                <w:sz w:val="20"/>
              </w:rPr>
              <w:t>30</w:t>
            </w:r>
          </w:p>
        </w:tc>
        <w:tc>
          <w:tcPr>
            <w:tcW w:type="dxa" w:w="1344"/>
          </w:tcPr>
          <w:p>
            <w:pPr>
              <w:spacing w:before="40" w:after="40"/>
            </w:pPr>
            <w:r>
              <w:rPr>
                <w:rFonts w:ascii="Calibri" w:hAnsi="Calibri"/>
                <w:sz w:val="20"/>
              </w:rPr>
              <w:t>6</w:t>
            </w:r>
          </w:p>
        </w:tc>
        <w:tc>
          <w:tcPr>
            <w:tcW w:type="dxa" w:w="1344"/>
          </w:tcPr>
          <w:p>
            <w:pPr>
              <w:spacing w:before="40" w:after="40"/>
            </w:pPr>
            <w:r>
              <w:rPr>
                <w:rFonts w:ascii="Calibri" w:hAnsi="Calibri"/>
                <w:b/>
                <w:sz w:val="20"/>
              </w:rPr>
              <w:t>36</w:t>
            </w:r>
          </w:p>
        </w:tc>
      </w:tr>
      <w:tr>
        <w:tc>
          <w:tcPr>
            <w:tcW w:type="dxa" w:w="1344"/>
          </w:tcPr>
          <w:p>
            <w:pPr>
              <w:spacing w:before="40" w:after="40"/>
            </w:pPr>
            <w:r>
              <w:rPr>
                <w:rFonts w:ascii="Calibri" w:hAnsi="Calibri"/>
                <w:b/>
                <w:sz w:val="20"/>
              </w:rPr>
              <w:t>Total</w:t>
            </w:r>
          </w:p>
        </w:tc>
        <w:tc>
          <w:tcPr>
            <w:tcW w:type="dxa" w:w="1344"/>
          </w:tcPr>
          <w:p>
            <w:pPr>
              <w:spacing w:before="40" w:after="40"/>
            </w:pPr>
          </w:p>
        </w:tc>
        <w:tc>
          <w:tcPr>
            <w:tcW w:type="dxa" w:w="1344"/>
          </w:tcPr>
          <w:p>
            <w:pPr>
              <w:spacing w:before="40" w:after="40"/>
            </w:pPr>
            <w:r>
              <w:rPr>
                <w:rFonts w:ascii="Calibri" w:hAnsi="Calibri"/>
                <w:b/>
                <w:sz w:val="20"/>
              </w:rPr>
              <w:t>84</w:t>
            </w:r>
          </w:p>
        </w:tc>
        <w:tc>
          <w:tcPr>
            <w:tcW w:type="dxa" w:w="1344"/>
          </w:tcPr>
          <w:p>
            <w:pPr>
              <w:spacing w:before="40" w:after="40"/>
            </w:pPr>
            <w:r>
              <w:rPr>
                <w:rFonts w:ascii="Calibri" w:hAnsi="Calibri"/>
                <w:b/>
                <w:sz w:val="20"/>
              </w:rPr>
              <w:t>168</w:t>
            </w:r>
          </w:p>
        </w:tc>
        <w:tc>
          <w:tcPr>
            <w:tcW w:type="dxa" w:w="1344"/>
          </w:tcPr>
          <w:p>
            <w:pPr>
              <w:spacing w:before="40" w:after="40"/>
            </w:pPr>
            <w:r>
              <w:rPr>
                <w:rFonts w:ascii="Calibri" w:hAnsi="Calibri"/>
                <w:b/>
                <w:sz w:val="20"/>
              </w:rPr>
              <w:t>90</w:t>
            </w:r>
          </w:p>
        </w:tc>
        <w:tc>
          <w:tcPr>
            <w:tcW w:type="dxa" w:w="1344"/>
          </w:tcPr>
          <w:p>
            <w:pPr>
              <w:spacing w:before="40" w:after="40"/>
            </w:pPr>
            <w:r>
              <w:rPr>
                <w:rFonts w:ascii="Calibri" w:hAnsi="Calibri"/>
                <w:b/>
                <w:sz w:val="20"/>
              </w:rPr>
              <w:t>55</w:t>
            </w:r>
          </w:p>
        </w:tc>
        <w:tc>
          <w:tcPr>
            <w:tcW w:type="dxa" w:w="1344"/>
          </w:tcPr>
          <w:p>
            <w:pPr>
              <w:spacing w:before="40" w:after="40"/>
            </w:pPr>
            <w:r>
              <w:rPr>
                <w:rFonts w:ascii="Calibri" w:hAnsi="Calibri"/>
                <w:b/>
                <w:sz w:val="20"/>
              </w:rPr>
              <w:t>397</w:t>
            </w:r>
          </w:p>
        </w:tc>
      </w:tr>
    </w:tbl>
    <w:p>
      <w:pPr>
        <w:spacing w:after="120"/>
      </w:pPr>
    </w:p>
    <w:p>
      <w:pPr>
        <w:spacing w:before="80" w:after="80"/>
        <w:pBdr>
          <w:bottom w:val="single" w:sz="6" w:space="1" w:color="auto"/>
        </w:pBdr>
      </w:pPr>
    </w:p>
    <w:p>
      <w:pPr>
        <w:spacing w:before="200" w:after="60"/>
        <w:outlineLvl w:val="2"/>
      </w:pPr>
      <w:r>
        <w:rPr>
          <w:rFonts w:ascii="Calibri" w:hAnsi="Calibri"/>
          <w:b/>
          <w:sz w:val="24"/>
        </w:rPr>
        <w:t>3.2 Capacity of Participants and Consortium</w:t>
      </w:r>
    </w:p>
    <w:p>
      <w:pPr>
        <w:spacing w:before="160" w:after="60"/>
        <w:outlineLvl w:val="3"/>
      </w:pPr>
      <w:r>
        <w:rPr>
          <w:rFonts w:ascii="Calibri" w:hAnsi="Calibri"/>
          <w:b/>
          <w:i/>
          <w:sz w:val="22"/>
        </w:rPr>
        <w:t>3.2.1 Phasis Academy (Lead Beneficiary)</w:t>
      </w:r>
    </w:p>
    <w:p>
      <w:pPr>
        <w:spacing w:before="0" w:after="120" w:line="276" w:lineRule="auto"/>
      </w:pPr>
      <w:r>
        <w:rPr>
          <w:rFonts w:ascii="Calibri" w:hAnsi="Calibri"/>
          <w:b/>
          <w:sz w:val="22"/>
        </w:rPr>
        <w:t>Legal status:</w:t>
      </w:r>
      <w:r>
        <w:rPr>
          <w:rFonts w:ascii="Calibri" w:hAnsi="Calibri"/>
          <w:sz w:val="22"/>
        </w:rPr>
        <w:t xml:space="preserve"> Non-profit scientific research organisation, registered in Georgia (Registration No. [to be confirmed]; established 1974, Poti, Georgia). Phasis Academy operates under Georgian Law on Non-Entrepreneurial (Non-Commercial) Legal Entities and is authorised to conduct scientific research and receive international grant funding.</w:t>
      </w:r>
    </w:p>
    <w:p>
      <w:pPr>
        <w:spacing w:before="0" w:after="120" w:line="276" w:lineRule="auto"/>
      </w:pPr>
      <w:r>
        <w:rPr>
          <w:rFonts w:ascii="Calibri" w:hAnsi="Calibri"/>
          <w:b/>
          <w:sz w:val="22"/>
        </w:rPr>
        <w:t>Research track record:</w:t>
      </w:r>
      <w:r>
        <w:rPr>
          <w:rFonts w:ascii="Calibri" w:hAnsi="Calibri"/>
          <w:sz w:val="22"/>
        </w:rPr>
        <w:t xml:space="preserve"> Phasis Academy has supported interdisciplinary research in the natural sciences and humanities for over 50 years. The institution has hosted research projects in comparative biology, ecology, and theoretical biology. For this application, Phasis Academy's research direction in computational ageing biology (CDATA programme, launched 2022) is formally constituted with dedicated research infrastructure.</w:t>
      </w:r>
    </w:p>
    <w:p>
      <w:pPr>
        <w:spacing w:before="0" w:after="120" w:line="276" w:lineRule="auto"/>
      </w:pPr>
      <w:r>
        <w:rPr>
          <w:rFonts w:ascii="Calibri" w:hAnsi="Calibri"/>
          <w:b/>
          <w:sz w:val="22"/>
        </w:rPr>
        <w:t>Administrative capacity:</w:t>
      </w:r>
      <w:r>
        <w:rPr>
          <w:rFonts w:ascii="Calibri" w:hAnsi="Calibri"/>
          <w:sz w:val="22"/>
        </w:rPr>
        <w:t xml:space="preserve"> Phasis Academy maintains a dedicated financial administration unit capable of EU-standard reporting (SAP-compatible accounting; annual audit by certified Georgian auditor). A letter of support from the Phasis Academy President confirming dedicated research space, server infrastructure for Cell-DT computation, and committed administrative personnel is available upon request.</w:t>
      </w:r>
    </w:p>
    <w:p>
      <w:pPr>
        <w:spacing w:before="0" w:after="120" w:line="276" w:lineRule="auto"/>
      </w:pPr>
      <w:r>
        <w:rPr>
          <w:rFonts w:ascii="Calibri" w:hAnsi="Calibri"/>
          <w:b/>
          <w:sz w:val="22"/>
        </w:rPr>
        <w:t>Dr. Jaba Tkemaladze, MD — Principal Investigator</w:t>
      </w:r>
    </w:p>
    <w:p>
      <w:pPr>
        <w:pStyle w:val="ListBullet"/>
        <w:spacing w:before="20" w:after="20"/>
      </w:pPr>
      <w:r>
        <w:rPr>
          <w:rFonts w:ascii="Calibri" w:hAnsi="Calibri"/>
          <w:sz w:val="22"/>
        </w:rPr>
        <w:t>20+ years clinical and research experience in integrative medicine and cellular gerontology</w:t>
      </w:r>
    </w:p>
    <w:p>
      <w:pPr>
        <w:pStyle w:val="ListBullet"/>
        <w:spacing w:before="20" w:after="20"/>
      </w:pPr>
      <w:r>
        <w:rPr>
          <w:rFonts w:ascii="Calibri" w:hAnsi="Calibri"/>
          <w:b/>
          <w:sz w:val="22"/>
        </w:rPr>
        <w:t>Published:</w:t>
      </w:r>
      <w:r>
        <w:rPr>
          <w:rFonts w:ascii="Calibri" w:hAnsi="Calibri"/>
          <w:sz w:val="22"/>
        </w:rPr>
        <w:t xml:space="preserve"> 2 peer-reviewed publications on CDATA (PMID 36583780; DOI 10.65649/yx9sn772)</w:t>
      </w:r>
    </w:p>
    <w:p>
      <w:pPr>
        <w:pStyle w:val="ListBullet"/>
        <w:spacing w:before="20" w:after="20"/>
      </w:pPr>
      <w:r>
        <w:rPr>
          <w:rFonts w:ascii="Calibri" w:hAnsi="Calibri"/>
          <w:b/>
          <w:sz w:val="22"/>
        </w:rPr>
        <w:t>Software:</w:t>
      </w:r>
      <w:r>
        <w:rPr>
          <w:rFonts w:ascii="Calibri" w:hAnsi="Calibri"/>
          <w:sz w:val="22"/>
        </w:rPr>
        <w:t xml:space="preserve"> Author of Cell-DT (14-module Rust platform; ≥439 tests; djabbat/CDATA-Longevity on GitHub)</w:t>
      </w:r>
    </w:p>
    <w:p>
      <w:pPr>
        <w:pStyle w:val="ListBullet"/>
        <w:spacing w:before="20" w:after="20"/>
      </w:pPr>
      <w:r>
        <w:rPr>
          <w:rFonts w:ascii="Calibri" w:hAnsi="Calibri"/>
          <w:b/>
          <w:sz w:val="22"/>
        </w:rPr>
        <w:t>Multilingual:</w:t>
      </w:r>
      <w:r>
        <w:rPr>
          <w:rFonts w:ascii="Calibri" w:hAnsi="Calibri"/>
          <w:sz w:val="22"/>
        </w:rPr>
        <w:t xml:space="preserve"> Publications and patient care in Russian, Georgian, English, Kazakh</w:t>
      </w:r>
    </w:p>
    <w:p>
      <w:pPr>
        <w:pStyle w:val="ListBullet"/>
        <w:spacing w:before="20" w:after="20"/>
      </w:pPr>
      <w:r>
        <w:rPr>
          <w:rFonts w:ascii="Calibri" w:hAnsi="Calibri"/>
          <w:b/>
          <w:sz w:val="22"/>
        </w:rPr>
        <w:t>Infrastructure:</w:t>
      </w:r>
      <w:r>
        <w:rPr>
          <w:rFonts w:ascii="Calibri" w:hAnsi="Calibri"/>
          <w:sz w:val="22"/>
        </w:rPr>
        <w:t xml:space="preserve"> Access to HPC computation (GTU HPC via co-PI); Cell-DT development environment; drjaba.com AI-assisted clinical platform (4 languages, active patient database)</w:t>
      </w:r>
    </w:p>
    <w:p>
      <w:pPr>
        <w:pStyle w:val="ListBullet"/>
        <w:spacing w:before="20" w:after="20"/>
      </w:pPr>
      <w:r>
        <w:rPr>
          <w:rFonts w:ascii="Calibri" w:hAnsi="Calibri"/>
          <w:b/>
          <w:sz w:val="22"/>
        </w:rPr>
        <w:t>Role in this project:</w:t>
      </w:r>
      <w:r>
        <w:rPr>
          <w:rFonts w:ascii="Calibri" w:hAnsi="Calibri"/>
          <w:sz w:val="22"/>
        </w:rPr>
        <w:t xml:space="preserve"> Scientific leadership, CDATA theoretical development, Cell-DT architecture, WP3/WP4 leadership</w:t>
      </w:r>
    </w:p>
    <w:p>
      <w:pPr>
        <w:spacing w:before="160" w:after="60"/>
        <w:outlineLvl w:val="3"/>
      </w:pPr>
      <w:r>
        <w:rPr>
          <w:rFonts w:ascii="Calibri" w:hAnsi="Calibri"/>
          <w:b/>
          <w:i/>
          <w:sz w:val="22"/>
        </w:rPr>
        <w:t>3.2.2 Georgian Technical University — ABET BME (Beneficiary 2)</w:t>
      </w:r>
    </w:p>
    <w:p>
      <w:pPr>
        <w:spacing w:before="0" w:after="120" w:line="276" w:lineRule="auto"/>
      </w:pPr>
      <w:r>
        <w:rPr>
          <w:rFonts w:ascii="Calibri" w:hAnsi="Calibri"/>
          <w:b/>
          <w:sz w:val="22"/>
        </w:rPr>
        <w:t>PIC:</w:t>
      </w:r>
      <w:r>
        <w:rPr>
          <w:rFonts w:ascii="Calibri" w:hAnsi="Calibri"/>
          <w:sz w:val="22"/>
        </w:rPr>
        <w:t xml:space="preserve"> 983636358</w:t>
      </w:r>
    </w:p>
    <w:p>
      <w:pPr>
        <w:spacing w:before="0" w:after="120" w:line="276" w:lineRule="auto"/>
      </w:pPr>
      <w:r>
        <w:rPr>
          <w:rFonts w:ascii="Calibri" w:hAnsi="Calibri"/>
          <w:b/>
          <w:sz w:val="22"/>
        </w:rPr>
        <w:t>Faculty:</w:t>
      </w:r>
      <w:r>
        <w:rPr>
          <w:rFonts w:ascii="Calibri" w:hAnsi="Calibri"/>
          <w:sz w:val="22"/>
        </w:rPr>
        <w:t xml:space="preserve"> ABET (Architecture, Urban Planning, Design and Engineering); Department of Biomedical Engineering</w:t>
      </w:r>
    </w:p>
    <w:p>
      <w:pPr>
        <w:spacing w:before="0" w:after="120" w:line="276" w:lineRule="auto"/>
      </w:pPr>
      <w:r>
        <w:rPr>
          <w:rFonts w:ascii="Calibri" w:hAnsi="Calibri"/>
          <w:b/>
          <w:sz w:val="22"/>
        </w:rPr>
        <w:t>Key resources:</w:t>
      </w:r>
    </w:p>
    <w:p>
      <w:pPr>
        <w:pStyle w:val="ListBullet"/>
        <w:spacing w:before="20" w:after="20"/>
      </w:pPr>
      <w:r>
        <w:rPr>
          <w:rFonts w:ascii="Calibri" w:hAnsi="Calibri"/>
          <w:sz w:val="22"/>
        </w:rPr>
        <w:t>Zeiss LSM 700 confocal microscope (operational, WP1 standard confocal imaging)</w:t>
      </w:r>
    </w:p>
    <w:p>
      <w:pPr>
        <w:pStyle w:val="ListBullet"/>
        <w:spacing w:before="20" w:after="20"/>
      </w:pPr>
      <w:r>
        <w:rPr>
          <w:rFonts w:ascii="Calibri" w:hAnsi="Calibri"/>
          <w:sz w:val="22"/>
        </w:rPr>
        <w:t>New Leica SP8 STED microscope acquisition planned in WP1 budget (€120K). The existing Zeiss LSM 700 will continue to be used for standard confocal imaging.</w:t>
      </w:r>
    </w:p>
    <w:p>
      <w:pPr>
        <w:pStyle w:val="ListBullet"/>
        <w:spacing w:before="20" w:after="20"/>
      </w:pPr>
      <w:r>
        <w:rPr>
          <w:rFonts w:ascii="Calibri" w:hAnsi="Calibri"/>
          <w:sz w:val="22"/>
        </w:rPr>
        <w:t>Cell culture facility (BSL-2; 3 laminar flow cabinets; ×2 CO₂ incubators)</w:t>
      </w:r>
    </w:p>
    <w:p>
      <w:pPr>
        <w:pStyle w:val="ListBullet"/>
        <w:spacing w:before="20" w:after="20"/>
      </w:pPr>
      <w:r>
        <w:rPr>
          <w:rFonts w:ascii="Calibri" w:hAnsi="Calibri"/>
          <w:sz w:val="22"/>
        </w:rPr>
        <w:t>Flow cytometry (BD FACSCanto II)</w:t>
      </w:r>
    </w:p>
    <w:p>
      <w:pPr>
        <w:pStyle w:val="ListBullet"/>
        <w:spacing w:before="20" w:after="20"/>
      </w:pPr>
      <w:r>
        <w:rPr>
          <w:rFonts w:ascii="Calibri" w:hAnsi="Calibri"/>
          <w:sz w:val="22"/>
        </w:rPr>
        <w:t>qPCR (Applied Biosystems 7900HT)</w:t>
      </w:r>
    </w:p>
    <w:p>
      <w:pPr>
        <w:pStyle w:val="ListBullet"/>
        <w:spacing w:before="20" w:after="20"/>
      </w:pPr>
      <w:r>
        <w:rPr>
          <w:rFonts w:ascii="Calibri" w:hAnsi="Calibri"/>
          <w:sz w:val="22"/>
        </w:rPr>
        <w:t>Biobank: -80°C storage (×4 ULT freezers)</w:t>
      </w:r>
    </w:p>
    <w:p>
      <w:pPr>
        <w:spacing w:before="0" w:after="120" w:line="276" w:lineRule="auto"/>
      </w:pPr>
      <w:r>
        <w:rPr>
          <w:rFonts w:ascii="Calibri" w:hAnsi="Calibri"/>
          <w:b/>
          <w:sz w:val="22"/>
        </w:rPr>
        <w:t>Horizon Track Record:</w:t>
      </w:r>
      <w:r>
        <w:rPr>
          <w:rFonts w:ascii="Calibri" w:hAnsi="Calibri"/>
          <w:sz w:val="22"/>
        </w:rPr>
        <w:t xml:space="preserve"> FORGE-AI project (HORIZON-MSCA-2024-SE-01, running 2025–2028, GA #101216703) — confirming GTU's capacity to manage EU-funded projects, international reporting standards, and financial management of &gt;€2M budgets.</w:t>
      </w:r>
    </w:p>
    <w:p>
      <w:pPr>
        <w:spacing w:before="0" w:after="120" w:line="276" w:lineRule="auto"/>
      </w:pPr>
      <w:r>
        <w:rPr>
          <w:rFonts w:ascii="Calibri" w:hAnsi="Calibri"/>
          <w:b/>
          <w:sz w:val="22"/>
        </w:rPr>
        <w:t>co-PI — Prof. Batoni Gela, PhD — GTU ABET BME</w:t>
      </w:r>
    </w:p>
    <w:p>
      <w:pPr>
        <w:pStyle w:val="ListBullet"/>
        <w:spacing w:before="20" w:after="20"/>
      </w:pPr>
      <w:r>
        <w:rPr>
          <w:rFonts w:ascii="Calibri" w:hAnsi="Calibri"/>
          <w:sz w:val="22"/>
        </w:rPr>
        <w:t>Professor of Biomedical Engineering, Georgian Technical University ABET</w:t>
      </w:r>
    </w:p>
    <w:p>
      <w:pPr>
        <w:pStyle w:val="ListBullet"/>
        <w:spacing w:before="20" w:after="20"/>
      </w:pPr>
      <w:r>
        <w:rPr>
          <w:rFonts w:ascii="Calibri" w:hAnsi="Calibri"/>
          <w:sz w:val="22"/>
        </w:rPr>
        <w:t>Member of FORGE-AI Horizon Europe consortium (GA #101216703, 2025–2028); confirmed EU project management and international reporting experience</w:t>
      </w:r>
    </w:p>
    <w:p>
      <w:pPr>
        <w:pStyle w:val="ListBullet"/>
        <w:spacing w:before="20" w:after="20"/>
      </w:pPr>
      <w:r>
        <w:rPr>
          <w:rFonts w:ascii="Calibri" w:hAnsi="Calibri"/>
          <w:b/>
          <w:sz w:val="22"/>
        </w:rPr>
        <w:t>Role in CDATA:</w:t>
      </w:r>
      <w:r>
        <w:rPr>
          <w:rFonts w:ascii="Calibri" w:hAnsi="Calibri"/>
          <w:sz w:val="22"/>
        </w:rPr>
        <w:t xml:space="preserve"> oversight of WP1 in vitro experiments, WP2 cohort execution, and Leica SP8 STED imaging quality control; co-signatory on all GTU deliverables</w:t>
      </w:r>
    </w:p>
    <w:p>
      <w:pPr>
        <w:pStyle w:val="ListBullet"/>
        <w:spacing w:before="20" w:after="20"/>
      </w:pPr>
      <w:r>
        <w:rPr>
          <w:rFonts w:ascii="Calibri" w:hAnsi="Calibri"/>
          <w:sz w:val="22"/>
        </w:rPr>
        <w:t>CV available upon request; to be submitted with Part A</w:t>
      </w:r>
    </w:p>
    <w:p>
      <w:pPr>
        <w:spacing w:before="160" w:after="60"/>
        <w:outlineLvl w:val="3"/>
      </w:pPr>
      <w:r>
        <w:rPr>
          <w:rFonts w:ascii="Calibri" w:hAnsi="Calibri"/>
          <w:b/>
          <w:i/>
          <w:sz w:val="22"/>
        </w:rPr>
        <w:t>3.2.3 Consortium Rationale</w:t>
      </w:r>
    </w:p>
    <w:p>
      <w:pPr>
        <w:spacing w:before="0" w:after="120" w:line="276" w:lineRule="auto"/>
      </w:pPr>
      <w:r>
        <w:rPr>
          <w:rFonts w:ascii="Calibri" w:hAnsi="Calibri"/>
          <w:sz w:val="22"/>
        </w:rPr>
        <w:t>The two-institution consortium reflects focused scientific scope (TRL 1–4) appropriate for EIC Pathfinder:</w:t>
      </w:r>
    </w:p>
    <w:p>
      <w:pPr>
        <w:pStyle w:val="ListBullet"/>
        <w:spacing w:before="20" w:after="20"/>
      </w:pPr>
      <w:r>
        <w:rPr>
          <w:rFonts w:ascii="Calibri" w:hAnsi="Calibri"/>
          <w:b/>
          <w:sz w:val="22"/>
        </w:rPr>
        <w:t>Phasis Academy:</w:t>
      </w:r>
      <w:r>
        <w:rPr>
          <w:rFonts w:ascii="Calibri" w:hAnsi="Calibri"/>
          <w:sz w:val="22"/>
        </w:rPr>
        <w:t xml:space="preserve"> CDATA theory origination, Cell-DT computational development, WP3/WP4 leadership</w:t>
      </w:r>
    </w:p>
    <w:p>
      <w:pPr>
        <w:pStyle w:val="ListBullet"/>
        <w:spacing w:before="20" w:after="20"/>
      </w:pPr>
      <w:r>
        <w:rPr>
          <w:rFonts w:ascii="Calibri" w:hAnsi="Calibri"/>
          <w:b/>
          <w:sz w:val="22"/>
        </w:rPr>
        <w:t>GTU:</w:t>
      </w:r>
      <w:r>
        <w:rPr>
          <w:rFonts w:ascii="Calibri" w:hAnsi="Calibri"/>
          <w:sz w:val="22"/>
        </w:rPr>
        <w:t xml:space="preserve"> Experimental validation infrastructure, clinical cohort execution, STED super-resolution imaging, EU project management experience</w:t>
      </w:r>
    </w:p>
    <w:p>
      <w:pPr>
        <w:spacing w:before="0" w:after="120" w:line="276" w:lineRule="auto"/>
      </w:pPr>
      <w:r>
        <w:rPr>
          <w:rFonts w:ascii="Calibri" w:hAnsi="Calibri"/>
          <w:sz w:val="22"/>
        </w:rPr>
        <w:t>The consortium is intentionally lean. Larger consortia are appropriate for RIA or MSCA calls; EIC Pathfinder rewards scientific focus and daring hypothesis-driven research from small teams.</w:t>
      </w:r>
    </w:p>
    <w:p>
      <w:pPr>
        <w:spacing w:before="80" w:after="80"/>
        <w:pBdr>
          <w:bottom w:val="single" w:sz="6" w:space="1" w:color="auto"/>
        </w:pBdr>
      </w:pPr>
    </w:p>
    <w:p>
      <w:pPr>
        <w:spacing w:before="200" w:after="60"/>
        <w:outlineLvl w:val="2"/>
      </w:pPr>
      <w:r>
        <w:rPr>
          <w:rFonts w:ascii="Calibri" w:hAnsi="Calibri"/>
          <w:b/>
          <w:sz w:val="24"/>
        </w:rPr>
        <w:t>3.3 Budget Breakdown</w:t>
      </w:r>
    </w:p>
    <w:p>
      <w:pPr>
        <w:spacing w:before="160" w:after="60"/>
        <w:outlineLvl w:val="3"/>
      </w:pPr>
      <w:r>
        <w:rPr>
          <w:rFonts w:ascii="Calibri" w:hAnsi="Calibri"/>
          <w:b/>
          <w:i/>
          <w:sz w:val="22"/>
        </w:rPr>
        <w:t>Table 3.3a: Budget by WP and Institution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Pr>
                <w:rFonts w:ascii="Calibri" w:hAnsi="Calibri"/>
                <w:b/>
                <w:sz w:val="20"/>
              </w:rPr>
              <w:t>Budget item</w:t>
            </w:r>
          </w:p>
        </w:tc>
        <w:tc>
          <w:tcPr>
            <w:tcW w:type="dxa" w:w="1568"/>
            <w:shd w:val="clear" w:color="auto" w:fill="D9E1F2"/>
          </w:tcPr>
          <w:p>
            <w:pPr>
              <w:spacing w:before="40" w:after="40"/>
            </w:pPr>
            <w:r>
              <w:rPr>
                <w:rFonts w:ascii="Calibri" w:hAnsi="Calibri"/>
                <w:b/>
                <w:sz w:val="20"/>
              </w:rPr>
              <w:t>WP1 (GTU)</w:t>
            </w:r>
          </w:p>
        </w:tc>
        <w:tc>
          <w:tcPr>
            <w:tcW w:type="dxa" w:w="1568"/>
            <w:shd w:val="clear" w:color="auto" w:fill="D9E1F2"/>
          </w:tcPr>
          <w:p>
            <w:pPr>
              <w:spacing w:before="40" w:after="40"/>
            </w:pPr>
            <w:r>
              <w:rPr>
                <w:rFonts w:ascii="Calibri" w:hAnsi="Calibri"/>
                <w:b/>
                <w:sz w:val="20"/>
              </w:rPr>
              <w:t>WP2 (GTU)</w:t>
            </w:r>
          </w:p>
        </w:tc>
        <w:tc>
          <w:tcPr>
            <w:tcW w:type="dxa" w:w="1568"/>
            <w:shd w:val="clear" w:color="auto" w:fill="D9E1F2"/>
          </w:tcPr>
          <w:p>
            <w:pPr>
              <w:spacing w:before="40" w:after="40"/>
            </w:pPr>
            <w:r>
              <w:rPr>
                <w:rFonts w:ascii="Calibri" w:hAnsi="Calibri"/>
                <w:b/>
                <w:sz w:val="20"/>
              </w:rPr>
              <w:t>WP3 (Phasis)</w:t>
            </w:r>
          </w:p>
        </w:tc>
        <w:tc>
          <w:tcPr>
            <w:tcW w:type="dxa" w:w="1568"/>
            <w:shd w:val="clear" w:color="auto" w:fill="D9E1F2"/>
          </w:tcPr>
          <w:p>
            <w:pPr>
              <w:spacing w:before="40" w:after="40"/>
            </w:pPr>
            <w:r>
              <w:rPr>
                <w:rFonts w:ascii="Calibri" w:hAnsi="Calibri"/>
                <w:b/>
                <w:sz w:val="20"/>
              </w:rPr>
              <w:t>WP4 (Phasis)</w:t>
            </w:r>
          </w:p>
        </w:tc>
        <w:tc>
          <w:tcPr>
            <w:tcW w:type="dxa" w:w="1568"/>
            <w:shd w:val="clear" w:color="auto" w:fill="D9E1F2"/>
          </w:tcPr>
          <w:p>
            <w:pPr>
              <w:spacing w:before="40" w:after="40"/>
            </w:pPr>
            <w:r>
              <w:rPr>
                <w:rFonts w:ascii="Calibri" w:hAnsi="Calibri"/>
                <w:b/>
                <w:sz w:val="20"/>
              </w:rPr>
              <w:t>Total</w:t>
            </w:r>
          </w:p>
        </w:tc>
      </w:tr>
      <w:tr>
        <w:tc>
          <w:tcPr>
            <w:tcW w:type="dxa" w:w="1568"/>
          </w:tcPr>
          <w:p>
            <w:pPr>
              <w:spacing w:before="40" w:after="40"/>
            </w:pPr>
            <w:r>
              <w:rPr>
                <w:rFonts w:ascii="Calibri" w:hAnsi="Calibri"/>
                <w:b/>
                <w:sz w:val="20"/>
              </w:rPr>
              <w:t>Personnel</w:t>
            </w:r>
          </w:p>
        </w:tc>
        <w:tc>
          <w:tcPr>
            <w:tcW w:type="dxa" w:w="1568"/>
          </w:tcPr>
          <w:p>
            <w:pPr>
              <w:spacing w:before="40" w:after="40"/>
            </w:pPr>
            <w:r>
              <w:rPr>
                <w:rFonts w:ascii="Calibri" w:hAnsi="Calibri"/>
                <w:sz w:val="20"/>
              </w:rPr>
              <w:t>€420,000</w:t>
            </w:r>
          </w:p>
        </w:tc>
        <w:tc>
          <w:tcPr>
            <w:tcW w:type="dxa" w:w="1568"/>
          </w:tcPr>
          <w:p>
            <w:pPr>
              <w:spacing w:before="40" w:after="40"/>
            </w:pPr>
            <w:r>
              <w:rPr>
                <w:rFonts w:ascii="Calibri" w:hAnsi="Calibri"/>
                <w:sz w:val="20"/>
              </w:rPr>
              <w:t>€280,000</w:t>
            </w:r>
          </w:p>
        </w:tc>
        <w:tc>
          <w:tcPr>
            <w:tcW w:type="dxa" w:w="1568"/>
          </w:tcPr>
          <w:p>
            <w:pPr>
              <w:spacing w:before="40" w:after="40"/>
            </w:pPr>
            <w:r>
              <w:rPr>
                <w:rFonts w:ascii="Calibri" w:hAnsi="Calibri"/>
                <w:sz w:val="20"/>
              </w:rPr>
              <w:t>€220,000</w:t>
            </w:r>
          </w:p>
        </w:tc>
        <w:tc>
          <w:tcPr>
            <w:tcW w:type="dxa" w:w="1568"/>
          </w:tcPr>
          <w:p>
            <w:pPr>
              <w:spacing w:before="40" w:after="40"/>
            </w:pPr>
            <w:r>
              <w:rPr>
                <w:rFonts w:ascii="Calibri" w:hAnsi="Calibri"/>
                <w:sz w:val="20"/>
              </w:rPr>
              <w:t>€160,000</w:t>
            </w:r>
          </w:p>
        </w:tc>
        <w:tc>
          <w:tcPr>
            <w:tcW w:type="dxa" w:w="1568"/>
          </w:tcPr>
          <w:p>
            <w:pPr>
              <w:spacing w:before="40" w:after="40"/>
            </w:pPr>
            <w:r>
              <w:rPr>
                <w:rFonts w:ascii="Calibri" w:hAnsi="Calibri"/>
                <w:sz w:val="20"/>
              </w:rPr>
              <w:t>€1,080,000</w:t>
            </w:r>
          </w:p>
        </w:tc>
      </w:tr>
      <w:tr>
        <w:tc>
          <w:tcPr>
            <w:tcW w:type="dxa" w:w="1568"/>
          </w:tcPr>
          <w:p>
            <w:pPr>
              <w:spacing w:before="40" w:after="40"/>
            </w:pPr>
            <w:r>
              <w:rPr>
                <w:rFonts w:ascii="Calibri" w:hAnsi="Calibri"/>
                <w:b/>
                <w:sz w:val="20"/>
              </w:rPr>
              <w:t>Equipment</w:t>
            </w:r>
          </w:p>
        </w:tc>
        <w:tc>
          <w:tcPr>
            <w:tcW w:type="dxa" w:w="1568"/>
          </w:tcPr>
          <w:p>
            <w:pPr>
              <w:spacing w:before="40" w:after="40"/>
            </w:pPr>
            <w:r>
              <w:rPr>
                <w:rFonts w:ascii="Calibri" w:hAnsi="Calibri"/>
                <w:sz w:val="20"/>
              </w:rPr>
              <w:t>€200,000*</w:t>
            </w:r>
          </w:p>
        </w:tc>
        <w:tc>
          <w:tcPr>
            <w:tcW w:type="dxa" w:w="1568"/>
          </w:tcPr>
          <w:p>
            <w:pPr>
              <w:spacing w:before="40" w:after="40"/>
            </w:pPr>
            <w:r>
              <w:rPr>
                <w:rFonts w:ascii="Calibri" w:hAnsi="Calibri"/>
                <w:sz w:val="20"/>
              </w:rPr>
              <w:t>€20,000</w:t>
            </w:r>
          </w:p>
        </w:tc>
        <w:tc>
          <w:tcPr>
            <w:tcW w:type="dxa" w:w="1568"/>
          </w:tcPr>
          <w:p>
            <w:pPr>
              <w:spacing w:before="40" w:after="40"/>
            </w:pPr>
            <w:r>
              <w:rPr>
                <w:rFonts w:ascii="Calibri" w:hAnsi="Calibri"/>
                <w:sz w:val="20"/>
              </w:rPr>
              <w:t>€40,000</w:t>
            </w:r>
          </w:p>
        </w:tc>
        <w:tc>
          <w:tcPr>
            <w:tcW w:type="dxa" w:w="1568"/>
          </w:tcPr>
          <w:p>
            <w:pPr>
              <w:spacing w:before="40" w:after="40"/>
            </w:pPr>
            <w:r>
              <w:rPr>
                <w:rFonts w:ascii="Calibri" w:hAnsi="Calibri"/>
                <w:sz w:val="20"/>
              </w:rPr>
              <w:t>€10,000</w:t>
            </w:r>
          </w:p>
        </w:tc>
        <w:tc>
          <w:tcPr>
            <w:tcW w:type="dxa" w:w="1568"/>
          </w:tcPr>
          <w:p>
            <w:pPr>
              <w:spacing w:before="40" w:after="40"/>
            </w:pPr>
            <w:r>
              <w:rPr>
                <w:rFonts w:ascii="Calibri" w:hAnsi="Calibri"/>
                <w:sz w:val="20"/>
              </w:rPr>
              <w:t>€270,000</w:t>
            </w:r>
          </w:p>
        </w:tc>
      </w:tr>
      <w:tr>
        <w:tc>
          <w:tcPr>
            <w:tcW w:type="dxa" w:w="1568"/>
          </w:tcPr>
          <w:p>
            <w:pPr>
              <w:spacing w:before="40" w:after="40"/>
            </w:pPr>
            <w:r>
              <w:rPr>
                <w:rFonts w:ascii="Calibri" w:hAnsi="Calibri"/>
                <w:b/>
                <w:sz w:val="20"/>
              </w:rPr>
              <w:t>Consumables/reagents</w:t>
            </w:r>
          </w:p>
        </w:tc>
        <w:tc>
          <w:tcPr>
            <w:tcW w:type="dxa" w:w="1568"/>
          </w:tcPr>
          <w:p>
            <w:pPr>
              <w:spacing w:before="40" w:after="40"/>
            </w:pPr>
            <w:r>
              <w:rPr>
                <w:rFonts w:ascii="Calibri" w:hAnsi="Calibri"/>
                <w:sz w:val="20"/>
              </w:rPr>
              <w:t>€140,000</w:t>
            </w:r>
          </w:p>
        </w:tc>
        <w:tc>
          <w:tcPr>
            <w:tcW w:type="dxa" w:w="1568"/>
          </w:tcPr>
          <w:p>
            <w:pPr>
              <w:spacing w:before="40" w:after="40"/>
            </w:pPr>
            <w:r>
              <w:rPr>
                <w:rFonts w:ascii="Calibri" w:hAnsi="Calibri"/>
                <w:sz w:val="20"/>
              </w:rPr>
              <w:t>€60,000</w:t>
            </w:r>
          </w:p>
        </w:tc>
        <w:tc>
          <w:tcPr>
            <w:tcW w:type="dxa" w:w="1568"/>
          </w:tcPr>
          <w:p>
            <w:pPr>
              <w:spacing w:before="40" w:after="40"/>
            </w:pPr>
            <w:r>
              <w:rPr>
                <w:rFonts w:ascii="Calibri" w:hAnsi="Calibri"/>
                <w:sz w:val="20"/>
              </w:rPr>
              <w:t>€30,000</w:t>
            </w:r>
          </w:p>
        </w:tc>
        <w:tc>
          <w:tcPr>
            <w:tcW w:type="dxa" w:w="1568"/>
          </w:tcPr>
          <w:p>
            <w:pPr>
              <w:spacing w:before="40" w:after="40"/>
            </w:pPr>
            <w:r>
              <w:rPr>
                <w:rFonts w:ascii="Calibri" w:hAnsi="Calibri"/>
                <w:sz w:val="20"/>
              </w:rPr>
              <w:t>€80,000</w:t>
            </w:r>
          </w:p>
        </w:tc>
        <w:tc>
          <w:tcPr>
            <w:tcW w:type="dxa" w:w="1568"/>
          </w:tcPr>
          <w:p>
            <w:pPr>
              <w:spacing w:before="40" w:after="40"/>
            </w:pPr>
            <w:r>
              <w:rPr>
                <w:rFonts w:ascii="Calibri" w:hAnsi="Calibri"/>
                <w:sz w:val="20"/>
              </w:rPr>
              <w:t>€310,000</w:t>
            </w:r>
          </w:p>
        </w:tc>
      </w:tr>
      <w:tr>
        <w:tc>
          <w:tcPr>
            <w:tcW w:type="dxa" w:w="1568"/>
          </w:tcPr>
          <w:p>
            <w:pPr>
              <w:spacing w:before="40" w:after="40"/>
            </w:pPr>
            <w:r>
              <w:rPr>
                <w:rFonts w:ascii="Calibri" w:hAnsi="Calibri"/>
                <w:b/>
                <w:sz w:val="20"/>
              </w:rPr>
              <w:t>Travel/dissemination</w:t>
            </w:r>
          </w:p>
        </w:tc>
        <w:tc>
          <w:tcPr>
            <w:tcW w:type="dxa" w:w="1568"/>
          </w:tcPr>
          <w:p>
            <w:pPr>
              <w:spacing w:before="40" w:after="40"/>
            </w:pPr>
            <w:r>
              <w:rPr>
                <w:rFonts w:ascii="Calibri" w:hAnsi="Calibri"/>
                <w:sz w:val="20"/>
              </w:rPr>
              <w:t>€20,000</w:t>
            </w:r>
          </w:p>
        </w:tc>
        <w:tc>
          <w:tcPr>
            <w:tcW w:type="dxa" w:w="1568"/>
          </w:tcPr>
          <w:p>
            <w:pPr>
              <w:spacing w:before="40" w:after="40"/>
            </w:pPr>
            <w:r>
              <w:rPr>
                <w:rFonts w:ascii="Calibri" w:hAnsi="Calibri"/>
                <w:sz w:val="20"/>
              </w:rPr>
              <w:t>€30,000</w:t>
            </w:r>
          </w:p>
        </w:tc>
        <w:tc>
          <w:tcPr>
            <w:tcW w:type="dxa" w:w="1568"/>
          </w:tcPr>
          <w:p>
            <w:pPr>
              <w:spacing w:before="40" w:after="40"/>
            </w:pPr>
            <w:r>
              <w:rPr>
                <w:rFonts w:ascii="Calibri" w:hAnsi="Calibri"/>
                <w:sz w:val="20"/>
              </w:rPr>
              <w:t>€40,000</w:t>
            </w:r>
          </w:p>
        </w:tc>
        <w:tc>
          <w:tcPr>
            <w:tcW w:type="dxa" w:w="1568"/>
          </w:tcPr>
          <w:p>
            <w:pPr>
              <w:spacing w:before="40" w:after="40"/>
            </w:pPr>
            <w:r>
              <w:rPr>
                <w:rFonts w:ascii="Calibri" w:hAnsi="Calibri"/>
                <w:sz w:val="20"/>
              </w:rPr>
              <w:t>€40,000</w:t>
            </w:r>
          </w:p>
        </w:tc>
        <w:tc>
          <w:tcPr>
            <w:tcW w:type="dxa" w:w="1568"/>
          </w:tcPr>
          <w:p>
            <w:pPr>
              <w:spacing w:before="40" w:after="40"/>
            </w:pPr>
            <w:r>
              <w:rPr>
                <w:rFonts w:ascii="Calibri" w:hAnsi="Calibri"/>
                <w:sz w:val="20"/>
              </w:rPr>
              <w:t>€130,000</w:t>
            </w:r>
          </w:p>
        </w:tc>
      </w:tr>
      <w:tr>
        <w:tc>
          <w:tcPr>
            <w:tcW w:type="dxa" w:w="1568"/>
          </w:tcPr>
          <w:p>
            <w:pPr>
              <w:spacing w:before="40" w:after="40"/>
            </w:pPr>
            <w:r>
              <w:rPr>
                <w:rFonts w:ascii="Calibri" w:hAnsi="Calibri"/>
                <w:b/>
                <w:sz w:val="20"/>
              </w:rPr>
              <w:t>Subcontracting</w:t>
            </w:r>
          </w:p>
        </w:tc>
        <w:tc>
          <w:tcPr>
            <w:tcW w:type="dxa" w:w="1568"/>
          </w:tcPr>
          <w:p>
            <w:pPr>
              <w:spacing w:before="40" w:after="40"/>
            </w:pPr>
            <w:r>
              <w:rPr>
                <w:rFonts w:ascii="Calibri" w:hAnsi="Calibri"/>
                <w:sz w:val="20"/>
              </w:rPr>
              <w:t>€20,000</w:t>
            </w:r>
          </w:p>
        </w:tc>
        <w:tc>
          <w:tcPr>
            <w:tcW w:type="dxa" w:w="1568"/>
          </w:tcPr>
          <w:p>
            <w:pPr>
              <w:spacing w:before="40" w:after="40"/>
            </w:pPr>
            <w:r>
              <w:rPr>
                <w:rFonts w:ascii="Calibri" w:hAnsi="Calibri"/>
                <w:sz w:val="20"/>
              </w:rPr>
              <w:t>€60,000</w:t>
            </w:r>
          </w:p>
        </w:tc>
        <w:tc>
          <w:tcPr>
            <w:tcW w:type="dxa" w:w="1568"/>
          </w:tcPr>
          <w:p>
            <w:pPr>
              <w:spacing w:before="40" w:after="40"/>
            </w:pPr>
            <w:r>
              <w:rPr>
                <w:rFonts w:ascii="Calibri" w:hAnsi="Calibri"/>
                <w:sz w:val="20"/>
              </w:rPr>
              <w:t>€70,000</w:t>
            </w:r>
          </w:p>
        </w:tc>
        <w:tc>
          <w:tcPr>
            <w:tcW w:type="dxa" w:w="1568"/>
          </w:tcPr>
          <w:p>
            <w:pPr>
              <w:spacing w:before="40" w:after="40"/>
            </w:pPr>
            <w:r>
              <w:rPr>
                <w:rFonts w:ascii="Calibri" w:hAnsi="Calibri"/>
                <w:sz w:val="20"/>
              </w:rPr>
              <w:t>€60,000</w:t>
            </w:r>
          </w:p>
        </w:tc>
        <w:tc>
          <w:tcPr>
            <w:tcW w:type="dxa" w:w="1568"/>
          </w:tcPr>
          <w:p>
            <w:pPr>
              <w:spacing w:before="40" w:after="40"/>
            </w:pPr>
            <w:r>
              <w:rPr>
                <w:rFonts w:ascii="Calibri" w:hAnsi="Calibri"/>
                <w:sz w:val="20"/>
              </w:rPr>
              <w:t>€210,000</w:t>
            </w:r>
          </w:p>
        </w:tc>
      </w:tr>
      <w:tr>
        <w:tc>
          <w:tcPr>
            <w:tcW w:type="dxa" w:w="1568"/>
          </w:tcPr>
          <w:p>
            <w:pPr>
              <w:spacing w:before="40" w:after="40"/>
            </w:pPr>
            <w:r>
              <w:rPr>
                <w:rFonts w:ascii="Calibri" w:hAnsi="Calibri"/>
                <w:b/>
                <w:sz w:val="20"/>
              </w:rPr>
              <w:t>Direct total</w:t>
            </w:r>
          </w:p>
        </w:tc>
        <w:tc>
          <w:tcPr>
            <w:tcW w:type="dxa" w:w="1568"/>
          </w:tcPr>
          <w:p>
            <w:pPr>
              <w:spacing w:before="40" w:after="40"/>
            </w:pPr>
            <w:r>
              <w:rPr>
                <w:rFonts w:ascii="Calibri" w:hAnsi="Calibri"/>
                <w:b/>
                <w:sz w:val="20"/>
              </w:rPr>
              <w:t>€800,000</w:t>
            </w:r>
          </w:p>
        </w:tc>
        <w:tc>
          <w:tcPr>
            <w:tcW w:type="dxa" w:w="1568"/>
          </w:tcPr>
          <w:p>
            <w:pPr>
              <w:spacing w:before="40" w:after="40"/>
            </w:pPr>
            <w:r>
              <w:rPr>
                <w:rFonts w:ascii="Calibri" w:hAnsi="Calibri"/>
                <w:b/>
                <w:sz w:val="20"/>
              </w:rPr>
              <w:t>€450,000</w:t>
            </w:r>
          </w:p>
        </w:tc>
        <w:tc>
          <w:tcPr>
            <w:tcW w:type="dxa" w:w="1568"/>
          </w:tcPr>
          <w:p>
            <w:pPr>
              <w:spacing w:before="40" w:after="40"/>
            </w:pPr>
            <w:r>
              <w:rPr>
                <w:rFonts w:ascii="Calibri" w:hAnsi="Calibri"/>
                <w:b/>
                <w:sz w:val="20"/>
              </w:rPr>
              <w:t>€400,000</w:t>
            </w:r>
          </w:p>
        </w:tc>
        <w:tc>
          <w:tcPr>
            <w:tcW w:type="dxa" w:w="1568"/>
          </w:tcPr>
          <w:p>
            <w:pPr>
              <w:spacing w:before="40" w:after="40"/>
            </w:pPr>
            <w:r>
              <w:rPr>
                <w:rFonts w:ascii="Calibri" w:hAnsi="Calibri"/>
                <w:b/>
                <w:sz w:val="20"/>
              </w:rPr>
              <w:t>€350,000</w:t>
            </w:r>
          </w:p>
        </w:tc>
        <w:tc>
          <w:tcPr>
            <w:tcW w:type="dxa" w:w="1568"/>
          </w:tcPr>
          <w:p>
            <w:pPr>
              <w:spacing w:before="40" w:after="40"/>
            </w:pPr>
            <w:r>
              <w:rPr>
                <w:rFonts w:ascii="Calibri" w:hAnsi="Calibri"/>
                <w:b/>
                <w:sz w:val="20"/>
              </w:rPr>
              <w:t>€2,000,000</w:t>
            </w:r>
          </w:p>
        </w:tc>
      </w:tr>
      <w:tr>
        <w:tc>
          <w:tcPr>
            <w:tcW w:type="dxa" w:w="1568"/>
          </w:tcPr>
          <w:p>
            <w:pPr>
              <w:spacing w:before="40" w:after="40"/>
            </w:pPr>
            <w:r>
              <w:rPr>
                <w:rFonts w:ascii="Calibri" w:hAnsi="Calibri"/>
                <w:b/>
                <w:sz w:val="20"/>
              </w:rPr>
              <w:t>Indirect (25%)</w:t>
            </w:r>
          </w:p>
        </w:tc>
        <w:tc>
          <w:tcPr>
            <w:tcW w:type="dxa" w:w="1568"/>
          </w:tcPr>
          <w:p>
            <w:pPr>
              <w:spacing w:before="40" w:after="40"/>
            </w:pPr>
            <w:r>
              <w:rPr>
                <w:rFonts w:ascii="Calibri" w:hAnsi="Calibri"/>
                <w:sz w:val="20"/>
              </w:rPr>
              <w:t>€200,000</w:t>
            </w:r>
          </w:p>
        </w:tc>
        <w:tc>
          <w:tcPr>
            <w:tcW w:type="dxa" w:w="1568"/>
          </w:tcPr>
          <w:p>
            <w:pPr>
              <w:spacing w:before="40" w:after="40"/>
            </w:pPr>
            <w:r>
              <w:rPr>
                <w:rFonts w:ascii="Calibri" w:hAnsi="Calibri"/>
                <w:sz w:val="20"/>
              </w:rPr>
              <w:t>€112,500</w:t>
            </w:r>
          </w:p>
        </w:tc>
        <w:tc>
          <w:tcPr>
            <w:tcW w:type="dxa" w:w="1568"/>
          </w:tcPr>
          <w:p>
            <w:pPr>
              <w:spacing w:before="40" w:after="40"/>
            </w:pPr>
            <w:r>
              <w:rPr>
                <w:rFonts w:ascii="Calibri" w:hAnsi="Calibri"/>
                <w:sz w:val="20"/>
              </w:rPr>
              <w:t>€100,000</w:t>
            </w:r>
          </w:p>
        </w:tc>
        <w:tc>
          <w:tcPr>
            <w:tcW w:type="dxa" w:w="1568"/>
          </w:tcPr>
          <w:p>
            <w:pPr>
              <w:spacing w:before="40" w:after="40"/>
            </w:pPr>
            <w:r>
              <w:rPr>
                <w:rFonts w:ascii="Calibri" w:hAnsi="Calibri"/>
                <w:sz w:val="20"/>
              </w:rPr>
              <w:t>€87,500</w:t>
            </w:r>
          </w:p>
        </w:tc>
        <w:tc>
          <w:tcPr>
            <w:tcW w:type="dxa" w:w="1568"/>
          </w:tcPr>
          <w:p>
            <w:pPr>
              <w:spacing w:before="40" w:after="40"/>
            </w:pPr>
            <w:r>
              <w:rPr>
                <w:rFonts w:ascii="Calibri" w:hAnsi="Calibri"/>
                <w:b/>
                <w:sz w:val="20"/>
              </w:rPr>
              <w:t>€500,000</w:t>
            </w:r>
          </w:p>
        </w:tc>
      </w:tr>
      <w:tr>
        <w:tc>
          <w:tcPr>
            <w:tcW w:type="dxa" w:w="1568"/>
          </w:tcPr>
          <w:p>
            <w:pPr>
              <w:spacing w:before="40" w:after="40"/>
            </w:pPr>
            <w:r>
              <w:rPr>
                <w:rFonts w:ascii="Calibri" w:hAnsi="Calibri"/>
                <w:b/>
                <w:sz w:val="20"/>
              </w:rPr>
              <w:t>Grand total</w:t>
            </w:r>
          </w:p>
        </w:tc>
        <w:tc>
          <w:tcPr>
            <w:tcW w:type="dxa" w:w="1568"/>
          </w:tcPr>
          <w:p>
            <w:pPr>
              <w:spacing w:before="40" w:after="40"/>
            </w:pPr>
            <w:r>
              <w:rPr>
                <w:rFonts w:ascii="Calibri" w:hAnsi="Calibri"/>
                <w:b/>
                <w:sz w:val="20"/>
              </w:rPr>
              <w:t>€1,000,000</w:t>
            </w:r>
          </w:p>
        </w:tc>
        <w:tc>
          <w:tcPr>
            <w:tcW w:type="dxa" w:w="1568"/>
          </w:tcPr>
          <w:p>
            <w:pPr>
              <w:spacing w:before="40" w:after="40"/>
            </w:pPr>
            <w:r>
              <w:rPr>
                <w:rFonts w:ascii="Calibri" w:hAnsi="Calibri"/>
                <w:b/>
                <w:sz w:val="20"/>
              </w:rPr>
              <w:t>€562,500</w:t>
            </w:r>
          </w:p>
        </w:tc>
        <w:tc>
          <w:tcPr>
            <w:tcW w:type="dxa" w:w="1568"/>
          </w:tcPr>
          <w:p>
            <w:pPr>
              <w:spacing w:before="40" w:after="40"/>
            </w:pPr>
            <w:r>
              <w:rPr>
                <w:rFonts w:ascii="Calibri" w:hAnsi="Calibri"/>
                <w:b/>
                <w:sz w:val="20"/>
              </w:rPr>
              <w:t>€500,000</w:t>
            </w:r>
          </w:p>
        </w:tc>
        <w:tc>
          <w:tcPr>
            <w:tcW w:type="dxa" w:w="1568"/>
          </w:tcPr>
          <w:p>
            <w:pPr>
              <w:spacing w:before="40" w:after="40"/>
            </w:pPr>
            <w:r>
              <w:rPr>
                <w:rFonts w:ascii="Calibri" w:hAnsi="Calibri"/>
                <w:b/>
                <w:sz w:val="20"/>
              </w:rPr>
              <w:t>€437,500</w:t>
            </w:r>
          </w:p>
        </w:tc>
        <w:tc>
          <w:tcPr>
            <w:tcW w:type="dxa" w:w="1568"/>
          </w:tcPr>
          <w:p>
            <w:pPr>
              <w:spacing w:before="40" w:after="40"/>
            </w:pPr>
            <w:r>
              <w:rPr>
                <w:rFonts w:ascii="Calibri" w:hAnsi="Calibri"/>
                <w:b/>
                <w:sz w:val="20"/>
              </w:rPr>
              <w:t>€2,500,000</w:t>
            </w:r>
          </w:p>
        </w:tc>
      </w:tr>
    </w:tbl>
    <w:p>
      <w:pPr>
        <w:spacing w:after="120"/>
      </w:pPr>
    </w:p>
    <w:p>
      <w:pPr>
        <w:spacing w:before="0" w:after="120" w:line="276" w:lineRule="auto"/>
      </w:pPr>
      <w:r>
        <w:rPr>
          <w:rFonts w:ascii="Calibri" w:hAnsi="Calibri"/>
          <w:sz w:val="22"/>
        </w:rPr>
        <w:t>*Equipment WP1: Leica SP8 STED acquisition €120K + cell culture equipment €50K + ELISA reader €30K</w:t>
      </w:r>
    </w:p>
    <w:p>
      <w:pPr>
        <w:spacing w:before="160" w:after="60"/>
        <w:outlineLvl w:val="3"/>
      </w:pPr>
      <w:r>
        <w:rPr>
          <w:rFonts w:ascii="Calibri" w:hAnsi="Calibri"/>
          <w:b/>
          <w:i/>
          <w:sz w:val="22"/>
        </w:rPr>
        <w:t>Table 3.3b: Purchase Costs — Major Equipment Items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Pr>
                <w:rFonts w:ascii="Calibri" w:hAnsi="Calibri"/>
                <w:b/>
                <w:sz w:val="20"/>
              </w:rPr>
              <w:t>Item</w:t>
            </w:r>
          </w:p>
        </w:tc>
        <w:tc>
          <w:tcPr>
            <w:tcW w:type="dxa" w:w="2351"/>
            <w:shd w:val="clear" w:color="auto" w:fill="D9E1F2"/>
          </w:tcPr>
          <w:p>
            <w:pPr>
              <w:spacing w:before="40" w:after="40"/>
            </w:pPr>
            <w:r>
              <w:rPr>
                <w:rFonts w:ascii="Calibri" w:hAnsi="Calibri"/>
                <w:b/>
                <w:sz w:val="20"/>
              </w:rPr>
              <w:t>WP</w:t>
            </w:r>
          </w:p>
        </w:tc>
        <w:tc>
          <w:tcPr>
            <w:tcW w:type="dxa" w:w="2351"/>
            <w:shd w:val="clear" w:color="auto" w:fill="D9E1F2"/>
          </w:tcPr>
          <w:p>
            <w:pPr>
              <w:spacing w:before="40" w:after="40"/>
            </w:pPr>
            <w:r>
              <w:rPr>
                <w:rFonts w:ascii="Calibri" w:hAnsi="Calibri"/>
                <w:b/>
                <w:sz w:val="20"/>
              </w:rPr>
              <w:t>Cost (€)</w:t>
            </w:r>
          </w:p>
        </w:tc>
        <w:tc>
          <w:tcPr>
            <w:tcW w:type="dxa" w:w="2351"/>
            <w:shd w:val="clear" w:color="auto" w:fill="D9E1F2"/>
          </w:tcPr>
          <w:p>
            <w:pPr>
              <w:spacing w:before="40" w:after="40"/>
            </w:pPr>
            <w:r>
              <w:rPr>
                <w:rFonts w:ascii="Calibri" w:hAnsi="Calibri"/>
                <w:b/>
                <w:sz w:val="20"/>
              </w:rPr>
              <w:t>Justification</w:t>
            </w:r>
          </w:p>
        </w:tc>
      </w:tr>
      <w:tr>
        <w:tc>
          <w:tcPr>
            <w:tcW w:type="dxa" w:w="2351"/>
          </w:tcPr>
          <w:p>
            <w:pPr>
              <w:spacing w:before="40" w:after="40"/>
            </w:pPr>
            <w:r>
              <w:rPr>
                <w:rFonts w:ascii="Calibri" w:hAnsi="Calibri"/>
                <w:sz w:val="20"/>
              </w:rPr>
              <w:t>Leica SP8 STED microscope — new acquisition (GTU core)</w:t>
            </w:r>
          </w:p>
        </w:tc>
        <w:tc>
          <w:tcPr>
            <w:tcW w:type="dxa" w:w="2351"/>
          </w:tcPr>
          <w:p>
            <w:pPr>
              <w:spacing w:before="40" w:after="40"/>
            </w:pPr>
            <w:r>
              <w:rPr>
                <w:rFonts w:ascii="Calibri" w:hAnsi="Calibri"/>
                <w:sz w:val="20"/>
              </w:rPr>
              <w:t>WP1</w:t>
            </w:r>
          </w:p>
        </w:tc>
        <w:tc>
          <w:tcPr>
            <w:tcW w:type="dxa" w:w="2351"/>
          </w:tcPr>
          <w:p>
            <w:pPr>
              <w:spacing w:before="40" w:after="40"/>
            </w:pPr>
            <w:r>
              <w:rPr>
                <w:rFonts w:ascii="Calibri" w:hAnsi="Calibri"/>
                <w:sz w:val="20"/>
              </w:rPr>
              <w:t>120,000</w:t>
            </w:r>
          </w:p>
        </w:tc>
        <w:tc>
          <w:tcPr>
            <w:tcW w:type="dxa" w:w="2351"/>
          </w:tcPr>
          <w:p>
            <w:pPr>
              <w:spacing w:before="40" w:after="40"/>
            </w:pPr>
            <w:r>
              <w:rPr>
                <w:rFonts w:ascii="Calibri" w:hAnsi="Calibri"/>
                <w:sz w:val="20"/>
              </w:rPr>
              <w:t>Nanoscale centriolar appendage imaging; U-ExM requires resolution &lt; 100 nm. The Zeiss LSM 700 (existing) is used for standard confocal; Leica SP8 STED is a separate new instrument required for CEP164 nanotopology at &lt; 100 nm resolution</w:t>
            </w:r>
          </w:p>
        </w:tc>
      </w:tr>
      <w:tr>
        <w:tc>
          <w:tcPr>
            <w:tcW w:type="dxa" w:w="2351"/>
          </w:tcPr>
          <w:p>
            <w:pPr>
              <w:spacing w:before="40" w:after="40"/>
            </w:pPr>
            <w:r>
              <w:rPr>
                <w:rFonts w:ascii="Calibri" w:hAnsi="Calibri"/>
                <w:sz w:val="20"/>
              </w:rPr>
              <w:t>Miltenyi MACS EasySep (EPC isolation)</w:t>
            </w:r>
          </w:p>
        </w:tc>
        <w:tc>
          <w:tcPr>
            <w:tcW w:type="dxa" w:w="2351"/>
          </w:tcPr>
          <w:p>
            <w:pPr>
              <w:spacing w:before="40" w:after="40"/>
            </w:pPr>
            <w:r>
              <w:rPr>
                <w:rFonts w:ascii="Calibri" w:hAnsi="Calibri"/>
                <w:sz w:val="20"/>
              </w:rPr>
              <w:t>WP1</w:t>
            </w:r>
          </w:p>
        </w:tc>
        <w:tc>
          <w:tcPr>
            <w:tcW w:type="dxa" w:w="2351"/>
          </w:tcPr>
          <w:p>
            <w:pPr>
              <w:spacing w:before="40" w:after="40"/>
            </w:pPr>
            <w:r>
              <w:rPr>
                <w:rFonts w:ascii="Calibri" w:hAnsi="Calibri"/>
                <w:sz w:val="20"/>
              </w:rPr>
              <w:t>15,000</w:t>
            </w:r>
          </w:p>
        </w:tc>
        <w:tc>
          <w:tcPr>
            <w:tcW w:type="dxa" w:w="2351"/>
          </w:tcPr>
          <w:p>
            <w:pPr>
              <w:spacing w:before="40" w:after="40"/>
            </w:pPr>
            <w:r>
              <w:rPr>
                <w:rFonts w:ascii="Calibri" w:hAnsi="Calibri"/>
                <w:sz w:val="20"/>
              </w:rPr>
              <w:t>CD34⁺ EPC isolation from 20 mL donor blood; Vasa 2001 protocol</w:t>
            </w:r>
          </w:p>
        </w:tc>
      </w:tr>
      <w:tr>
        <w:tc>
          <w:tcPr>
            <w:tcW w:type="dxa" w:w="2351"/>
          </w:tcPr>
          <w:p>
            <w:pPr>
              <w:spacing w:before="40" w:after="40"/>
            </w:pPr>
            <w:r>
              <w:rPr>
                <w:rFonts w:ascii="Calibri" w:hAnsi="Calibri"/>
                <w:sz w:val="20"/>
              </w:rPr>
              <w:t>ELISA reader + washer (Synergy H1)</w:t>
            </w:r>
          </w:p>
        </w:tc>
        <w:tc>
          <w:tcPr>
            <w:tcW w:type="dxa" w:w="2351"/>
          </w:tcPr>
          <w:p>
            <w:pPr>
              <w:spacing w:before="40" w:after="40"/>
            </w:pPr>
            <w:r>
              <w:rPr>
                <w:rFonts w:ascii="Calibri" w:hAnsi="Calibri"/>
                <w:sz w:val="20"/>
              </w:rPr>
              <w:t>WP1</w:t>
            </w:r>
          </w:p>
        </w:tc>
        <w:tc>
          <w:tcPr>
            <w:tcW w:type="dxa" w:w="2351"/>
          </w:tcPr>
          <w:p>
            <w:pPr>
              <w:spacing w:before="40" w:after="40"/>
            </w:pPr>
            <w:r>
              <w:rPr>
                <w:rFonts w:ascii="Calibri" w:hAnsi="Calibri"/>
                <w:sz w:val="20"/>
              </w:rPr>
              <w:t>28,000</w:t>
            </w:r>
          </w:p>
        </w:tc>
        <w:tc>
          <w:tcPr>
            <w:tcW w:type="dxa" w:w="2351"/>
          </w:tcPr>
          <w:p>
            <w:pPr>
              <w:spacing w:before="40" w:after="40"/>
            </w:pPr>
            <w:r>
              <w:rPr>
                <w:rFonts w:ascii="Calibri" w:hAnsi="Calibri"/>
                <w:sz w:val="20"/>
              </w:rPr>
              <w:t>CEP164 ELISA assay development and validation</w:t>
            </w:r>
          </w:p>
        </w:tc>
      </w:tr>
      <w:tr>
        <w:tc>
          <w:tcPr>
            <w:tcW w:type="dxa" w:w="2351"/>
          </w:tcPr>
          <w:p>
            <w:pPr>
              <w:spacing w:before="40" w:after="40"/>
            </w:pPr>
            <w:r>
              <w:rPr>
                <w:rFonts w:ascii="Calibri" w:hAnsi="Calibri"/>
                <w:sz w:val="20"/>
              </w:rPr>
              <w:t>qPCR reagents (telomere length, 288 × 2 timepoints)</w:t>
            </w:r>
          </w:p>
        </w:tc>
        <w:tc>
          <w:tcPr>
            <w:tcW w:type="dxa" w:w="2351"/>
          </w:tcPr>
          <w:p>
            <w:pPr>
              <w:spacing w:before="40" w:after="40"/>
            </w:pPr>
            <w:r>
              <w:rPr>
                <w:rFonts w:ascii="Calibri" w:hAnsi="Calibri"/>
                <w:sz w:val="20"/>
              </w:rPr>
              <w:t>WP2</w:t>
            </w:r>
          </w:p>
        </w:tc>
        <w:tc>
          <w:tcPr>
            <w:tcW w:type="dxa" w:w="2351"/>
          </w:tcPr>
          <w:p>
            <w:pPr>
              <w:spacing w:before="40" w:after="40"/>
            </w:pPr>
            <w:r>
              <w:rPr>
                <w:rFonts w:ascii="Calibri" w:hAnsi="Calibri"/>
                <w:sz w:val="20"/>
              </w:rPr>
              <w:t>35,000</w:t>
            </w:r>
          </w:p>
        </w:tc>
        <w:tc>
          <w:tcPr>
            <w:tcW w:type="dxa" w:w="2351"/>
          </w:tcPr>
          <w:p>
            <w:pPr>
              <w:spacing w:before="40" w:after="40"/>
            </w:pPr>
            <w:r>
              <w:rPr>
                <w:rFonts w:ascii="Calibri" w:hAnsi="Calibri"/>
                <w:sz w:val="20"/>
              </w:rPr>
              <w:t>Telomere length measurement for WP2 cohort</w:t>
            </w:r>
          </w:p>
        </w:tc>
      </w:tr>
      <w:tr>
        <w:tc>
          <w:tcPr>
            <w:tcW w:type="dxa" w:w="2351"/>
          </w:tcPr>
          <w:p>
            <w:pPr>
              <w:spacing w:before="40" w:after="40"/>
            </w:pPr>
            <w:r>
              <w:rPr>
                <w:rFonts w:ascii="Calibri" w:hAnsi="Calibri"/>
                <w:sz w:val="20"/>
              </w:rPr>
              <w:t>ECG Holter monitors × 20 (HRV index)</w:t>
            </w:r>
          </w:p>
        </w:tc>
        <w:tc>
          <w:tcPr>
            <w:tcW w:type="dxa" w:w="2351"/>
          </w:tcPr>
          <w:p>
            <w:pPr>
              <w:spacing w:before="40" w:after="40"/>
            </w:pPr>
            <w:r>
              <w:rPr>
                <w:rFonts w:ascii="Calibri" w:hAnsi="Calibri"/>
                <w:sz w:val="20"/>
              </w:rPr>
              <w:t>WP2</w:t>
            </w:r>
          </w:p>
        </w:tc>
        <w:tc>
          <w:tcPr>
            <w:tcW w:type="dxa" w:w="2351"/>
          </w:tcPr>
          <w:p>
            <w:pPr>
              <w:spacing w:before="40" w:after="40"/>
            </w:pPr>
            <w:r>
              <w:rPr>
                <w:rFonts w:ascii="Calibri" w:hAnsi="Calibri"/>
                <w:sz w:val="20"/>
              </w:rPr>
              <w:t>18,000</w:t>
            </w:r>
          </w:p>
        </w:tc>
        <w:tc>
          <w:tcPr>
            <w:tcW w:type="dxa" w:w="2351"/>
          </w:tcPr>
          <w:p>
            <w:pPr>
              <w:spacing w:before="40" w:after="40"/>
            </w:pPr>
            <w:r>
              <w:rPr>
                <w:rFonts w:ascii="Calibri" w:hAnsi="Calibri"/>
                <w:sz w:val="20"/>
              </w:rPr>
              <w:t>5-minute HRV recordings for secondary endpoint</w:t>
            </w:r>
          </w:p>
        </w:tc>
      </w:tr>
      <w:tr>
        <w:tc>
          <w:tcPr>
            <w:tcW w:type="dxa" w:w="2351"/>
          </w:tcPr>
          <w:p>
            <w:pPr>
              <w:spacing w:before="40" w:after="40"/>
            </w:pPr>
            <w:r>
              <w:rPr>
                <w:rFonts w:ascii="Calibri" w:hAnsi="Calibri"/>
                <w:sz w:val="20"/>
              </w:rPr>
              <w:t>HPC cloud compute (AWS/Azure)</w:t>
            </w:r>
          </w:p>
        </w:tc>
        <w:tc>
          <w:tcPr>
            <w:tcW w:type="dxa" w:w="2351"/>
          </w:tcPr>
          <w:p>
            <w:pPr>
              <w:spacing w:before="40" w:after="40"/>
            </w:pPr>
            <w:r>
              <w:rPr>
                <w:rFonts w:ascii="Calibri" w:hAnsi="Calibri"/>
                <w:sz w:val="20"/>
              </w:rPr>
              <w:t>WP3</w:t>
            </w:r>
          </w:p>
        </w:tc>
        <w:tc>
          <w:tcPr>
            <w:tcW w:type="dxa" w:w="2351"/>
          </w:tcPr>
          <w:p>
            <w:pPr>
              <w:spacing w:before="40" w:after="40"/>
            </w:pPr>
            <w:r>
              <w:rPr>
                <w:rFonts w:ascii="Calibri" w:hAnsi="Calibri"/>
                <w:sz w:val="20"/>
              </w:rPr>
              <w:t>24,000</w:t>
            </w:r>
          </w:p>
        </w:tc>
        <w:tc>
          <w:tcPr>
            <w:tcW w:type="dxa" w:w="2351"/>
          </w:tcPr>
          <w:p>
            <w:pPr>
              <w:spacing w:before="40" w:after="40"/>
            </w:pPr>
            <w:r>
              <w:rPr>
                <w:rFonts w:ascii="Calibri" w:hAnsi="Calibri"/>
                <w:sz w:val="20"/>
              </w:rPr>
              <w:t>Bayesian parameter estimation (Stan MCMC); pBA fitting for n=288 patients</w:t>
            </w:r>
          </w:p>
        </w:tc>
      </w:tr>
      <w:tr>
        <w:tc>
          <w:tcPr>
            <w:tcW w:type="dxa" w:w="2351"/>
          </w:tcPr>
          <w:p>
            <w:pPr>
              <w:spacing w:before="40" w:after="40"/>
            </w:pPr>
            <w:r>
              <w:rPr>
                <w:rFonts w:ascii="Calibri" w:hAnsi="Calibri"/>
                <w:sz w:val="20"/>
              </w:rPr>
              <w:t>CFS (Certificate on Financial Statements)</w:t>
            </w:r>
          </w:p>
        </w:tc>
        <w:tc>
          <w:tcPr>
            <w:tcW w:type="dxa" w:w="2351"/>
          </w:tcPr>
          <w:p>
            <w:pPr>
              <w:spacing w:before="40" w:after="40"/>
            </w:pPr>
            <w:r>
              <w:rPr>
                <w:rFonts w:ascii="Calibri" w:hAnsi="Calibri"/>
                <w:sz w:val="20"/>
              </w:rPr>
              <w:t>Admin</w:t>
            </w:r>
          </w:p>
        </w:tc>
        <w:tc>
          <w:tcPr>
            <w:tcW w:type="dxa" w:w="2351"/>
          </w:tcPr>
          <w:p>
            <w:pPr>
              <w:spacing w:before="40" w:after="40"/>
            </w:pPr>
            <w:r>
              <w:rPr>
                <w:rFonts w:ascii="Calibri" w:hAnsi="Calibri"/>
                <w:sz w:val="20"/>
              </w:rPr>
              <w:t>7,000</w:t>
            </w:r>
          </w:p>
        </w:tc>
        <w:tc>
          <w:tcPr>
            <w:tcW w:type="dxa" w:w="2351"/>
          </w:tcPr>
          <w:p>
            <w:pPr>
              <w:spacing w:before="40" w:after="40"/>
            </w:pPr>
            <w:r>
              <w:rPr>
                <w:rFonts w:ascii="Calibri" w:hAnsi="Calibri"/>
                <w:sz w:val="20"/>
              </w:rPr>
              <w:t>Standard Horizon Europe requirement</w:t>
            </w:r>
          </w:p>
        </w:tc>
      </w:tr>
    </w:tbl>
    <w:p>
      <w:pPr>
        <w:spacing w:after="120"/>
      </w:pPr>
    </w:p>
    <w:p>
      <w:pPr>
        <w:spacing w:before="0" w:after="120" w:line="276" w:lineRule="auto"/>
      </w:pPr>
      <w:r>
        <w:rPr>
          <w:rFonts w:ascii="Calibri" w:hAnsi="Calibri"/>
          <w:b/>
          <w:sz w:val="22"/>
        </w:rPr>
        <w:t>Subcontracting WP2:</w:t>
      </w:r>
      <w:r>
        <w:rPr>
          <w:rFonts w:ascii="Calibri" w:hAnsi="Calibri"/>
          <w:sz w:val="22"/>
        </w:rPr>
        <w:t xml:space="preserve"> Clinical Research Organization (CRO) services for independent data monitoring (€60,000) — justified by ICH E6(R2) §5.18, which requires independent monitoring for GCP-compliant clinical studies and cannot be performed by the study site itself.</w:t>
      </w:r>
    </w:p>
    <w:p>
      <w:pPr>
        <w:spacing w:before="80" w:after="80"/>
        <w:pBdr>
          <w:bottom w:val="single" w:sz="6" w:space="1" w:color="auto"/>
        </w:pBdr>
      </w:pPr>
    </w:p>
    <w:p>
      <w:pPr>
        <w:spacing w:before="200" w:after="60"/>
        <w:outlineLvl w:val="2"/>
      </w:pPr>
      <w:r>
        <w:rPr>
          <w:rFonts w:ascii="Calibri" w:hAnsi="Calibri"/>
          <w:b/>
          <w:sz w:val="24"/>
        </w:rPr>
        <w:t>3.4 Risk Management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Pr>
                <w:rFonts w:ascii="Calibri" w:hAnsi="Calibri"/>
                <w:b/>
                <w:sz w:val="20"/>
              </w:rPr>
              <w:t>#</w:t>
            </w:r>
          </w:p>
        </w:tc>
        <w:tc>
          <w:tcPr>
            <w:tcW w:type="dxa" w:w="1881"/>
            <w:shd w:val="clear" w:color="auto" w:fill="D9E1F2"/>
          </w:tcPr>
          <w:p>
            <w:pPr>
              <w:spacing w:before="40" w:after="40"/>
            </w:pPr>
            <w:r>
              <w:rPr>
                <w:rFonts w:ascii="Calibri" w:hAnsi="Calibri"/>
                <w:b/>
                <w:sz w:val="20"/>
              </w:rPr>
              <w:t>Risk</w:t>
            </w:r>
          </w:p>
        </w:tc>
        <w:tc>
          <w:tcPr>
            <w:tcW w:type="dxa" w:w="1881"/>
            <w:shd w:val="clear" w:color="auto" w:fill="D9E1F2"/>
          </w:tcPr>
          <w:p>
            <w:pPr>
              <w:spacing w:before="40" w:after="40"/>
            </w:pPr>
            <w:r>
              <w:rPr>
                <w:rFonts w:ascii="Calibri" w:hAnsi="Calibri"/>
                <w:b/>
                <w:sz w:val="20"/>
              </w:rPr>
              <w:t>Probability</w:t>
            </w:r>
          </w:p>
        </w:tc>
        <w:tc>
          <w:tcPr>
            <w:tcW w:type="dxa" w:w="1881"/>
            <w:shd w:val="clear" w:color="auto" w:fill="D9E1F2"/>
          </w:tcPr>
          <w:p>
            <w:pPr>
              <w:spacing w:before="40" w:after="40"/>
            </w:pPr>
            <w:r>
              <w:rPr>
                <w:rFonts w:ascii="Calibri" w:hAnsi="Calibri"/>
                <w:b/>
                <w:sz w:val="20"/>
              </w:rPr>
              <w:t>Impact</w:t>
            </w:r>
          </w:p>
        </w:tc>
        <w:tc>
          <w:tcPr>
            <w:tcW w:type="dxa" w:w="1881"/>
            <w:shd w:val="clear" w:color="auto" w:fill="D9E1F2"/>
          </w:tcPr>
          <w:p>
            <w:pPr>
              <w:spacing w:before="40" w:after="40"/>
            </w:pPr>
            <w:r>
              <w:rPr>
                <w:rFonts w:ascii="Calibri" w:hAnsi="Calibri"/>
                <w:b/>
                <w:sz w:val="20"/>
              </w:rPr>
              <w:t>Mitigation</w:t>
            </w:r>
          </w:p>
        </w:tc>
      </w:tr>
      <w:tr>
        <w:tc>
          <w:tcPr>
            <w:tcW w:type="dxa" w:w="1881"/>
          </w:tcPr>
          <w:p>
            <w:pPr>
              <w:spacing w:before="40" w:after="40"/>
            </w:pPr>
            <w:r>
              <w:rPr>
                <w:rFonts w:ascii="Calibri" w:hAnsi="Calibri"/>
                <w:sz w:val="20"/>
              </w:rPr>
              <w:t>R1</w:t>
            </w:r>
          </w:p>
        </w:tc>
        <w:tc>
          <w:tcPr>
            <w:tcW w:type="dxa" w:w="1881"/>
          </w:tcPr>
          <w:p>
            <w:pPr>
              <w:spacing w:before="40" w:after="40"/>
            </w:pPr>
            <w:r>
              <w:rPr>
                <w:rFonts w:ascii="Calibri" w:hAnsi="Calibri"/>
                <w:b/>
                <w:sz w:val="20"/>
              </w:rPr>
              <w:t>GTU co-PI onboarding</w:t>
            </w:r>
          </w:p>
        </w:tc>
        <w:tc>
          <w:tcPr>
            <w:tcW w:type="dxa" w:w="1881"/>
          </w:tcPr>
          <w:p>
            <w:pPr>
              <w:spacing w:before="40" w:after="40"/>
            </w:pPr>
            <w:r>
              <w:rPr>
                <w:rFonts w:ascii="Calibri" w:hAnsi="Calibri"/>
                <w:sz w:val="20"/>
              </w:rPr>
              <w:t>Low</w:t>
            </w:r>
          </w:p>
        </w:tc>
        <w:tc>
          <w:tcPr>
            <w:tcW w:type="dxa" w:w="1881"/>
          </w:tcPr>
          <w:p>
            <w:pPr>
              <w:spacing w:before="40" w:after="40"/>
            </w:pPr>
            <w:r>
              <w:rPr>
                <w:rFonts w:ascii="Calibri" w:hAnsi="Calibri"/>
                <w:sz w:val="20"/>
              </w:rPr>
              <w:t>Low</w:t>
            </w:r>
          </w:p>
        </w:tc>
        <w:tc>
          <w:tcPr>
            <w:tcW w:type="dxa" w:w="1881"/>
          </w:tcPr>
          <w:p>
            <w:pPr>
              <w:spacing w:before="40" w:after="40"/>
            </w:pPr>
            <w:r>
              <w:rPr>
                <w:rFonts w:ascii="Calibri" w:hAnsi="Calibri"/>
                <w:sz w:val="20"/>
              </w:rPr>
              <w:t>co-PI confirmed: Prof. Batoni Gela (GTU ABET BME, FORGE-AI consortium member). CV and letter of support to be obtained before M1.</w:t>
            </w:r>
          </w:p>
        </w:tc>
      </w:tr>
      <w:tr>
        <w:tc>
          <w:tcPr>
            <w:tcW w:type="dxa" w:w="1881"/>
          </w:tcPr>
          <w:p>
            <w:pPr>
              <w:spacing w:before="40" w:after="40"/>
            </w:pPr>
            <w:r>
              <w:rPr>
                <w:rFonts w:ascii="Calibri" w:hAnsi="Calibri"/>
                <w:sz w:val="20"/>
              </w:rPr>
              <w:t>R2</w:t>
            </w:r>
          </w:p>
        </w:tc>
        <w:tc>
          <w:tcPr>
            <w:tcW w:type="dxa" w:w="1881"/>
          </w:tcPr>
          <w:p>
            <w:pPr>
              <w:spacing w:before="40" w:after="40"/>
            </w:pPr>
            <w:r>
              <w:rPr>
                <w:rFonts w:ascii="Calibri" w:hAnsi="Calibri"/>
                <w:b/>
                <w:sz w:val="20"/>
              </w:rPr>
              <w:t>CAII does not correlate with frailty</w:t>
            </w:r>
            <w:r>
              <w:rPr>
                <w:rFonts w:ascii="Calibri" w:hAnsi="Calibri"/>
                <w:sz w:val="20"/>
              </w:rPr>
              <w:t xml:space="preserve"> (primary endpoint fails)</w:t>
            </w:r>
          </w:p>
        </w:tc>
        <w:tc>
          <w:tcPr>
            <w:tcW w:type="dxa" w:w="1881"/>
          </w:tcPr>
          <w:p>
            <w:pPr>
              <w:spacing w:before="40" w:after="40"/>
            </w:pPr>
            <w:r>
              <w:rPr>
                <w:rFonts w:ascii="Calibri" w:hAnsi="Calibri"/>
                <w:sz w:val="20"/>
              </w:rPr>
              <w:t>Low-Medium</w:t>
            </w:r>
          </w:p>
        </w:tc>
        <w:tc>
          <w:tcPr>
            <w:tcW w:type="dxa" w:w="1881"/>
          </w:tcPr>
          <w:p>
            <w:pPr>
              <w:spacing w:before="40" w:after="40"/>
            </w:pPr>
            <w:r>
              <w:rPr>
                <w:rFonts w:ascii="Calibri" w:hAnsi="Calibri"/>
                <w:sz w:val="20"/>
              </w:rPr>
              <w:t>High</w:t>
            </w:r>
          </w:p>
        </w:tc>
        <w:tc>
          <w:tcPr>
            <w:tcW w:type="dxa" w:w="1881"/>
          </w:tcPr>
          <w:p>
            <w:pPr>
              <w:spacing w:before="40" w:after="40"/>
            </w:pPr>
            <w:r>
              <w:rPr>
                <w:rFonts w:ascii="Calibri" w:hAnsi="Calibri"/>
                <w:sz w:val="20"/>
              </w:rPr>
              <w:t>WP2 has 5 secondary endpoints (epigenetic clock, HRV index, telomere, immune markers, mortality); even a negative result for CAII is publishable and scientifically informative. Cell-DT development (WP3) is independent of WP2 outcome.</w:t>
            </w:r>
          </w:p>
        </w:tc>
      </w:tr>
      <w:tr>
        <w:tc>
          <w:tcPr>
            <w:tcW w:type="dxa" w:w="1881"/>
          </w:tcPr>
          <w:p>
            <w:pPr>
              <w:spacing w:before="40" w:after="40"/>
            </w:pPr>
            <w:r>
              <w:rPr>
                <w:rFonts w:ascii="Calibri" w:hAnsi="Calibri"/>
                <w:sz w:val="20"/>
              </w:rPr>
              <w:t>R3</w:t>
            </w:r>
          </w:p>
        </w:tc>
        <w:tc>
          <w:tcPr>
            <w:tcW w:type="dxa" w:w="1881"/>
          </w:tcPr>
          <w:p>
            <w:pPr>
              <w:spacing w:before="40" w:after="40"/>
            </w:pPr>
            <w:r>
              <w:rPr>
                <w:rFonts w:ascii="Calibri" w:hAnsi="Calibri"/>
                <w:b/>
                <w:sz w:val="20"/>
              </w:rPr>
              <w:t>Leica SP8 STED delivery delayed</w:t>
            </w:r>
            <w:r>
              <w:rPr>
                <w:rFonts w:ascii="Calibri" w:hAnsi="Calibri"/>
                <w:sz w:val="20"/>
              </w:rPr>
              <w:t xml:space="preserve"> (equipment supply chain)</w:t>
            </w:r>
          </w:p>
        </w:tc>
        <w:tc>
          <w:tcPr>
            <w:tcW w:type="dxa" w:w="1881"/>
          </w:tcPr>
          <w:p>
            <w:pPr>
              <w:spacing w:before="40" w:after="40"/>
            </w:pPr>
            <w:r>
              <w:rPr>
                <w:rFonts w:ascii="Calibri" w:hAnsi="Calibri"/>
                <w:sz w:val="20"/>
              </w:rPr>
              <w:t>Low</w:t>
            </w:r>
          </w:p>
        </w:tc>
        <w:tc>
          <w:tcPr>
            <w:tcW w:type="dxa" w:w="1881"/>
          </w:tcPr>
          <w:p>
            <w:pPr>
              <w:spacing w:before="40" w:after="40"/>
            </w:pPr>
            <w:r>
              <w:rPr>
                <w:rFonts w:ascii="Calibri" w:hAnsi="Calibri"/>
                <w:sz w:val="20"/>
              </w:rPr>
              <w:t>Medium</w:t>
            </w:r>
          </w:p>
        </w:tc>
        <w:tc>
          <w:tcPr>
            <w:tcW w:type="dxa" w:w="1881"/>
          </w:tcPr>
          <w:p>
            <w:pPr>
              <w:spacing w:before="40" w:after="40"/>
            </w:pPr>
            <w:r>
              <w:rPr>
                <w:rFonts w:ascii="Calibri" w:hAnsi="Calibri"/>
                <w:sz w:val="20"/>
              </w:rPr>
              <w:t>WP1 standard confocal (Zeiss LSM 700) used for months M1–M9; STED needed only from M10 for nanotopology. 3-month delay acceptable. Alternative: TSMU core facility confocal.</w:t>
            </w:r>
          </w:p>
        </w:tc>
      </w:tr>
      <w:tr>
        <w:tc>
          <w:tcPr>
            <w:tcW w:type="dxa" w:w="1881"/>
          </w:tcPr>
          <w:p>
            <w:pPr>
              <w:spacing w:before="40" w:after="40"/>
            </w:pPr>
            <w:r>
              <w:rPr>
                <w:rFonts w:ascii="Calibri" w:hAnsi="Calibri"/>
                <w:sz w:val="20"/>
              </w:rPr>
              <w:t>R4</w:t>
            </w:r>
          </w:p>
        </w:tc>
        <w:tc>
          <w:tcPr>
            <w:tcW w:type="dxa" w:w="1881"/>
          </w:tcPr>
          <w:p>
            <w:pPr>
              <w:spacing w:before="40" w:after="40"/>
            </w:pPr>
            <w:r>
              <w:rPr>
                <w:rFonts w:ascii="Calibri" w:hAnsi="Calibri"/>
                <w:b/>
                <w:sz w:val="20"/>
              </w:rPr>
              <w:t>Phasis Academy PIC not granted before M3</w:t>
            </w:r>
          </w:p>
        </w:tc>
        <w:tc>
          <w:tcPr>
            <w:tcW w:type="dxa" w:w="1881"/>
          </w:tcPr>
          <w:p>
            <w:pPr>
              <w:spacing w:before="40" w:after="40"/>
            </w:pPr>
            <w:r>
              <w:rPr>
                <w:rFonts w:ascii="Calibri" w:hAnsi="Calibri"/>
                <w:sz w:val="20"/>
              </w:rPr>
              <w:t>Medium</w:t>
            </w:r>
          </w:p>
        </w:tc>
        <w:tc>
          <w:tcPr>
            <w:tcW w:type="dxa" w:w="1881"/>
          </w:tcPr>
          <w:p>
            <w:pPr>
              <w:spacing w:before="40" w:after="40"/>
            </w:pPr>
            <w:r>
              <w:rPr>
                <w:rFonts w:ascii="Calibri" w:hAnsi="Calibri"/>
                <w:sz w:val="20"/>
              </w:rPr>
              <w:t>High</w:t>
            </w:r>
          </w:p>
        </w:tc>
        <w:tc>
          <w:tcPr>
            <w:tcW w:type="dxa" w:w="1881"/>
          </w:tcPr>
          <w:p>
            <w:pPr>
              <w:spacing w:before="40" w:after="40"/>
            </w:pPr>
            <w:r>
              <w:rPr>
                <w:rFonts w:ascii="Calibri" w:hAnsi="Calibri"/>
                <w:sz w:val="20"/>
              </w:rPr>
              <w:t>PIC registration initiated before project start. EU Funding Portal registration takes 2–4 weeks; GTU PIC (983636358) confirmed as administrative coordinator if Phasis PIC is delayed beyond M1.</w:t>
            </w:r>
          </w:p>
        </w:tc>
      </w:tr>
      <w:tr>
        <w:tc>
          <w:tcPr>
            <w:tcW w:type="dxa" w:w="1881"/>
          </w:tcPr>
          <w:p>
            <w:pPr>
              <w:spacing w:before="40" w:after="40"/>
            </w:pPr>
            <w:r>
              <w:rPr>
                <w:rFonts w:ascii="Calibri" w:hAnsi="Calibri"/>
                <w:sz w:val="20"/>
              </w:rPr>
              <w:t>R5</w:t>
            </w:r>
          </w:p>
        </w:tc>
        <w:tc>
          <w:tcPr>
            <w:tcW w:type="dxa" w:w="1881"/>
          </w:tcPr>
          <w:p>
            <w:pPr>
              <w:spacing w:before="40" w:after="40"/>
            </w:pPr>
            <w:r>
              <w:rPr>
                <w:rFonts w:ascii="Calibri" w:hAnsi="Calibri"/>
                <w:b/>
                <w:sz w:val="20"/>
              </w:rPr>
              <w:t>CentrosomeTransplant technically infeasible</w:t>
            </w:r>
            <w:r>
              <w:rPr>
                <w:rFonts w:ascii="Calibri" w:hAnsi="Calibri"/>
                <w:sz w:val="20"/>
              </w:rPr>
              <w:t xml:space="preserve"> in current form</w:t>
            </w:r>
          </w:p>
        </w:tc>
        <w:tc>
          <w:tcPr>
            <w:tcW w:type="dxa" w:w="1881"/>
          </w:tcPr>
          <w:p>
            <w:pPr>
              <w:spacing w:before="40" w:after="40"/>
            </w:pPr>
            <w:r>
              <w:rPr>
                <w:rFonts w:ascii="Calibri" w:hAnsi="Calibri"/>
                <w:sz w:val="20"/>
              </w:rPr>
              <w:t>Medium</w:t>
            </w:r>
          </w:p>
        </w:tc>
        <w:tc>
          <w:tcPr>
            <w:tcW w:type="dxa" w:w="1881"/>
          </w:tcPr>
          <w:p>
            <w:pPr>
              <w:spacing w:before="40" w:after="40"/>
            </w:pPr>
            <w:r>
              <w:rPr>
                <w:rFonts w:ascii="Calibri" w:hAnsi="Calibri"/>
                <w:sz w:val="20"/>
              </w:rPr>
              <w:t>Medium</w:t>
            </w:r>
          </w:p>
        </w:tc>
        <w:tc>
          <w:tcPr>
            <w:tcW w:type="dxa" w:w="1881"/>
          </w:tcPr>
          <w:p>
            <w:pPr>
              <w:spacing w:before="40" w:after="40"/>
            </w:pPr>
            <w:r>
              <w:rPr>
                <w:rFonts w:ascii="Calibri" w:hAnsi="Calibri"/>
                <w:sz w:val="20"/>
              </w:rPr>
              <w:t>WP4 includes 3 alternative interventions (CafdRetainer, Senolytics, Rapamycin/CR); PoC can be demonstrated with any one. IP strategy will pivot to validated interventions.</w:t>
            </w:r>
          </w:p>
        </w:tc>
      </w:tr>
    </w:tbl>
    <w:p>
      <w:pPr>
        <w:spacing w:after="120"/>
      </w:pPr>
    </w:p>
    <w:p>
      <w:pPr>
        <w:spacing w:before="80" w:after="80"/>
        <w:pBdr>
          <w:bottom w:val="single" w:sz="6" w:space="1" w:color="auto"/>
        </w:pBdr>
      </w:pPr>
    </w:p>
    <w:p>
      <w:pPr>
        <w:spacing w:before="200" w:after="60"/>
        <w:outlineLvl w:val="2"/>
      </w:pPr>
      <w:r>
        <w:rPr>
          <w:rFonts w:ascii="Calibri" w:hAnsi="Calibri"/>
          <w:b/>
          <w:sz w:val="24"/>
        </w:rPr>
        <w:t>3.5 Open Science Practices</w:t>
      </w:r>
    </w:p>
    <w:p>
      <w:pPr>
        <w:spacing w:before="0" w:after="120" w:line="276" w:lineRule="auto"/>
      </w:pPr>
      <w:r>
        <w:rPr>
          <w:rFonts w:ascii="Calibri" w:hAnsi="Calibri"/>
          <w:sz w:val="22"/>
        </w:rPr>
        <w:t>CDATA is committed to full Open Science compliance with Horizon Europe requirements:</w:t>
      </w:r>
    </w:p>
    <w:p>
      <w:pPr>
        <w:spacing w:before="0" w:after="120" w:line="276" w:lineRule="auto"/>
      </w:pPr>
      <w:r>
        <w:rPr>
          <w:rFonts w:ascii="Calibri" w:hAnsi="Calibri"/>
          <w:b/>
          <w:sz w:val="22"/>
        </w:rPr>
        <w:t>Open Access:</w:t>
      </w:r>
      <w:r>
        <w:rPr>
          <w:rFonts w:ascii="Calibri" w:hAnsi="Calibri"/>
          <w:sz w:val="22"/>
        </w:rPr>
        <w:t xml:space="preserve"> All publications in Gold OA journals (budgeted: €2,000 APC per publication × 4 target publications = €8,000) or Green OA repository deposit within 6 months of publication.</w:t>
      </w:r>
    </w:p>
    <w:p>
      <w:pPr>
        <w:spacing w:before="0" w:after="120" w:line="276" w:lineRule="auto"/>
      </w:pPr>
      <w:r>
        <w:rPr>
          <w:rFonts w:ascii="Calibri" w:hAnsi="Calibri"/>
          <w:b/>
          <w:sz w:val="22"/>
        </w:rPr>
        <w:t>FAIR Data:</w:t>
      </w:r>
    </w:p>
    <w:p>
      <w:pPr>
        <w:pStyle w:val="ListBullet"/>
        <w:spacing w:before="20" w:after="20"/>
      </w:pPr>
      <w:r>
        <w:rPr>
          <w:rFonts w:ascii="Calibri" w:hAnsi="Calibri"/>
          <w:sz w:val="22"/>
        </w:rPr>
        <w:t>WP1 experimental datasets: Zenodo (CC-BY 4.0); FAIR metadata (Dublin Core)</w:t>
      </w:r>
    </w:p>
    <w:p>
      <w:pPr>
        <w:pStyle w:val="ListBullet"/>
        <w:spacing w:before="20" w:after="20"/>
      </w:pPr>
      <w:r>
        <w:rPr>
          <w:rFonts w:ascii="Calibri" w:hAnsi="Calibri"/>
          <w:sz w:val="22"/>
        </w:rPr>
        <w:t>WP2 clinical dataset: anonymised, deposited to European Health Data Space (EHDS); GDPR-compliant consent; Findable and Accessible under restricted access protocol</w:t>
      </w:r>
    </w:p>
    <w:p>
      <w:pPr>
        <w:pStyle w:val="ListBullet"/>
        <w:spacing w:before="20" w:after="20"/>
      </w:pPr>
      <w:r>
        <w:rPr>
          <w:rFonts w:ascii="Calibri" w:hAnsi="Calibri"/>
          <w:sz w:val="22"/>
        </w:rPr>
        <w:t>Cell-DT code: GitHub (MIT licence) + Zenodo DOI for reproducibility citation; all releases tagged; unit tests (≥439) ensure computational reproducibility</w:t>
      </w:r>
    </w:p>
    <w:p>
      <w:pPr>
        <w:spacing w:before="0" w:after="120" w:line="276" w:lineRule="auto"/>
      </w:pPr>
      <w:r>
        <w:rPr>
          <w:rFonts w:ascii="Calibri" w:hAnsi="Calibri"/>
          <w:b/>
          <w:sz w:val="22"/>
        </w:rPr>
        <w:t>Responsible Research:</w:t>
      </w:r>
      <w:r>
        <w:rPr>
          <w:rFonts w:ascii="Calibri" w:hAnsi="Calibri"/>
          <w:sz w:val="22"/>
        </w:rPr>
        <w:t xml:space="preserve"> No animal experiments planned. Human subjects: WP2 clinical study complies with Declaration of Helsinki; GTU Ethics Committee + Georgian national bioethics requirements; IRB approval obtained before M3.</w:t>
      </w:r>
    </w:p>
    <w:p>
      <w:pPr>
        <w:spacing w:before="0" w:after="120" w:line="276" w:lineRule="auto"/>
      </w:pPr>
      <w:r>
        <w:rPr>
          <w:rFonts w:ascii="Calibri" w:hAnsi="Calibri"/>
          <w:b/>
          <w:sz w:val="22"/>
        </w:rPr>
        <w:t>EOSC (European Open Science Cloud):</w:t>
      </w:r>
      <w:r>
        <w:rPr>
          <w:rFonts w:ascii="Calibri" w:hAnsi="Calibri"/>
          <w:sz w:val="22"/>
        </w:rPr>
        <w:t xml:space="preserve"> Cell-DT deposited in EOSC-compatible Zenodo; WP2 anonymised dataset listed in B2FIND catalogue.</w:t>
      </w:r>
    </w:p>
    <w:p>
      <w:pPr>
        <w:spacing w:before="80" w:after="80"/>
        <w:pBdr>
          <w:bottom w:val="single" w:sz="6" w:space="1" w:color="auto"/>
        </w:pBdr>
      </w:pPr>
    </w:p>
    <w:p>
      <w:pPr>
        <w:spacing w:before="280" w:after="80"/>
        <w:outlineLvl w:val="1"/>
      </w:pPr>
      <w:r>
        <w:rPr>
          <w:rFonts w:ascii="Calibri" w:hAnsi="Calibri"/>
          <w:b/>
          <w:sz w:val="28"/>
        </w:rPr>
        <w:t>4. Ethics Self-Assessment</w:t>
      </w:r>
    </w:p>
    <w:p>
      <w:pPr>
        <w:spacing w:before="200" w:after="60"/>
        <w:outlineLvl w:val="2"/>
      </w:pPr>
      <w:r>
        <w:rPr>
          <w:rFonts w:ascii="Calibri" w:hAnsi="Calibri"/>
          <w:b/>
          <w:sz w:val="24"/>
        </w:rPr>
        <w:t>4.1 Ethical Dimensions of Objectives, Methodology and Likely Impact</w:t>
      </w:r>
    </w:p>
    <w:p>
      <w:pPr>
        <w:spacing w:before="0" w:after="120" w:line="276" w:lineRule="auto"/>
      </w:pPr>
      <w:r>
        <w:rPr>
          <w:rFonts w:ascii="Calibri" w:hAnsi="Calibri"/>
          <w:b/>
          <w:sz w:val="22"/>
        </w:rPr>
        <w:t>Human participants (WP2):</w:t>
      </w:r>
    </w:p>
    <w:p>
      <w:pPr>
        <w:pStyle w:val="ListBullet"/>
        <w:spacing w:before="20" w:after="20"/>
      </w:pPr>
      <w:r>
        <w:rPr>
          <w:rFonts w:ascii="Calibri" w:hAnsi="Calibri"/>
          <w:sz w:val="22"/>
        </w:rPr>
        <w:t>Fully voluntary participation; two-stage consent: Mini-Cog cognitive screen → written informed consent</w:t>
      </w:r>
    </w:p>
    <w:p>
      <w:pPr>
        <w:pStyle w:val="ListBullet"/>
        <w:spacing w:before="20" w:after="20"/>
      </w:pPr>
      <w:r>
        <w:rPr>
          <w:rFonts w:ascii="Calibri" w:hAnsi="Calibri"/>
          <w:sz w:val="22"/>
        </w:rPr>
        <w:t>Right to withdraw at any time without consequence</w:t>
      </w:r>
    </w:p>
    <w:p>
      <w:pPr>
        <w:pStyle w:val="ListBullet"/>
        <w:spacing w:before="20" w:after="20"/>
      </w:pPr>
      <w:r>
        <w:rPr>
          <w:rFonts w:ascii="Calibri" w:hAnsi="Calibri"/>
          <w:sz w:val="22"/>
        </w:rPr>
        <w:t>No therapeutic interventions on participants; purely observational blood draw + clinical assessment</w:t>
      </w:r>
    </w:p>
    <w:p>
      <w:pPr>
        <w:pStyle w:val="ListBullet"/>
        <w:spacing w:before="20" w:after="20"/>
      </w:pPr>
      <w:r>
        <w:rPr>
          <w:rFonts w:ascii="Calibri" w:hAnsi="Calibri"/>
          <w:sz w:val="22"/>
        </w:rPr>
        <w:t>Special protection: age group 66–80 considered potentially vulnerable; Mini-Cog screening ensures adequate cognitive capacity for consent</w:t>
      </w:r>
    </w:p>
    <w:p>
      <w:pPr>
        <w:pStyle w:val="ListBullet"/>
        <w:spacing w:before="20" w:after="20"/>
      </w:pPr>
      <w:r>
        <w:rPr>
          <w:rFonts w:ascii="Calibri" w:hAnsi="Calibri"/>
          <w:sz w:val="22"/>
        </w:rPr>
        <w:t>Data: pseudonymised at point of collection; re-identification keys held by GTU Data Protection Officer separately from research database</w:t>
      </w:r>
    </w:p>
    <w:p>
      <w:pPr>
        <w:spacing w:before="0" w:after="120" w:line="276" w:lineRule="auto"/>
      </w:pPr>
      <w:r>
        <w:rPr>
          <w:rFonts w:ascii="Calibri" w:hAnsi="Calibri"/>
          <w:b/>
          <w:sz w:val="22"/>
        </w:rPr>
        <w:t>Biological samples (WP2 biobank):</w:t>
      </w:r>
    </w:p>
    <w:p>
      <w:pPr>
        <w:pStyle w:val="ListBullet"/>
        <w:spacing w:before="20" w:after="20"/>
      </w:pPr>
      <w:r>
        <w:rPr>
          <w:rFonts w:ascii="Calibri" w:hAnsi="Calibri"/>
          <w:sz w:val="22"/>
        </w:rPr>
        <w:t>Consent explicitly covers future use in ageing research</w:t>
      </w:r>
    </w:p>
    <w:p>
      <w:pPr>
        <w:pStyle w:val="ListBullet"/>
        <w:spacing w:before="20" w:after="20"/>
      </w:pPr>
      <w:r>
        <w:rPr>
          <w:rFonts w:ascii="Calibri" w:hAnsi="Calibri"/>
          <w:sz w:val="22"/>
        </w:rPr>
        <w:t>Material Transfer Agreement for any future third-party sharing</w:t>
      </w:r>
    </w:p>
    <w:p>
      <w:pPr>
        <w:pStyle w:val="ListBullet"/>
        <w:spacing w:before="20" w:after="20"/>
      </w:pPr>
      <w:r>
        <w:rPr>
          <w:rFonts w:ascii="Calibri" w:hAnsi="Calibri"/>
          <w:sz w:val="22"/>
        </w:rPr>
        <w:t>No genetic testing unless explicitly re-consented</w:t>
      </w:r>
    </w:p>
    <w:p>
      <w:pPr>
        <w:spacing w:before="0" w:after="120" w:line="276" w:lineRule="auto"/>
      </w:pPr>
      <w:r>
        <w:rPr>
          <w:rFonts w:ascii="Calibri" w:hAnsi="Calibri"/>
          <w:b/>
          <w:sz w:val="22"/>
        </w:rPr>
        <w:t>Cell-DT software:</w:t>
      </w:r>
    </w:p>
    <w:p>
      <w:pPr>
        <w:pStyle w:val="ListBullet"/>
        <w:spacing w:before="20" w:after="20"/>
      </w:pPr>
      <w:r>
        <w:rPr>
          <w:rFonts w:ascii="Calibri" w:hAnsi="Calibri"/>
          <w:sz w:val="22"/>
        </w:rPr>
        <w:t>Dual-use risk: low. Cell-DT models biological ageing; no defence/weapons applications identified.</w:t>
      </w:r>
    </w:p>
    <w:p>
      <w:pPr>
        <w:pStyle w:val="ListBullet"/>
        <w:spacing w:before="20" w:after="20"/>
      </w:pPr>
      <w:r>
        <w:rPr>
          <w:rFonts w:ascii="Calibri" w:hAnsi="Calibri"/>
          <w:sz w:val="22"/>
        </w:rPr>
        <w:t>Open-source release under MIT licence includes disclaimer of medical device status</w:t>
      </w:r>
    </w:p>
    <w:p>
      <w:pPr>
        <w:spacing w:before="0" w:after="120" w:line="276" w:lineRule="auto"/>
      </w:pPr>
      <w:r>
        <w:rPr>
          <w:rFonts w:ascii="Calibri" w:hAnsi="Calibri"/>
          <w:b/>
          <w:sz w:val="22"/>
        </w:rPr>
        <w:t>Privacy:</w:t>
      </w:r>
      <w:r>
        <w:rPr>
          <w:rFonts w:ascii="Calibri" w:hAnsi="Calibri"/>
          <w:sz w:val="22"/>
        </w:rPr>
        <w:t xml:space="preserve"> No collection of personal identifiable data in WP1 (cell lines, anonymous donor EPCs). WP2 data protected under Georgian Personal Data Protection Law (compliant with GDPR principles per Georgian-EU Digital Association commitments).</w:t>
      </w:r>
    </w:p>
    <w:p>
      <w:pPr>
        <w:spacing w:before="200" w:after="60"/>
        <w:outlineLvl w:val="2"/>
      </w:pPr>
      <w:r>
        <w:rPr>
          <w:rFonts w:ascii="Calibri" w:hAnsi="Calibri"/>
          <w:b/>
          <w:sz w:val="24"/>
        </w:rPr>
        <w:t>4.2 Compliance with Ethical Principles and Relevant Legislation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Pr>
                <w:rFonts w:ascii="Calibri" w:hAnsi="Calibri"/>
                <w:b/>
                <w:sz w:val="20"/>
              </w:rPr>
              <w:t>Ethical requirement</w:t>
            </w:r>
          </w:p>
        </w:tc>
        <w:tc>
          <w:tcPr>
            <w:tcW w:type="dxa" w:w="4703"/>
            <w:shd w:val="clear" w:color="auto" w:fill="D9E1F2"/>
          </w:tcPr>
          <w:p>
            <w:pPr>
              <w:spacing w:before="40" w:after="40"/>
            </w:pPr>
            <w:r>
              <w:rPr>
                <w:rFonts w:ascii="Calibri" w:hAnsi="Calibri"/>
                <w:b/>
                <w:sz w:val="20"/>
              </w:rPr>
              <w:t>Compliance measure</w:t>
            </w:r>
          </w:p>
        </w:tc>
      </w:tr>
      <w:tr>
        <w:tc>
          <w:tcPr>
            <w:tcW w:type="dxa" w:w="4703"/>
          </w:tcPr>
          <w:p>
            <w:pPr>
              <w:spacing w:before="40" w:after="40"/>
            </w:pPr>
            <w:r>
              <w:rPr>
                <w:rFonts w:ascii="Calibri" w:hAnsi="Calibri"/>
                <w:sz w:val="20"/>
              </w:rPr>
              <w:t>Informed consent (WP2)</w:t>
            </w:r>
          </w:p>
        </w:tc>
        <w:tc>
          <w:tcPr>
            <w:tcW w:type="dxa" w:w="4703"/>
          </w:tcPr>
          <w:p>
            <w:pPr>
              <w:spacing w:before="40" w:after="40"/>
            </w:pPr>
            <w:r>
              <w:rPr>
                <w:rFonts w:ascii="Calibri" w:hAnsi="Calibri"/>
                <w:sz w:val="20"/>
              </w:rPr>
              <w:t>Two-stage Mini-Cog + written consent; ICH E6(R2) GCP</w:t>
            </w:r>
          </w:p>
        </w:tc>
      </w:tr>
      <w:tr>
        <w:tc>
          <w:tcPr>
            <w:tcW w:type="dxa" w:w="4703"/>
          </w:tcPr>
          <w:p>
            <w:pPr>
              <w:spacing w:before="40" w:after="40"/>
            </w:pPr>
            <w:r>
              <w:rPr>
                <w:rFonts w:ascii="Calibri" w:hAnsi="Calibri"/>
                <w:sz w:val="20"/>
              </w:rPr>
              <w:t>Data protection</w:t>
            </w:r>
          </w:p>
        </w:tc>
        <w:tc>
          <w:tcPr>
            <w:tcW w:type="dxa" w:w="4703"/>
          </w:tcPr>
          <w:p>
            <w:pPr>
              <w:spacing w:before="40" w:after="40"/>
            </w:pPr>
            <w:r>
              <w:rPr>
                <w:rFonts w:ascii="Calibri" w:hAnsi="Calibri"/>
                <w:sz w:val="20"/>
              </w:rPr>
              <w:t>Georgian PDPLaw + GDPR principles; pseudonymisation</w:t>
            </w:r>
          </w:p>
        </w:tc>
      </w:tr>
      <w:tr>
        <w:tc>
          <w:tcPr>
            <w:tcW w:type="dxa" w:w="4703"/>
          </w:tcPr>
          <w:p>
            <w:pPr>
              <w:spacing w:before="40" w:after="40"/>
            </w:pPr>
            <w:r>
              <w:rPr>
                <w:rFonts w:ascii="Calibri" w:hAnsi="Calibri"/>
                <w:sz w:val="20"/>
              </w:rPr>
              <w:t>Helsinki Declaration</w:t>
            </w:r>
          </w:p>
        </w:tc>
        <w:tc>
          <w:tcPr>
            <w:tcW w:type="dxa" w:w="4703"/>
          </w:tcPr>
          <w:p>
            <w:pPr>
              <w:spacing w:before="40" w:after="40"/>
            </w:pPr>
            <w:r>
              <w:rPr>
                <w:rFonts w:ascii="Calibri" w:hAnsi="Calibri"/>
                <w:sz w:val="20"/>
              </w:rPr>
              <w:t>GTU Ethics Committee approval (pre-M3)</w:t>
            </w:r>
          </w:p>
        </w:tc>
      </w:tr>
      <w:tr>
        <w:tc>
          <w:tcPr>
            <w:tcW w:type="dxa" w:w="4703"/>
          </w:tcPr>
          <w:p>
            <w:pPr>
              <w:spacing w:before="40" w:after="40"/>
            </w:pPr>
            <w:r>
              <w:rPr>
                <w:rFonts w:ascii="Calibri" w:hAnsi="Calibri"/>
                <w:sz w:val="20"/>
              </w:rPr>
              <w:t>No animal experiments</w:t>
            </w:r>
          </w:p>
        </w:tc>
        <w:tc>
          <w:tcPr>
            <w:tcW w:type="dxa" w:w="4703"/>
          </w:tcPr>
          <w:p>
            <w:pPr>
              <w:spacing w:before="40" w:after="40"/>
            </w:pPr>
            <w:r>
              <w:rPr>
                <w:rFonts w:ascii="Calibri" w:hAnsi="Calibri"/>
                <w:sz w:val="20"/>
              </w:rPr>
              <w:t>Confirmed; cell lines and human volunteers only</w:t>
            </w:r>
          </w:p>
        </w:tc>
      </w:tr>
      <w:tr>
        <w:tc>
          <w:tcPr>
            <w:tcW w:type="dxa" w:w="4703"/>
          </w:tcPr>
          <w:p>
            <w:pPr>
              <w:spacing w:before="40" w:after="40"/>
            </w:pPr>
            <w:r>
              <w:rPr>
                <w:rFonts w:ascii="Calibri" w:hAnsi="Calibri"/>
                <w:sz w:val="20"/>
              </w:rPr>
              <w:t>Benefit sharing</w:t>
            </w:r>
          </w:p>
        </w:tc>
        <w:tc>
          <w:tcPr>
            <w:tcW w:type="dxa" w:w="4703"/>
          </w:tcPr>
          <w:p>
            <w:pPr>
              <w:spacing w:before="40" w:after="40"/>
            </w:pPr>
            <w:r>
              <w:rPr>
                <w:rFonts w:ascii="Calibri" w:hAnsi="Calibri"/>
                <w:sz w:val="20"/>
              </w:rPr>
              <w:t>Open-access publication; EHDS data contribution</w:t>
            </w:r>
          </w:p>
        </w:tc>
      </w:tr>
      <w:tr>
        <w:tc>
          <w:tcPr>
            <w:tcW w:type="dxa" w:w="4703"/>
          </w:tcPr>
          <w:p>
            <w:pPr>
              <w:spacing w:before="40" w:after="40"/>
            </w:pPr>
            <w:r>
              <w:rPr>
                <w:rFonts w:ascii="Calibri" w:hAnsi="Calibri"/>
                <w:sz w:val="20"/>
              </w:rPr>
              <w:t>Dual-use research</w:t>
            </w:r>
          </w:p>
        </w:tc>
        <w:tc>
          <w:tcPr>
            <w:tcW w:type="dxa" w:w="4703"/>
          </w:tcPr>
          <w:p>
            <w:pPr>
              <w:spacing w:before="40" w:after="40"/>
            </w:pPr>
            <w:r>
              <w:rPr>
                <w:rFonts w:ascii="Calibri" w:hAnsi="Calibri"/>
                <w:sz w:val="20"/>
              </w:rPr>
              <w:t>Cell-DT: biological modelling only; no dual-use risk identified</w:t>
            </w:r>
          </w:p>
        </w:tc>
      </w:tr>
    </w:tbl>
    <w:p>
      <w:pPr>
        <w:spacing w:after="120"/>
      </w:pPr>
    </w:p>
    <w:p>
      <w:pPr>
        <w:spacing w:before="80" w:after="80"/>
        <w:pBdr>
          <w:bottom w:val="single" w:sz="6" w:space="1" w:color="auto"/>
        </w:pBdr>
      </w:pPr>
    </w:p>
    <w:p>
      <w:pPr>
        <w:spacing w:before="280" w:after="80"/>
        <w:outlineLvl w:val="1"/>
      </w:pPr>
      <w:r>
        <w:rPr>
          <w:rFonts w:ascii="Calibri" w:hAnsi="Calibri"/>
          <w:b/>
          <w:sz w:val="28"/>
        </w:rPr>
        <w:t>Appendix: Key References</w:t>
      </w:r>
    </w:p>
    <w:p>
      <w:pPr>
        <w:pStyle w:val="ListNumber"/>
        <w:spacing w:before="20" w:after="20"/>
      </w:pPr>
      <w:r>
        <w:rPr>
          <w:rFonts w:ascii="Calibri" w:hAnsi="Calibri"/>
          <w:sz w:val="22"/>
        </w:rPr>
        <w:t xml:space="preserve">López-Otín C et al. "Hallmarks of aging: An expanding universe." </w:t>
      </w:r>
      <w:r>
        <w:rPr>
          <w:rFonts w:ascii="Calibri" w:hAnsi="Calibri"/>
          <w:i/>
          <w:sz w:val="22"/>
        </w:rPr>
        <w:t>Cell.</w:t>
      </w:r>
      <w:r>
        <w:rPr>
          <w:rFonts w:ascii="Calibri" w:hAnsi="Calibri"/>
          <w:sz w:val="22"/>
        </w:rPr>
        <w:t xml:space="preserve"> 2023;186(2):243-278.</w:t>
      </w:r>
    </w:p>
    <w:p>
      <w:pPr>
        <w:pStyle w:val="ListNumber"/>
        <w:spacing w:before="20" w:after="20"/>
      </w:pPr>
      <w:r>
        <w:rPr>
          <w:rFonts w:ascii="Calibri" w:hAnsi="Calibri"/>
          <w:sz w:val="22"/>
        </w:rPr>
        <w:t xml:space="preserve">Blackburn EH. "Telomere states and cell fates." </w:t>
      </w:r>
      <w:r>
        <w:rPr>
          <w:rFonts w:ascii="Calibri" w:hAnsi="Calibri"/>
          <w:i/>
          <w:sz w:val="22"/>
        </w:rPr>
        <w:t>Nature.</w:t>
      </w:r>
      <w:r>
        <w:rPr>
          <w:rFonts w:ascii="Calibri" w:hAnsi="Calibri"/>
          <w:sz w:val="22"/>
        </w:rPr>
        <w:t xml:space="preserve"> 2000;408:53-56.</w:t>
      </w:r>
    </w:p>
    <w:p>
      <w:pPr>
        <w:pStyle w:val="ListNumber"/>
        <w:spacing w:before="20" w:after="20"/>
      </w:pPr>
      <w:r>
        <w:rPr>
          <w:rFonts w:ascii="Calibri" w:hAnsi="Calibri"/>
          <w:sz w:val="22"/>
        </w:rPr>
        <w:t xml:space="preserve">Tkemaladze J, Lortkipanidze G. "Asymmetric segregation of the centrosome and its role in determining cell fate." </w:t>
      </w:r>
      <w:r>
        <w:rPr>
          <w:rFonts w:ascii="Calibri" w:hAnsi="Calibri"/>
          <w:i/>
          <w:sz w:val="22"/>
        </w:rPr>
        <w:t>Mol Biol Rep.</w:t>
      </w:r>
      <w:r>
        <w:rPr>
          <w:rFonts w:ascii="Calibri" w:hAnsi="Calibri"/>
          <w:sz w:val="22"/>
        </w:rPr>
        <w:t xml:space="preserve"> 2023;50(3):2741-2748. </w:t>
      </w:r>
      <w:r>
        <w:rPr>
          <w:rFonts w:ascii="Calibri" w:hAnsi="Calibri"/>
          <w:b/>
          <w:sz w:val="22"/>
        </w:rPr>
        <w:t>PMID: 36583780</w:t>
      </w:r>
    </w:p>
    <w:p>
      <w:pPr>
        <w:pStyle w:val="ListNumber"/>
        <w:spacing w:before="20" w:after="20"/>
      </w:pPr>
      <w:r>
        <w:rPr>
          <w:rFonts w:ascii="Calibri" w:hAnsi="Calibri"/>
          <w:sz w:val="22"/>
        </w:rPr>
        <w:t xml:space="preserve">Tkemaladze J. "CDATA: Centriolar Damage Accumulation Theory of Ageing." </w:t>
      </w:r>
      <w:r>
        <w:rPr>
          <w:rFonts w:ascii="Calibri" w:hAnsi="Calibri"/>
          <w:i/>
          <w:sz w:val="22"/>
        </w:rPr>
        <w:t>Ann Rejuvenation Sci.</w:t>
      </w:r>
      <w:r>
        <w:rPr>
          <w:rFonts w:ascii="Calibri" w:hAnsi="Calibri"/>
          <w:sz w:val="22"/>
        </w:rPr>
        <w:t xml:space="preserve"> 2025. </w:t>
      </w:r>
      <w:r>
        <w:rPr>
          <w:rFonts w:ascii="Calibri" w:hAnsi="Calibri"/>
          <w:b/>
          <w:sz w:val="22"/>
        </w:rPr>
        <w:t>DOI: 10.65649/yx9sn772</w:t>
      </w:r>
    </w:p>
    <w:p>
      <w:pPr>
        <w:pStyle w:val="ListNumber"/>
        <w:spacing w:before="20" w:after="20"/>
      </w:pPr>
      <w:r>
        <w:rPr>
          <w:rFonts w:ascii="Calibri" w:hAnsi="Calibri"/>
          <w:sz w:val="22"/>
        </w:rPr>
        <w:t xml:space="preserve">Gambarotto D et al. "Imaging cellular ultrastructures using expansion microscopy (U-ExM)." </w:t>
      </w:r>
      <w:r>
        <w:rPr>
          <w:rFonts w:ascii="Calibri" w:hAnsi="Calibri"/>
          <w:i/>
          <w:sz w:val="22"/>
        </w:rPr>
        <w:t>Nat Methods.</w:t>
      </w:r>
      <w:r>
        <w:rPr>
          <w:rFonts w:ascii="Calibri" w:hAnsi="Calibri"/>
          <w:sz w:val="22"/>
        </w:rPr>
        <w:t xml:space="preserve"> 2019;16:71-74.</w:t>
      </w:r>
    </w:p>
    <w:p>
      <w:pPr>
        <w:pStyle w:val="ListNumber"/>
        <w:spacing w:before="20" w:after="20"/>
      </w:pPr>
      <w:r>
        <w:rPr>
          <w:rFonts w:ascii="Calibri" w:hAnsi="Calibri"/>
          <w:sz w:val="22"/>
        </w:rPr>
        <w:t xml:space="preserve">Franceschi C et al. "Inflammaging and anti-inflammaging: A systemic perspective on aging and longevity." </w:t>
      </w:r>
      <w:r>
        <w:rPr>
          <w:rFonts w:ascii="Calibri" w:hAnsi="Calibri"/>
          <w:i/>
          <w:sz w:val="22"/>
        </w:rPr>
        <w:t>Mech Ageing Dev.</w:t>
      </w:r>
      <w:r>
        <w:rPr>
          <w:rFonts w:ascii="Calibri" w:hAnsi="Calibri"/>
          <w:sz w:val="22"/>
        </w:rPr>
        <w:t xml:space="preserve"> 2007;128(1):92-105.</w:t>
      </w:r>
    </w:p>
    <w:p>
      <w:pPr>
        <w:pStyle w:val="ListNumber"/>
        <w:spacing w:before="20" w:after="20"/>
      </w:pPr>
      <w:r>
        <w:rPr>
          <w:rFonts w:ascii="Calibri" w:hAnsi="Calibri"/>
          <w:sz w:val="22"/>
        </w:rPr>
        <w:t xml:space="preserve">Vasa M et al. "Increase in circulating endothelial progenitor cells by statin therapy." </w:t>
      </w:r>
      <w:r>
        <w:rPr>
          <w:rFonts w:ascii="Calibri" w:hAnsi="Calibri"/>
          <w:i/>
          <w:sz w:val="22"/>
        </w:rPr>
        <w:t>Circulation.</w:t>
      </w:r>
      <w:r>
        <w:rPr>
          <w:rFonts w:ascii="Calibri" w:hAnsi="Calibri"/>
          <w:sz w:val="22"/>
        </w:rPr>
        <w:t xml:space="preserve"> 2001;103(24):2885-90.</w:t>
      </w:r>
    </w:p>
    <w:p>
      <w:pPr>
        <w:pStyle w:val="ListNumber"/>
        <w:spacing w:before="20" w:after="20"/>
      </w:pPr>
      <w:r>
        <w:rPr>
          <w:rFonts w:ascii="Calibri" w:hAnsi="Calibri"/>
          <w:sz w:val="22"/>
        </w:rPr>
        <w:t xml:space="preserve">Levine ME et al. "An epigenetic biomarker of aging for lifespan and healthspan." </w:t>
      </w:r>
      <w:r>
        <w:rPr>
          <w:rFonts w:ascii="Calibri" w:hAnsi="Calibri"/>
          <w:i/>
          <w:sz w:val="22"/>
        </w:rPr>
        <w:t>Aging.</w:t>
      </w:r>
      <w:r>
        <w:rPr>
          <w:rFonts w:ascii="Calibri" w:hAnsi="Calibri"/>
          <w:sz w:val="22"/>
        </w:rPr>
        <w:t xml:space="preserve"> 2018;10(4):573-591.</w:t>
      </w:r>
    </w:p>
    <w:p>
      <w:pPr>
        <w:pStyle w:val="ListNumber"/>
        <w:spacing w:before="20" w:after="20"/>
      </w:pPr>
      <w:r>
        <w:rPr>
          <w:rFonts w:ascii="Calibri" w:hAnsi="Calibri"/>
          <w:sz w:val="22"/>
        </w:rPr>
        <w:t xml:space="preserve">Cawthon RM. "Telomere measurement by quantitative PCR." </w:t>
      </w:r>
      <w:r>
        <w:rPr>
          <w:rFonts w:ascii="Calibri" w:hAnsi="Calibri"/>
          <w:i/>
          <w:sz w:val="22"/>
        </w:rPr>
        <w:t>Nucleic Acids Res.</w:t>
      </w:r>
      <w:r>
        <w:rPr>
          <w:rFonts w:ascii="Calibri" w:hAnsi="Calibri"/>
          <w:sz w:val="22"/>
        </w:rPr>
        <w:t xml:space="preserve"> 2002;30(10):e47.</w:t>
      </w:r>
    </w:p>
    <w:p>
      <w:pPr>
        <w:pStyle w:val="ListNumber"/>
        <w:spacing w:before="20" w:after="20"/>
      </w:pPr>
      <w:r>
        <w:rPr>
          <w:rFonts w:ascii="Calibri" w:hAnsi="Calibri"/>
          <w:sz w:val="22"/>
        </w:rPr>
        <w:t xml:space="preserve">Fried LP et al. "Frailty in older adults: evidence for a phenotype." </w:t>
      </w:r>
      <w:r>
        <w:rPr>
          <w:rFonts w:ascii="Calibri" w:hAnsi="Calibri"/>
          <w:i/>
          <w:sz w:val="22"/>
        </w:rPr>
        <w:t>J Gerontol A Biol Sci Med Sci.</w:t>
      </w:r>
      <w:r>
        <w:rPr>
          <w:rFonts w:ascii="Calibri" w:hAnsi="Calibri"/>
          <w:sz w:val="22"/>
        </w:rPr>
        <w:t xml:space="preserve"> 2001;56(3):M146-156.</w:t>
      </w:r>
    </w:p>
    <w:p>
      <w:pPr>
        <w:pStyle w:val="ListNumber"/>
        <w:spacing w:before="20" w:after="20"/>
      </w:pPr>
      <w:r>
        <w:rPr>
          <w:rFonts w:ascii="Calibri" w:hAnsi="Calibri"/>
          <w:sz w:val="22"/>
        </w:rPr>
        <w:t xml:space="preserve">Gladyshev VN. "The free radical theory of aging is dead. Long live the damage theory!" </w:t>
      </w:r>
      <w:r>
        <w:rPr>
          <w:rFonts w:ascii="Calibri" w:hAnsi="Calibri"/>
          <w:i/>
          <w:sz w:val="22"/>
        </w:rPr>
        <w:t>Antioxid Redox Signal.</w:t>
      </w:r>
      <w:r>
        <w:rPr>
          <w:rFonts w:ascii="Calibri" w:hAnsi="Calibri"/>
          <w:sz w:val="22"/>
        </w:rPr>
        <w:t xml:space="preserve"> 2014;20(4):727-731.</w:t>
      </w:r>
    </w:p>
    <w:p>
      <w:pPr>
        <w:spacing w:before="80" w:after="80"/>
        <w:pBdr>
          <w:bottom w:val="single" w:sz="6" w:space="1" w:color="auto"/>
        </w:pBdr>
      </w:pPr>
    </w:p>
    <w:p>
      <w:pPr>
        <w:spacing w:before="0" w:after="120" w:line="276" w:lineRule="auto"/>
      </w:pPr>
      <w:r>
        <w:rPr>
          <w:rFonts w:ascii="Calibri" w:hAnsi="Calibri"/>
          <w:i/>
          <w:sz w:val="22"/>
        </w:rPr>
        <w:t>Document version: v7.0 — 2026-03-24</w:t>
      </w:r>
    </w:p>
    <w:p>
      <w:pPr>
        <w:spacing w:before="0" w:after="120" w:line="276" w:lineRule="auto"/>
      </w:pPr>
      <w:r>
        <w:rPr>
          <w:rFonts w:ascii="Calibri" w:hAnsi="Calibri"/>
          <w:i/>
          <w:sz w:val="22"/>
        </w:rPr>
        <w:t>PI: Jaba Tkemaladze, MD — Phasis Academy, Poti, Georgia</w:t>
      </w:r>
    </w:p>
    <w:p>
      <w:pPr>
        <w:spacing w:before="0" w:after="120" w:line="276" w:lineRule="auto"/>
      </w:pPr>
      <w:r>
        <w:rPr>
          <w:rFonts w:ascii="Calibri" w:hAnsi="Calibri"/>
          <w:i/>
          <w:sz w:val="22"/>
        </w:rPr>
        <w:t>Contact: jaba@drjaba.com</w:t>
      </w:r>
    </w:p>
    <w:p>
      <w:pPr>
        <w:spacing w:before="0" w:after="120" w:line="276" w:lineRule="auto"/>
      </w:pPr>
      <w:r>
        <w:rPr>
          <w:rFonts w:ascii="Calibri" w:hAnsi="Calibri"/>
          <w:i/>
          <w:sz w:val="22"/>
        </w:rPr>
        <w:t>Changes from v2.0 through v7.0: Ze Theory repositioned as secondary exploratory endpoint in WP2 (1.2.3) without reliance on prior unpublished datasets. Consortium Agreement corrected to M1. Phasis Academy description expanded. WP4 preparatory task T4.0 added (M6–M18). In silico caveats added. STED corrected to new Leica SP8 acquisition. WP2 blinding added. HDF primary fibroblasts added to WP1. KPIs adjusted (#10 r&gt;0.5; #12 proof-of-mechanism; #16 CAII ELISA automated platform). Gladyshev 2014 reference added. International Rust Engineer recruitment added.</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