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i/>
          <w:sz w:val="20"/>
        </w:rPr>
        <w:t>Рабочий перевод. Оригинал: EIC_Pathfinder_CDATA_PartB_v7.md</w:t>
      </w:r>
    </w:p>
    <w:p>
      <w:pPr>
        <w:spacing w:before="200" w:after="80"/>
      </w:pPr>
      <w:r>
        <w:rPr>
          <w:rFonts w:ascii="Calibri" w:hAnsi="Calibri"/>
          <w:b/>
          <w:sz w:val="32"/>
        </w:rPr>
        <w:t>Предложение, Часть B: Техническое описание</w:t>
      </w:r>
    </w:p>
    <w:p>
      <w:pPr>
        <w:ind w:left="850"/>
      </w:pPr>
      <w:r>
        <w:rPr>
          <w:rFonts w:ascii="Calibri" w:hAnsi="Calibri"/>
          <w:i/>
          <w:sz w:val="22"/>
        </w:rPr>
        <w:t>CDATA — Центриолярное Dповреждение Анакопление Теория Астарения:</w:t>
      </w:r>
    </w:p>
    <w:p>
      <w:pPr>
        <w:ind w:left="850"/>
      </w:pPr>
      <w:r>
        <w:rPr>
          <w:rFonts w:ascii="Calibri" w:hAnsi="Calibri"/>
          <w:i/>
          <w:sz w:val="22"/>
        </w:rPr>
        <w:t>Вычислительный клеточный цифровой двойник, проверенный на соответствие биомаркерам долголетия человека</w:t>
      </w:r>
    </w:p>
    <w:p>
      <w:pPr>
        <w:spacing w:after="80" w:line="253" w:lineRule="exact"/>
      </w:pPr>
      <w:r>
        <w:rPr>
          <w:rFonts w:ascii="Calibri" w:hAnsi="Calibri"/>
          <w:b/>
          <w:sz w:val="22"/>
        </w:rPr>
        <w:t>Вызов:</w:t>
      </w:r>
      <w:r>
        <w:rPr>
          <w:rFonts w:ascii="Calibri" w:hAnsi="Calibri"/>
          <w:sz w:val="22"/>
        </w:rPr>
        <w:t xml:space="preserve"> HORIZON-EIC-2026-PATHFINDEROPEN-01</w:t>
      </w:r>
    </w:p>
    <w:p>
      <w:pPr>
        <w:spacing w:after="80" w:line="253" w:lineRule="exact"/>
      </w:pPr>
      <w:r>
        <w:rPr>
          <w:rFonts w:ascii="Calibri" w:hAnsi="Calibri"/>
          <w:b/>
          <w:sz w:val="22"/>
        </w:rPr>
        <w:t>Инструмент:</w:t>
      </w:r>
      <w:r>
        <w:rPr>
          <w:rFonts w:ascii="Calibri" w:hAnsi="Calibri"/>
          <w:sz w:val="22"/>
        </w:rPr>
        <w:t xml:space="preserve"> EIC Pathfinder Open</w:t>
      </w:r>
    </w:p>
    <w:p>
      <w:pPr>
        <w:spacing w:after="80" w:line="253" w:lineRule="exact"/>
      </w:pPr>
      <w:r>
        <w:rPr>
          <w:rFonts w:ascii="Calibri" w:hAnsi="Calibri"/>
          <w:b/>
          <w:sz w:val="22"/>
        </w:rPr>
        <w:t>Запрашиваемое финансирование:</w:t>
      </w:r>
      <w:r>
        <w:rPr>
          <w:rFonts w:ascii="Calibri" w:hAnsi="Calibri"/>
          <w:sz w:val="22"/>
        </w:rPr>
        <w:t xml:space="preserve"> 2 500 000 евро (36 месяцев)</w:t>
      </w:r>
    </w:p>
    <w:p>
      <w:pPr>
        <w:spacing w:after="80" w:line="253" w:lineRule="exact"/>
      </w:pPr>
      <w:r>
        <w:rPr>
          <w:rFonts w:ascii="Calibri" w:hAnsi="Calibri"/>
          <w:b/>
          <w:sz w:val="22"/>
        </w:rPr>
        <w:t>Ведущий бенефициар:</w:t>
      </w:r>
      <w:r>
        <w:rPr>
          <w:rFonts w:ascii="Calibri" w:hAnsi="Calibri"/>
          <w:sz w:val="22"/>
        </w:rPr>
        <w:t xml:space="preserve"> Академия Фасис (Поти, Грузия)</w:t>
      </w:r>
    </w:p>
    <w:p>
      <w:pPr>
        <w:spacing w:after="80" w:line="253" w:lineRule="exact"/>
      </w:pPr>
      <w:r>
        <w:rPr>
          <w:rFonts w:ascii="Calibri" w:hAnsi="Calibri"/>
          <w:b/>
          <w:sz w:val="22"/>
        </w:rPr>
        <w:t>Бенефициар 2:</w:t>
      </w:r>
      <w:r>
        <w:rPr>
          <w:rFonts w:ascii="Calibri" w:hAnsi="Calibri"/>
          <w:sz w:val="22"/>
        </w:rPr>
        <w:t xml:space="preserve"> Грузинский технический университет — ABET BME (Тбилиси, Грузия), PIC: 983636358</w:t>
      </w:r>
    </w:p>
    <w:p>
      <w:pPr>
        <w:spacing w:after="80" w:line="253" w:lineRule="exact"/>
      </w:pPr>
      <w:r>
        <w:rPr>
          <w:rFonts w:ascii="Calibri" w:hAnsi="Calibri"/>
          <w:b/>
          <w:sz w:val="22"/>
        </w:rPr>
        <w:t>Главный исследователь:</w:t>
      </w:r>
      <w:r>
        <w:rPr>
          <w:rFonts w:ascii="Calibri" w:hAnsi="Calibri"/>
          <w:sz w:val="22"/>
        </w:rPr>
        <w:t xml:space="preserve"> Джаба Ткемаладзе, доктор медицинских наук</w:t>
      </w:r>
    </w:p>
    <w:p>
      <w:pPr>
        <w:spacing w:after="80" w:line="253" w:lineRule="exact"/>
      </w:pPr>
      <w:r>
        <w:rPr>
          <w:rFonts w:ascii="Calibri" w:hAnsi="Calibri"/>
          <w:b/>
          <w:sz w:val="22"/>
        </w:rPr>
        <w:t>Со-руководитель:</w:t>
      </w:r>
      <w:r>
        <w:rPr>
          <w:rFonts w:ascii="Calibri" w:hAnsi="Calibri"/>
          <w:sz w:val="22"/>
        </w:rPr>
        <w:t xml:space="preserve"> Профессор Батони Гела, доктор философии — кафедра биомедицинской инженерии, ГТУ ABET; член консорциума FORGE-AI Horizon</w:t>
      </w:r>
    </w:p>
    <w:p>
      <w:pPr>
        <w:pBdr>
          <w:bottom w:val="single" w:sz="6" w:space="1" w:color="auto"/>
        </w:pBdr>
        <w:spacing w:after="120"/>
      </w:pPr>
    </w:p>
    <w:p>
      <w:pPr>
        <w:spacing w:before="200" w:after="80"/>
      </w:pPr>
      <w:r>
        <w:rPr>
          <w:rFonts w:ascii="Calibri" w:hAnsi="Calibri"/>
          <w:b/>
          <w:sz w:val="28"/>
        </w:rPr>
        <w:t>Содержание</w:t>
      </w:r>
    </w:p>
    <w:p>
      <w:pPr>
        <w:pStyle w:val="ListNumber"/>
      </w:pPr>
      <w:r>
        <w:rPr>
          <w:rFonts w:ascii="Calibri" w:hAnsi="Calibri"/>
          <w:sz w:val="22"/>
        </w:rPr>
        <w:t>История изменений</w:t>
      </w:r>
    </w:p>
    <w:p>
      <w:pPr>
        <w:pStyle w:val="ListNumber"/>
      </w:pPr>
      <w:r>
        <w:rPr>
          <w:rFonts w:ascii="Calibri" w:hAnsi="Calibri"/>
          <w:sz w:val="22"/>
        </w:rPr>
        <w:t>Превосходство</w:t>
      </w:r>
    </w:p>
    <w:p>
      <w:pPr>
        <w:spacing w:after="80" w:line="253" w:lineRule="exact"/>
      </w:pPr>
      <w:r>
        <w:rPr>
          <w:rFonts w:ascii="Calibri" w:hAnsi="Calibri"/>
          <w:sz w:val="22"/>
        </w:rPr>
        <w:t xml:space="preserve">   1.1 Обоснованность концепции и достоверность методологии</w:t>
      </w:r>
    </w:p>
    <w:p>
      <w:pPr>
        <w:spacing w:after="80" w:line="253" w:lineRule="exact"/>
      </w:pPr>
      <w:r>
        <w:rPr>
          <w:rFonts w:ascii="Calibri" w:hAnsi="Calibri"/>
          <w:sz w:val="22"/>
        </w:rPr>
        <w:t xml:space="preserve">   1.2 Выход за рамки современного уровня техники — амбиции</w:t>
      </w:r>
    </w:p>
    <w:p>
      <w:pPr>
        <w:pStyle w:val="ListNumber"/>
      </w:pPr>
      <w:r>
        <w:rPr>
          <w:rFonts w:ascii="Calibri" w:hAnsi="Calibri"/>
          <w:sz w:val="22"/>
        </w:rPr>
        <w:t>Влияние</w:t>
      </w:r>
    </w:p>
    <w:p>
      <w:pPr>
        <w:spacing w:after="80" w:line="253" w:lineRule="exact"/>
      </w:pPr>
      <w:r>
        <w:rPr>
          <w:rFonts w:ascii="Calibri" w:hAnsi="Calibri"/>
          <w:sz w:val="22"/>
        </w:rPr>
        <w:t xml:space="preserve">   2.1 Потенциал прорывного научного и технологического воздействия</w:t>
      </w:r>
    </w:p>
    <w:p>
      <w:pPr>
        <w:spacing w:after="80" w:line="253" w:lineRule="exact"/>
      </w:pPr>
      <w:r>
        <w:rPr>
          <w:rFonts w:ascii="Calibri" w:hAnsi="Calibri"/>
          <w:sz w:val="22"/>
        </w:rPr>
        <w:t xml:space="preserve">   2.2 Потенциальное влияние на общество и актуальность политики ЕС</w:t>
      </w:r>
    </w:p>
    <w:p>
      <w:pPr>
        <w:spacing w:after="80" w:line="253" w:lineRule="exact"/>
      </w:pPr>
      <w:r>
        <w:rPr>
          <w:rFonts w:ascii="Calibri" w:hAnsi="Calibri"/>
          <w:sz w:val="22"/>
        </w:rPr>
        <w:t xml:space="preserve">   2.3 Распространение, эксплуатация и коммуникация</w:t>
      </w:r>
    </w:p>
    <w:p>
      <w:pPr>
        <w:pStyle w:val="ListNumber"/>
      </w:pPr>
      <w:r>
        <w:rPr>
          <w:rFonts w:ascii="Calibri" w:hAnsi="Calibri"/>
          <w:sz w:val="22"/>
        </w:rPr>
        <w:t>Качество и эффективность реализации</w:t>
      </w:r>
    </w:p>
    <w:p>
      <w:pPr>
        <w:spacing w:after="80" w:line="253" w:lineRule="exact"/>
      </w:pPr>
      <w:r>
        <w:rPr>
          <w:rFonts w:ascii="Calibri" w:hAnsi="Calibri"/>
          <w:sz w:val="22"/>
        </w:rPr>
        <w:t xml:space="preserve">   3.1 План работы и ресурсы</w:t>
      </w:r>
    </w:p>
    <w:p>
      <w:pPr>
        <w:spacing w:after="80" w:line="253" w:lineRule="exact"/>
      </w:pPr>
      <w:r>
        <w:rPr>
          <w:rFonts w:ascii="Calibri" w:hAnsi="Calibri"/>
          <w:sz w:val="22"/>
        </w:rPr>
        <w:t xml:space="preserve">   3.2 Возможности консорциума</w:t>
      </w:r>
    </w:p>
    <w:p>
      <w:pPr>
        <w:spacing w:after="80" w:line="253" w:lineRule="exact"/>
      </w:pPr>
      <w:r>
        <w:rPr>
          <w:rFonts w:ascii="Calibri" w:hAnsi="Calibri"/>
          <w:sz w:val="22"/>
        </w:rPr>
        <w:t xml:space="preserve">   3.3 Распределение бюджета</w:t>
      </w:r>
    </w:p>
    <w:p>
      <w:pPr>
        <w:spacing w:after="80" w:line="253" w:lineRule="exact"/>
      </w:pPr>
      <w:r>
        <w:rPr>
          <w:rFonts w:ascii="Calibri" w:hAnsi="Calibri"/>
          <w:sz w:val="22"/>
        </w:rPr>
        <w:t xml:space="preserve">   3.4 Управление рисками</w:t>
      </w:r>
    </w:p>
    <w:p>
      <w:pPr>
        <w:spacing w:after="80" w:line="253" w:lineRule="exact"/>
      </w:pPr>
      <w:r>
        <w:rPr>
          <w:rFonts w:ascii="Calibri" w:hAnsi="Calibri"/>
          <w:sz w:val="22"/>
        </w:rPr>
        <w:t xml:space="preserve">   3.5 Практика открытой науки</w:t>
      </w:r>
    </w:p>
    <w:p>
      <w:pPr>
        <w:pStyle w:val="ListNumber"/>
      </w:pPr>
      <w:r>
        <w:rPr>
          <w:rFonts w:ascii="Calibri" w:hAnsi="Calibri"/>
          <w:sz w:val="22"/>
        </w:rPr>
        <w:t>Самооценка этики</w:t>
      </w:r>
    </w:p>
    <w:p>
      <w:pPr>
        <w:pBdr>
          <w:bottom w:val="single" w:sz="6" w:space="1" w:color="auto"/>
        </w:pBdr>
        <w:spacing w:after="120"/>
      </w:pPr>
    </w:p>
    <w:p>
      <w:pPr>
        <w:spacing w:before="200" w:after="80"/>
      </w:pPr>
      <w:r>
        <w:rPr>
          <w:rFonts w:ascii="Calibri" w:hAnsi="Calibri"/>
          <w:b/>
          <w:sz w:val="28"/>
        </w:rPr>
        <w:t>0. История изменений</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9E1F2"/>
          </w:tcPr>
          <w:p>
            <w:r/>
            <w:r>
              <w:rPr>
                <w:rFonts w:ascii="Calibri" w:hAnsi="Calibri"/>
                <w:b/>
                <w:sz w:val="20"/>
              </w:rPr>
              <w:t>Версия</w:t>
            </w:r>
          </w:p>
        </w:tc>
        <w:tc>
          <w:tcPr>
            <w:tcW w:type="dxa" w:w="3135"/>
            <w:shd w:val="clear" w:color="auto" w:fill="D9E1F2"/>
          </w:tcPr>
          <w:p>
            <w:r/>
            <w:r>
              <w:rPr>
                <w:rFonts w:ascii="Calibri" w:hAnsi="Calibri"/>
                <w:b/>
                <w:sz w:val="20"/>
              </w:rPr>
              <w:t>Дата</w:t>
            </w:r>
          </w:p>
        </w:tc>
        <w:tc>
          <w:tcPr>
            <w:tcW w:type="dxa" w:w="3135"/>
            <w:shd w:val="clear" w:color="auto" w:fill="D9E1F2"/>
          </w:tcPr>
          <w:p>
            <w:r/>
            <w:r>
              <w:rPr>
                <w:rFonts w:ascii="Calibri" w:hAnsi="Calibri"/>
                <w:b/>
                <w:sz w:val="20"/>
              </w:rPr>
              <w:t>Характер изменений</w:t>
            </w:r>
          </w:p>
        </w:tc>
      </w:tr>
      <w:tr>
        <w:tc>
          <w:tcPr>
            <w:tcW w:type="dxa" w:w="3135"/>
          </w:tcPr>
          <w:p>
            <w:r/>
            <w:r>
              <w:rPr>
                <w:rFonts w:ascii="Calibri" w:hAnsi="Calibri"/>
                <w:sz w:val="20"/>
              </w:rPr>
              <w:t>v1.0</w:t>
            </w:r>
          </w:p>
        </w:tc>
        <w:tc>
          <w:tcPr>
            <w:tcW w:type="dxa" w:w="3135"/>
          </w:tcPr>
          <w:p>
            <w:r/>
            <w:r>
              <w:rPr>
                <w:rFonts w:ascii="Calibri" w:hAnsi="Calibri"/>
                <w:sz w:val="20"/>
              </w:rPr>
              <w:t>21 марта 2026 г.</w:t>
            </w:r>
          </w:p>
        </w:tc>
        <w:tc>
          <w:tcPr>
            <w:tcW w:type="dxa" w:w="3135"/>
          </w:tcPr>
          <w:p>
            <w:r/>
            <w:r>
              <w:rPr>
                <w:rFonts w:ascii="Calibri" w:hAnsi="Calibri"/>
                <w:sz w:val="20"/>
              </w:rPr>
              <w:t>Первоначальный проект</w:t>
            </w:r>
          </w:p>
        </w:tc>
      </w:tr>
      <w:tr>
        <w:tc>
          <w:tcPr>
            <w:tcW w:type="dxa" w:w="3135"/>
          </w:tcPr>
          <w:p>
            <w:r/>
            <w:r>
              <w:rPr>
                <w:rFonts w:ascii="Calibri" w:hAnsi="Calibri"/>
                <w:sz w:val="20"/>
              </w:rPr>
              <w:t>v2.0</w:t>
            </w:r>
          </w:p>
        </w:tc>
        <w:tc>
          <w:tcPr>
            <w:tcW w:type="dxa" w:w="3135"/>
          </w:tcPr>
          <w:p>
            <w:r/>
            <w:r>
              <w:rPr>
                <w:rFonts w:ascii="Calibri" w:hAnsi="Calibri"/>
                <w:sz w:val="20"/>
              </w:rPr>
              <w:t>23 марта 2026 г.</w:t>
            </w:r>
          </w:p>
        </w:tc>
        <w:tc>
          <w:tcPr>
            <w:tcW w:type="dxa" w:w="3135"/>
          </w:tcPr>
          <w:p>
            <w:r/>
            <w:r>
              <w:rPr>
                <w:rFonts w:ascii="Calibri" w:hAnsi="Calibri"/>
                <w:sz w:val="20"/>
              </w:rPr>
              <w:t>Скорректированный бюджет: прямые 2 000 000 евро + 25% косвенные = 2 500 000 евро. Добавлен заполнитель для со-руководителя от ГТУ. n=288/240 унифицировано. Добавлена таблица человеко-месяцев. Уточнены руководители WP. Рецензирование, версия 3: 4.3/5.</w:t>
            </w:r>
          </w:p>
        </w:tc>
      </w:tr>
      <w:tr>
        <w:tc>
          <w:tcPr>
            <w:tcW w:type="dxa" w:w="3135"/>
          </w:tcPr>
          <w:p>
            <w:r/>
            <w:r>
              <w:rPr>
                <w:rFonts w:ascii="Calibri" w:hAnsi="Calibri"/>
                <w:sz w:val="20"/>
              </w:rPr>
              <w:t>v5.0</w:t>
            </w:r>
          </w:p>
        </w:tc>
        <w:tc>
          <w:tcPr>
            <w:tcW w:type="dxa" w:w="3135"/>
          </w:tcPr>
          <w:p>
            <w:r/>
            <w:r>
              <w:rPr>
                <w:rFonts w:ascii="Calibri" w:hAnsi="Calibri"/>
                <w:sz w:val="20"/>
              </w:rPr>
              <w:t>24 марта 2026 г.</w:t>
            </w:r>
          </w:p>
        </w:tc>
        <w:tc>
          <w:tcPr>
            <w:tcW w:type="dxa" w:w="3135"/>
          </w:tcPr>
          <w:p>
            <w:r/>
            <w:r>
              <w:rPr>
                <w:rFonts w:ascii="Calibri" w:hAnsi="Calibri"/>
                <w:sz w:val="20"/>
              </w:rPr>
              <w:t>Исправления по результатам рецензирования версии 4: (C2) Теория Ze удалена из раздела 1 «Превосходство»; остается только вторичной конечной точкой в WP2. (C3) Соглашение о консорциуме исправлено на M1. (C4) Расширено описание Академии Фасис. Добавлена подготовительная задача WP4 T4.0. В таблицу вмешательств добавлены предостережения in silico.</w:t>
            </w:r>
          </w:p>
        </w:tc>
      </w:tr>
      <w:tr>
        <w:tc>
          <w:tcPr>
            <w:tcW w:type="dxa" w:w="3135"/>
          </w:tcPr>
          <w:p>
            <w:r/>
            <w:r>
              <w:rPr>
                <w:rFonts w:ascii="Calibri" w:hAnsi="Calibri"/>
                <w:sz w:val="20"/>
              </w:rPr>
              <w:t>v6.0</w:t>
            </w:r>
          </w:p>
        </w:tc>
        <w:tc>
          <w:tcPr>
            <w:tcW w:type="dxa" w:w="3135"/>
          </w:tcPr>
          <w:p>
            <w:r/>
            <w:r>
              <w:rPr>
                <w:rFonts w:ascii="Calibri" w:hAnsi="Calibri"/>
                <w:sz w:val="20"/>
              </w:rPr>
              <w:t>24 марта 2026 г.</w:t>
            </w:r>
          </w:p>
        </w:tc>
        <w:tc>
          <w:tcPr>
            <w:tcW w:type="dxa" w:w="3135"/>
          </w:tcPr>
          <w:p>
            <w:r/>
            <w:r>
              <w:rPr>
                <w:rFonts w:ascii="Calibri" w:hAnsi="Calibri"/>
                <w:sz w:val="20"/>
              </w:rPr>
              <w:t>Поправки по результатам рецензирования внешними экспертами: (E1) Теория Ze восстановлена в 1.2 в качестве вторичной инновационной гипотезы (без набора данных n=26). (Q2) Исправлено описание STED: приобретение новой Leica SP8, а не обновление с Zeiss LSM 700. (Q3) В WP2 T2.2 и T2.4 добавлено ослепление. (E3) Первичные клетки HDF добавлены в WP1 T1.1. (E2) Формулировка теории теломер смягчена в таблице 1.1.5. (I1) Снижены ключевые показатели эффективности: №10 r&gt;0,5, №12 доказательство механизма. (Q4) Для Rust Engineer добавлен международный набор персонала. (I2) План автоматизированной платформы CAII ELISA добавлен в раздел 2.3.3.</w:t>
            </w:r>
          </w:p>
        </w:tc>
      </w:tr>
      <w:tr>
        <w:tc>
          <w:tcPr>
            <w:tcW w:type="dxa" w:w="3135"/>
          </w:tcPr>
          <w:p>
            <w:r/>
            <w:r>
              <w:rPr>
                <w:rFonts w:ascii="Calibri" w:hAnsi="Calibri"/>
                <w:sz w:val="20"/>
              </w:rPr>
              <w:t>v7.0</w:t>
            </w:r>
          </w:p>
        </w:tc>
        <w:tc>
          <w:tcPr>
            <w:tcW w:type="dxa" w:w="3135"/>
          </w:tcPr>
          <w:p>
            <w:r/>
            <w:r>
              <w:rPr>
                <w:rFonts w:ascii="Calibri" w:hAnsi="Calibri"/>
                <w:sz w:val="20"/>
              </w:rPr>
              <w:t>24 марта 2026 г.</w:t>
            </w:r>
          </w:p>
        </w:tc>
        <w:tc>
          <w:tcPr>
            <w:tcW w:type="dxa" w:w="3135"/>
          </w:tcPr>
          <w:p>
            <w:r/>
            <w:r>
              <w:rPr>
                <w:rFonts w:ascii="Calibri" w:hAnsi="Calibri"/>
                <w:sz w:val="20"/>
              </w:rPr>
              <w:t>Вторая экспертиза + подтверждение со-руководителя: (C2) Версия документа v7.0. (C3) Теория Ze 1.2.3 — ранее неопубликованных наборов данных нет. (M1) ≥439 тестов по всем разделам. (M2) KPI №16 Автоматизированная платформа CAII ELISA. (M3) Ссылка Гладышева, 2014 г. [11]. (L1) Leica SP8 STED в разделе 2.2.3. (Q1) со-руководитель подтвержден: проф. Батони Гела, ГТУ ABET BME, FORGE-AI — заполнитель полностью заменен; описание роли добавлено в 3.2.2; Риск R1 обновлен.</w:t>
            </w:r>
          </w:p>
        </w:tc>
      </w:tr>
    </w:tbl>
    <w:p>
      <w:pPr>
        <w:pBdr>
          <w:bottom w:val="single" w:sz="6" w:space="1" w:color="auto"/>
        </w:pBdr>
        <w:spacing w:after="120"/>
      </w:pPr>
    </w:p>
    <w:p>
      <w:pPr>
        <w:spacing w:before="200" w:after="80"/>
      </w:pPr>
      <w:r>
        <w:rPr>
          <w:rFonts w:ascii="Calibri" w:hAnsi="Calibri"/>
          <w:b/>
          <w:sz w:val="28"/>
        </w:rPr>
        <w:t>1. Превосходство</w:t>
      </w:r>
    </w:p>
    <w:p>
      <w:pPr>
        <w:spacing w:before="200" w:after="80"/>
      </w:pPr>
      <w:r>
        <w:rPr>
          <w:rFonts w:ascii="Calibri" w:hAnsi="Calibri"/>
          <w:b/>
          <w:sz w:val="24"/>
        </w:rPr>
        <w:t>CDATA в двух словах</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9E1F2"/>
          </w:tcPr>
          <w:p>
            <w:r/>
            <w:r>
              <w:rPr>
                <w:rFonts w:ascii="Calibri" w:hAnsi="Calibri"/>
                <w:b/>
                <w:sz w:val="20"/>
              </w:rPr>
              <w:t>ПОЧЕМУ</w:t>
            </w:r>
          </w:p>
        </w:tc>
        <w:tc>
          <w:tcPr>
            <w:tcW w:type="dxa" w:w="4703"/>
            <w:shd w:val="clear" w:color="auto" w:fill="D9E1F2"/>
          </w:tcPr>
          <w:p>
            <w:r/>
            <w:r>
              <w:rPr>
                <w:rFonts w:ascii="Calibri" w:hAnsi="Calibri"/>
                <w:b/>
                <w:sz w:val="20"/>
              </w:rPr>
              <w:t>Старение является ведущим фактором риска всех основных неинфекционных заболеваний, однако его первичный клеточный драйвер остаётся неизвестным. Современные теории («Признаки старения», «теория теломер», «воспалительное старение») представляют собой феноменологические описания, а не механистические первопричины. Необходим срочный сдвиг парадигмы, направленный на идентификацию необратимого молекулярного инициатора каскада старения.</w:t>
            </w:r>
          </w:p>
        </w:tc>
      </w:tr>
      <w:tr>
        <w:tc>
          <w:tcPr>
            <w:tcW w:type="dxa" w:w="4703"/>
          </w:tcPr>
          <w:p>
            <w:r/>
            <w:r>
              <w:rPr>
                <w:rFonts w:ascii="Calibri" w:hAnsi="Calibri"/>
                <w:sz w:val="20"/>
              </w:rPr>
              <w:t>ЧТО</w:t>
            </w:r>
          </w:p>
        </w:tc>
        <w:tc>
          <w:tcPr>
            <w:tcW w:type="dxa" w:w="4703"/>
          </w:tcPr>
          <w:p>
            <w:r/>
            <w:r>
              <w:rPr>
                <w:rFonts w:ascii="Calibri" w:hAnsi="Calibri"/>
                <w:sz w:val="20"/>
              </w:rPr>
              <w:t>CDATA предполагает, что этим инициатором являются центриоли — единственные немембранные клеточные органеллы, у которых полностью отсутствуют механизмы восстановления. Необратимо накапливая посттрансляционные модификации (PTM), повреждённые центриоли нарушают функции первичных ресничек и митотического веретена, что ведёт к истощению пула стволовых клеток и системному старению. CDATA — это первая вычислительная модель клеточного цифрового двойника (Cell-DT), интегрирующая 7 биологических направлений и более 20 механизмов старения в единую прогностическую модель, откалиброванную на продолжительность жизни человека в 78,4 года.</w:t>
            </w:r>
          </w:p>
        </w:tc>
      </w:tr>
      <w:tr>
        <w:tc>
          <w:tcPr>
            <w:tcW w:type="dxa" w:w="4703"/>
          </w:tcPr>
          <w:p>
            <w:r/>
            <w:r>
              <w:rPr>
                <w:rFonts w:ascii="Calibri" w:hAnsi="Calibri"/>
                <w:sz w:val="20"/>
              </w:rPr>
              <w:t>КАК</w:t>
            </w:r>
          </w:p>
        </w:tc>
        <w:tc>
          <w:tcPr>
            <w:tcW w:type="dxa" w:w="4703"/>
          </w:tcPr>
          <w:p>
            <w:r/>
            <w:r>
              <w:rPr>
                <w:rFonts w:ascii="Calibri" w:hAnsi="Calibri"/>
                <w:sz w:val="20"/>
              </w:rPr>
              <w:t>Фаза 1 (WP1–WP2): Валидация биомаркеров CDATA (CAII, CEP164, γ-H2AX) в продольной когорте людей (n = 288, возраст 66–80 лет) и в моделях in vitro повреждения центриолей. Фаза 2 (WP3): Интеграция экспериментальных данных в клеточный цифровой двойник на базе Rust (Cell-DT, 14 модулей ECS, ≥439 проверенных тестов). Фаза 3 (WP4): Демонстрация терапевтического подтверждения концепции с использованием трёх новых вмешательств, специфичных для CDATA (CentrosomeTransplant, CafdRetainer, сенолитики).</w:t>
            </w:r>
          </w:p>
        </w:tc>
      </w:tr>
      <w:tr>
        <w:tc>
          <w:tcPr>
            <w:tcW w:type="dxa" w:w="4703"/>
          </w:tcPr>
          <w:p>
            <w:r/>
            <w:r>
              <w:rPr>
                <w:rFonts w:ascii="Calibri" w:hAnsi="Calibri"/>
                <w:sz w:val="20"/>
              </w:rPr>
              <w:t>ДЛЯ КОГО</w:t>
            </w:r>
          </w:p>
        </w:tc>
        <w:tc>
          <w:tcPr>
            <w:tcW w:type="dxa" w:w="4703"/>
          </w:tcPr>
          <w:p>
            <w:r/>
            <w:r>
              <w:rPr>
                <w:rFonts w:ascii="Calibri" w:hAnsi="Calibri"/>
                <w:sz w:val="20"/>
              </w:rPr>
              <w:t>Биогеронтологи, врачи прецизионной медицины, биотехнологические компании в области долголетия, разработчики фармацевтических препаратов, политики ЕС в сфере здорового старения.</w:t>
            </w:r>
          </w:p>
        </w:tc>
      </w:tr>
      <w:tr>
        <w:tc>
          <w:tcPr>
            <w:tcW w:type="dxa" w:w="4703"/>
          </w:tcPr>
          <w:p>
            <w:r/>
            <w:r>
              <w:rPr>
                <w:rFonts w:ascii="Calibri" w:hAnsi="Calibri"/>
                <w:sz w:val="20"/>
              </w:rPr>
              <w:t>КЕМ</w:t>
            </w:r>
          </w:p>
        </w:tc>
        <w:tc>
          <w:tcPr>
            <w:tcW w:type="dxa" w:w="4703"/>
          </w:tcPr>
          <w:p>
            <w:r/>
            <w:r>
              <w:rPr>
                <w:rFonts w:ascii="Calibri" w:hAnsi="Calibri"/>
                <w:sz w:val="20"/>
              </w:rPr>
              <w:t>Целенаправленный консорциум из двух институтов: Phasis Academy (PI: д-р Джаба Ткемаладзе, MD, PhD — автор теории CDATA; 2 рецензируемые публикации, включая Mol Biol Rep 2023, PMID 36583780) + Грузинский технический университет ABET BME (со-PI: проф. Батони Гела, ведущий центр конфокальной/STED микроскопии, опыт участия в проекте Horizon FORGE-AI).</w:t>
            </w:r>
          </w:p>
        </w:tc>
      </w:tr>
    </w:tbl>
    <w:p>
      <w:pPr>
        <w:pBdr>
          <w:bottom w:val="single" w:sz="6" w:space="1" w:color="auto"/>
        </w:pBdr>
        <w:spacing w:after="120"/>
      </w:pPr>
    </w:p>
    <w:p>
      <w:pPr>
        <w:spacing w:before="200" w:after="80"/>
      </w:pPr>
      <w:r>
        <w:rPr>
          <w:rFonts w:ascii="Calibri" w:hAnsi="Calibri"/>
          <w:b/>
          <w:sz w:val="24"/>
        </w:rPr>
        <w:t>1.1 Обоснование концепции проекта и достоверность предлагаемой методологии</w:t>
      </w:r>
    </w:p>
    <w:p>
      <w:pPr>
        <w:spacing w:before="200" w:after="80"/>
      </w:pPr>
      <w:r>
        <w:rPr>
          <w:rFonts w:ascii="Calibri" w:hAnsi="Calibri"/>
          <w:b/>
          <w:i/>
          <w:sz w:val="22"/>
        </w:rPr>
        <w:t>1.1.1 Проблема: отсутствующая первопричина старения</w:t>
      </w:r>
    </w:p>
    <w:p>
      <w:pPr>
        <w:spacing w:after="80" w:line="253" w:lineRule="exact"/>
      </w:pPr>
      <w:r>
        <w:rPr>
          <w:rFonts w:ascii="Calibri" w:hAnsi="Calibri"/>
          <w:sz w:val="22"/>
        </w:rPr>
        <w:t xml:space="preserve">Несмотря на десятилетия исследований, старению не хватает механистического причинного объяснения на молекулярном уровне. Доминирующая концепция — 12 признаков старения (López-Otín et al., 2023, </w:t>
      </w:r>
      <w:r>
        <w:rPr>
          <w:rFonts w:ascii="Calibri" w:hAnsi="Calibri"/>
          <w:i/>
          <w:sz w:val="22"/>
        </w:rPr>
        <w:t>Cell</w:t>
      </w:r>
      <w:r>
        <w:rPr>
          <w:rFonts w:ascii="Calibri" w:hAnsi="Calibri"/>
          <w:sz w:val="22"/>
        </w:rPr>
        <w:t xml:space="preserve"> 186:243) — каталогизирует </w:t>
      </w:r>
      <w:r>
        <w:rPr>
          <w:rFonts w:ascii="Calibri" w:hAnsi="Calibri"/>
          <w:i/>
          <w:sz w:val="22"/>
        </w:rPr>
        <w:t>последствия</w:t>
      </w:r>
      <w:r>
        <w:rPr>
          <w:rFonts w:ascii="Calibri" w:hAnsi="Calibri"/>
          <w:sz w:val="22"/>
        </w:rPr>
        <w:t xml:space="preserve"> старения, но не идентифицирует исходное событие. Истощение теломер (Blackburn, 2000, </w:t>
      </w:r>
      <w:r>
        <w:rPr>
          <w:rFonts w:ascii="Calibri" w:hAnsi="Calibri"/>
          <w:i/>
          <w:sz w:val="22"/>
        </w:rPr>
        <w:t>Nature</w:t>
      </w:r>
      <w:r>
        <w:rPr>
          <w:rFonts w:ascii="Calibri" w:hAnsi="Calibri"/>
          <w:sz w:val="22"/>
        </w:rPr>
        <w:t xml:space="preserve"> 408:53) объясняет ограниченное по Хейфлику клеточное деление, но не постмитотическое старение клеток. Воспалительное старение (Franceschi et al., 2007) является следствием иммунной дисрегуляции, а не её первопричиной.</w:t>
      </w:r>
    </w:p>
    <w:p>
      <w:pPr>
        <w:spacing w:after="80" w:line="253" w:lineRule="exact"/>
      </w:pPr>
      <w:r>
        <w:rPr>
          <w:rFonts w:ascii="Calibri" w:hAnsi="Calibri"/>
          <w:sz w:val="22"/>
        </w:rPr>
        <w:t xml:space="preserve">Главный вопрос остаётся без ответа: </w:t>
      </w:r>
      <w:r>
        <w:rPr>
          <w:rFonts w:ascii="Calibri" w:hAnsi="Calibri"/>
          <w:b/>
          <w:sz w:val="22"/>
        </w:rPr>
        <w:t>какое первое необратимое молекулярное событие запускает каскад?</w:t>
      </w:r>
    </w:p>
    <w:p>
      <w:pPr>
        <w:spacing w:after="80" w:line="253" w:lineRule="exact"/>
      </w:pPr>
      <w:r>
        <w:rPr>
          <w:rFonts w:ascii="Calibri" w:hAnsi="Calibri"/>
          <w:sz w:val="22"/>
        </w:rPr>
        <w:t xml:space="preserve">CDATA предлагает убедительный ответ, основанный на клеточной биологии: </w:t>
      </w:r>
      <w:r>
        <w:rPr>
          <w:rFonts w:ascii="Calibri" w:hAnsi="Calibri"/>
          <w:b/>
          <w:sz w:val="22"/>
        </w:rPr>
        <w:t>центриоли</w:t>
      </w:r>
      <w:r>
        <w:rPr>
          <w:rFonts w:ascii="Calibri" w:hAnsi="Calibri"/>
          <w:sz w:val="22"/>
        </w:rPr>
        <w:t>.</w:t>
      </w:r>
    </w:p>
    <w:p>
      <w:pPr>
        <w:spacing w:before="200" w:after="80"/>
      </w:pPr>
      <w:r>
        <w:rPr>
          <w:rFonts w:ascii="Calibri" w:hAnsi="Calibri"/>
          <w:b/>
          <w:i/>
          <w:sz w:val="22"/>
        </w:rPr>
        <w:t>1.1.2 Гипотеза CDATA</w:t>
      </w:r>
    </w:p>
    <w:p>
      <w:pPr>
        <w:spacing w:after="80" w:line="253" w:lineRule="exact"/>
      </w:pPr>
      <w:r>
        <w:rPr>
          <w:rFonts w:ascii="Calibri" w:hAnsi="Calibri"/>
          <w:sz w:val="22"/>
        </w:rPr>
        <w:t>Центриоли уникальны среди клеточных органелл в двух ключевых аспектах:</w:t>
      </w:r>
    </w:p>
    <w:p>
      <w:pPr>
        <w:pStyle w:val="ListNumber"/>
      </w:pPr>
      <w:r>
        <w:rPr>
          <w:rFonts w:ascii="Calibri" w:hAnsi="Calibri"/>
          <w:b/>
          <w:sz w:val="22"/>
        </w:rPr>
        <w:t>Они постоянны</w:t>
      </w:r>
      <w:r>
        <w:rPr>
          <w:rFonts w:ascii="Calibri" w:hAnsi="Calibri"/>
          <w:sz w:val="22"/>
        </w:rPr>
        <w:t xml:space="preserve">: в отличие от большинства белков, обновляемых за дни или недели, центриоли сохраняются на протяжении всей жизни клетки. Материнская центриоль </w:t>
      </w:r>
      <w:r>
        <w:rPr>
          <w:rFonts w:ascii="Calibri" w:hAnsi="Calibri"/>
          <w:i/>
          <w:sz w:val="22"/>
        </w:rPr>
        <w:t>никогда не заменяется</w:t>
      </w:r>
      <w:r>
        <w:rPr>
          <w:rFonts w:ascii="Calibri" w:hAnsi="Calibri"/>
          <w:sz w:val="22"/>
        </w:rPr>
        <w:t>.</w:t>
      </w:r>
    </w:p>
    <w:p>
      <w:pPr>
        <w:pStyle w:val="ListNumber"/>
      </w:pPr>
      <w:r>
        <w:rPr>
          <w:rFonts w:ascii="Calibri" w:hAnsi="Calibri"/>
          <w:b/>
          <w:sz w:val="22"/>
        </w:rPr>
        <w:t>У них полностью отсутствуют механизмы репарации</w:t>
      </w:r>
      <w:r>
        <w:rPr>
          <w:rFonts w:ascii="Calibri" w:hAnsi="Calibri"/>
          <w:sz w:val="22"/>
        </w:rPr>
        <w:t xml:space="preserve">: ни одна известная деубиквитилаза, протеаза или система шаперонов теплового шока не восстанавливает структурные белки центриолей (Ткемаладзе, 2023, </w:t>
      </w:r>
      <w:r>
        <w:rPr>
          <w:rFonts w:ascii="Calibri" w:hAnsi="Calibri"/>
          <w:i/>
          <w:sz w:val="22"/>
        </w:rPr>
        <w:t>Mol Biol Rep</w:t>
      </w:r>
      <w:r>
        <w:rPr>
          <w:rFonts w:ascii="Calibri" w:hAnsi="Calibri"/>
          <w:sz w:val="22"/>
        </w:rPr>
        <w:t>, PMID 36583780).</w:t>
      </w:r>
    </w:p>
    <w:p>
      <w:pPr>
        <w:spacing w:after="80" w:line="253" w:lineRule="exact"/>
      </w:pPr>
      <w:r>
        <w:rPr>
          <w:rFonts w:ascii="Calibri" w:hAnsi="Calibri"/>
          <w:sz w:val="22"/>
        </w:rPr>
        <w:t xml:space="preserve">Как следствие, центриоли необратимо накапливают </w:t>
      </w:r>
      <w:r>
        <w:rPr>
          <w:rFonts w:ascii="Calibri" w:hAnsi="Calibri"/>
          <w:b/>
          <w:sz w:val="22"/>
        </w:rPr>
        <w:t>посттрансляционные модификации (PTM)</w:t>
      </w:r>
      <w:r>
        <w:rPr>
          <w:rFonts w:ascii="Calibri" w:hAnsi="Calibri"/>
          <w:sz w:val="22"/>
        </w:rPr>
        <w:t>:</w:t>
      </w:r>
    </w:p>
    <w:p>
      <w:pPr>
        <w:pStyle w:val="ListBullet"/>
      </w:pPr>
      <w:r>
        <w:rPr>
          <w:rFonts w:ascii="Calibri" w:hAnsi="Calibri"/>
          <w:sz w:val="22"/>
        </w:rPr>
        <w:t>Ацетилирование тубулина (прогрессирует с рождения)</w:t>
      </w:r>
    </w:p>
    <w:p>
      <w:pPr>
        <w:pStyle w:val="ListBullet"/>
      </w:pPr>
      <w:r>
        <w:rPr>
          <w:rFonts w:ascii="Calibri" w:hAnsi="Calibri"/>
          <w:sz w:val="22"/>
        </w:rPr>
        <w:t>Окислительное карбонилирование (самоусиливающаяся петля, управляемая АФК)</w:t>
      </w:r>
    </w:p>
    <w:p>
      <w:pPr>
        <w:pStyle w:val="ListBullet"/>
      </w:pPr>
      <w:r>
        <w:rPr>
          <w:rFonts w:ascii="Calibri" w:hAnsi="Calibri"/>
          <w:sz w:val="22"/>
        </w:rPr>
        <w:t>Дрейф фосфорилирования (остаточная активность киназ M-фазы)</w:t>
      </w:r>
    </w:p>
    <w:p>
      <w:pPr>
        <w:pStyle w:val="ListBullet"/>
      </w:pPr>
      <w:r>
        <w:rPr>
          <w:rFonts w:ascii="Calibri" w:hAnsi="Calibri"/>
          <w:sz w:val="22"/>
        </w:rPr>
        <w:t>Дисбаланс глутамилирования/глицилирования (нарушает динамику микротрубочек)</w:t>
      </w:r>
    </w:p>
    <w:p>
      <w:pPr>
        <w:spacing w:after="80" w:line="253" w:lineRule="exact"/>
      </w:pPr>
      <w:r>
        <w:rPr>
          <w:rFonts w:ascii="Calibri" w:hAnsi="Calibri"/>
          <w:sz w:val="22"/>
        </w:rPr>
        <w:t xml:space="preserve">Эти PTM накапливаются по-разному в материнских (старых) и дочерних (молодых) центриолях из-за </w:t>
      </w:r>
      <w:r>
        <w:rPr>
          <w:rFonts w:ascii="Calibri" w:hAnsi="Calibri"/>
          <w:b/>
          <w:sz w:val="22"/>
        </w:rPr>
        <w:t>правила асимметричного удержания</w:t>
      </w:r>
      <w:r>
        <w:rPr>
          <w:rFonts w:ascii="Calibri" w:hAnsi="Calibri"/>
          <w:sz w:val="22"/>
        </w:rPr>
        <w:t xml:space="preserve">: при асимметричном делении стволовых клеток стволовая дочерняя клетка </w:t>
      </w:r>
      <w:r>
        <w:rPr>
          <w:rFonts w:ascii="Calibri" w:hAnsi="Calibri"/>
          <w:i/>
          <w:sz w:val="22"/>
        </w:rPr>
        <w:t>селективно сохраняет более старую, более повреждённую материнскую центриоль</w:t>
      </w:r>
      <w:r>
        <w:rPr>
          <w:rFonts w:ascii="Calibri" w:hAnsi="Calibri"/>
          <w:sz w:val="22"/>
        </w:rPr>
        <w:t>. Это молекулярная основа «штампа старения», передаваемого через поколения стволовых клеток.</w:t>
      </w:r>
    </w:p>
    <w:p>
      <w:pPr>
        <w:spacing w:after="80" w:line="253" w:lineRule="exact"/>
      </w:pPr>
      <w:r>
        <w:rPr>
          <w:rFonts w:ascii="Calibri" w:hAnsi="Calibri"/>
          <w:sz w:val="22"/>
        </w:rPr>
        <w:t>Последующие эффекты формируют два независимых направления:</w:t>
      </w:r>
    </w:p>
    <w:p>
      <w:pPr>
        <w:pStyle w:val="ListBullet"/>
      </w:pPr>
      <w:r>
        <w:rPr>
          <w:rFonts w:ascii="Calibri" w:hAnsi="Calibri"/>
          <w:b/>
          <w:sz w:val="22"/>
        </w:rPr>
        <w:t>Направление A (реснички)</w:t>
      </w:r>
      <w:r>
        <w:rPr>
          <w:rFonts w:ascii="Calibri" w:hAnsi="Calibri"/>
          <w:sz w:val="22"/>
        </w:rPr>
        <w:t>: нарушение целостности придатков CEP164/CEP89/Ninein/CEP170 → сбой сборки первичных ресничек → коллапс передачи сигналов в нишах Shh/Wnt/Notch → прекращение самообновления стволовых клеток.</w:t>
      </w:r>
    </w:p>
    <w:p>
      <w:pPr>
        <w:pStyle w:val="ListBullet"/>
      </w:pPr>
      <w:r>
        <w:rPr>
          <w:rFonts w:ascii="Calibri" w:hAnsi="Calibri"/>
          <w:b/>
          <w:sz w:val="22"/>
        </w:rPr>
        <w:t>Направление B (веретено)</w:t>
      </w:r>
      <w:r>
        <w:rPr>
          <w:rFonts w:ascii="Calibri" w:hAnsi="Calibri"/>
          <w:sz w:val="22"/>
        </w:rPr>
        <w:t>: уклонение от контрольной точки сборки веретена → увеличение доли симметричных делений → ускоренное истощение пула стволовых клеток.</w:t>
      </w:r>
    </w:p>
    <w:p>
      <w:pPr>
        <w:spacing w:after="80" w:line="253" w:lineRule="exact"/>
      </w:pPr>
      <w:r>
        <w:rPr>
          <w:rFonts w:ascii="Calibri" w:hAnsi="Calibri"/>
          <w:sz w:val="22"/>
        </w:rPr>
        <w:t>Эти два направления, действуя совместно с четырьмя петлями усиления (каскад АФК, SASP/воспаление, укорочение теломер, ускорение эпигенетических часов), объясняют полную траекторию старения от TRL 1 (молекулярный механизм) до TRL 4 (верифицированная вычислительная модель).</w:t>
      </w:r>
    </w:p>
    <w:p>
      <w:pPr>
        <w:spacing w:before="200" w:after="80"/>
      </w:pPr>
      <w:r>
        <w:rPr>
          <w:rFonts w:ascii="Calibri" w:hAnsi="Calibri"/>
          <w:b/>
          <w:i/>
          <w:sz w:val="22"/>
        </w:rPr>
        <w:t>1.1.3 Предыдущие работы: опубликованная основа</w:t>
      </w:r>
    </w:p>
    <w:p>
      <w:pPr>
        <w:spacing w:after="80" w:line="253" w:lineRule="exact"/>
      </w:pPr>
      <w:r>
        <w:rPr>
          <w:rFonts w:ascii="Calibri" w:hAnsi="Calibri"/>
          <w:sz w:val="22"/>
        </w:rPr>
        <w:t>Две рецензируемые публикации подтверждают научную обоснованность CDATA: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9E1F2"/>
          </w:tcPr>
          <w:p>
            <w:r/>
            <w:r>
              <w:rPr>
                <w:rFonts w:ascii="Calibri" w:hAnsi="Calibri"/>
                <w:b/>
                <w:sz w:val="20"/>
              </w:rPr>
              <w:t>Публикация</w:t>
            </w:r>
          </w:p>
        </w:tc>
        <w:tc>
          <w:tcPr>
            <w:tcW w:type="dxa" w:w="2351"/>
            <w:shd w:val="clear" w:color="auto" w:fill="D9E1F2"/>
          </w:tcPr>
          <w:p>
            <w:r/>
            <w:r>
              <w:rPr>
                <w:rFonts w:ascii="Calibri" w:hAnsi="Calibri"/>
                <w:b/>
                <w:sz w:val="20"/>
              </w:rPr>
              <w:t>Журнал</w:t>
            </w:r>
          </w:p>
        </w:tc>
        <w:tc>
          <w:tcPr>
            <w:tcW w:type="dxa" w:w="2351"/>
            <w:shd w:val="clear" w:color="auto" w:fill="D9E1F2"/>
          </w:tcPr>
          <w:p>
            <w:r/>
            <w:r>
              <w:rPr>
                <w:rFonts w:ascii="Calibri" w:hAnsi="Calibri"/>
                <w:b/>
                <w:sz w:val="20"/>
              </w:rPr>
              <w:t>Год</w:t>
            </w:r>
          </w:p>
        </w:tc>
        <w:tc>
          <w:tcPr>
            <w:tcW w:type="dxa" w:w="2351"/>
            <w:shd w:val="clear" w:color="auto" w:fill="D9E1F2"/>
          </w:tcPr>
          <w:p>
            <w:r/>
            <w:r>
              <w:rPr>
                <w:rFonts w:ascii="Calibri" w:hAnsi="Calibri"/>
                <w:b/>
                <w:sz w:val="20"/>
              </w:rPr>
              <w:t>Ключевой вклад</w:t>
            </w:r>
          </w:p>
        </w:tc>
      </w:tr>
      <w:tr>
        <w:tc>
          <w:tcPr>
            <w:tcW w:type="dxa" w:w="2351"/>
          </w:tcPr>
          <w:p>
            <w:r/>
            <w:r>
              <w:rPr>
                <w:rFonts w:ascii="Calibri" w:hAnsi="Calibri"/>
                <w:sz w:val="20"/>
              </w:rPr>
              <w:t>Ткемаладзе Дж., Лорткипанидзе Г. «Асимметричная сегрегация центросомы и её роль в определении судьбы клетки»</w:t>
            </w:r>
          </w:p>
        </w:tc>
        <w:tc>
          <w:tcPr>
            <w:tcW w:type="dxa" w:w="2351"/>
          </w:tcPr>
          <w:p>
            <w:r/>
            <w:r>
              <w:rPr>
                <w:rFonts w:ascii="Calibri" w:hAnsi="Calibri"/>
                <w:sz w:val="20"/>
              </w:rPr>
              <w:t>Mol Biol Rep (Springer)</w:t>
            </w:r>
          </w:p>
        </w:tc>
        <w:tc>
          <w:tcPr>
            <w:tcW w:type="dxa" w:w="2351"/>
          </w:tcPr>
          <w:p>
            <w:r/>
            <w:r>
              <w:rPr>
                <w:rFonts w:ascii="Calibri" w:hAnsi="Calibri"/>
                <w:sz w:val="20"/>
              </w:rPr>
              <w:t>2023</w:t>
            </w:r>
          </w:p>
        </w:tc>
        <w:tc>
          <w:tcPr>
            <w:tcW w:type="dxa" w:w="2351"/>
          </w:tcPr>
          <w:p>
            <w:r/>
            <w:r>
              <w:rPr>
                <w:rFonts w:ascii="Calibri" w:hAnsi="Calibri"/>
                <w:sz w:val="20"/>
              </w:rPr>
              <w:t>PMID: 36583780 — устанавливает механизм асимметричной сегрегации центриолей и его роль в судьбе стволовых клеток. Рецензируется, индексируется в PubMed/Scopus.</w:t>
            </w:r>
          </w:p>
        </w:tc>
      </w:tr>
      <w:tr>
        <w:tc>
          <w:tcPr>
            <w:tcW w:type="dxa" w:w="2351"/>
          </w:tcPr>
          <w:p>
            <w:r/>
            <w:r>
              <w:rPr>
                <w:rFonts w:ascii="Calibri" w:hAnsi="Calibri"/>
                <w:sz w:val="20"/>
              </w:rPr>
              <w:t>Ткемаладзе Дж. «CDATA: Теория накопления центриолярных повреждений при старении»</w:t>
            </w:r>
          </w:p>
        </w:tc>
        <w:tc>
          <w:tcPr>
            <w:tcW w:type="dxa" w:w="2351"/>
          </w:tcPr>
          <w:p>
            <w:r/>
            <w:r>
              <w:rPr>
                <w:rFonts w:ascii="Calibri" w:hAnsi="Calibri"/>
                <w:sz w:val="20"/>
              </w:rPr>
              <w:t>Ann Rejuvenation Sci</w:t>
            </w:r>
          </w:p>
        </w:tc>
        <w:tc>
          <w:tcPr>
            <w:tcW w:type="dxa" w:w="2351"/>
          </w:tcPr>
          <w:p>
            <w:r/>
            <w:r>
              <w:rPr>
                <w:rFonts w:ascii="Calibri" w:hAnsi="Calibri"/>
                <w:sz w:val="20"/>
              </w:rPr>
              <w:t>2025</w:t>
            </w:r>
          </w:p>
        </w:tc>
        <w:tc>
          <w:tcPr>
            <w:tcW w:type="dxa" w:w="2351"/>
          </w:tcPr>
          <w:p>
            <w:r/>
            <w:r>
              <w:rPr>
                <w:rFonts w:ascii="Calibri" w:hAnsi="Calibri"/>
                <w:sz w:val="20"/>
              </w:rPr>
              <w:t>DOI: 10.65649/yx9sn772 — представляет полную теоретическую основу CDATA с вычислительной валидацией. Препринт также доступен на bioRxiv (в стадии подготовки, M1).</w:t>
            </w:r>
          </w:p>
        </w:tc>
      </w:tr>
    </w:tbl>
    <w:p>
      <w:pPr>
        <w:spacing w:before="200" w:after="80"/>
      </w:pPr>
      <w:r>
        <w:rPr>
          <w:rFonts w:ascii="Calibri" w:hAnsi="Calibri"/>
          <w:b/>
          <w:i/>
          <w:sz w:val="22"/>
        </w:rPr>
        <w:t>1.1.4 Цифровой двойник клетки (Cell-DT): вычислительное доказательство концепции</w:t>
      </w:r>
    </w:p>
    <w:p>
      <w:pPr>
        <w:spacing w:after="80" w:line="253" w:lineRule="exact"/>
      </w:pPr>
      <w:r>
        <w:rPr>
          <w:rFonts w:ascii="Calibri" w:hAnsi="Calibri"/>
          <w:sz w:val="22"/>
        </w:rPr>
        <w:t xml:space="preserve">PI разработала </w:t>
      </w:r>
      <w:r>
        <w:rPr>
          <w:rFonts w:ascii="Calibri" w:hAnsi="Calibri"/>
          <w:b/>
          <w:sz w:val="22"/>
        </w:rPr>
        <w:t>Cell-DT</w:t>
      </w:r>
      <w:r>
        <w:rPr>
          <w:rFonts w:ascii="Calibri" w:hAnsi="Calibri"/>
          <w:sz w:val="22"/>
        </w:rPr>
        <w:t xml:space="preserve"> — высокопроизводительный клеточный цифровой двойник на базе Rust, реализующий CDATA — в качестве воспроизводимой вычислительной платформы с открытым исходным кодом (GitHub: djabbat/CDATA-Longevity):</w:t>
      </w:r>
    </w:p>
    <w:p>
      <w:pPr>
        <w:spacing w:after="80" w:line="253" w:lineRule="exact"/>
      </w:pPr>
      <w:r>
        <w:rPr>
          <w:rFonts w:ascii="Calibri" w:hAnsi="Calibri"/>
          <w:b/>
          <w:sz w:val="22"/>
        </w:rPr>
        <w:t>Архитектура:</w:t>
      </w:r>
      <w:r>
        <w:rPr>
          <w:rFonts w:ascii="Calibri" w:hAnsi="Calibri"/>
          <w:sz w:val="22"/>
        </w:rPr>
        <w:t xml:space="preserve"> проект ECS (Entity-Component-System) с использованием крейта hecs; 14 модулей моделирования; ≥439 прохождений модульных тестов (+ новые тесты для модулей, добавленных в WP3) (cargo test); параллелизация через Rayon.</w:t>
      </w:r>
    </w:p>
    <w:p>
      <w:pPr>
        <w:spacing w:after="80" w:line="253" w:lineRule="exact"/>
      </w:pPr>
      <w:r>
        <w:rPr>
          <w:rFonts w:ascii="Calibri" w:hAnsi="Calibri"/>
          <w:b/>
          <w:sz w:val="22"/>
        </w:rPr>
        <w:t>Калиброванные результаты:</w:t>
      </w:r>
      <w:r>
        <w:rPr>
          <w:rFonts w:ascii="Calibri" w:hAnsi="Calibri"/>
          <w:sz w:val="22"/>
        </w:rPr>
        <w:t xml:space="preserve"> Используя параметры DamageParams по умолчанию (base_detach_probability = 0.0003; senescent_threshold = 0.75), модель прогнозирует:</w:t>
      </w:r>
    </w:p>
    <w:p>
      <w:pPr>
        <w:pStyle w:val="ListBullet"/>
      </w:pPr>
      <w:r>
        <w:rPr>
          <w:rFonts w:ascii="Calibri" w:hAnsi="Calibri"/>
          <w:sz w:val="22"/>
        </w:rPr>
        <w:t xml:space="preserve">Продолжительность жизни: </w:t>
      </w:r>
      <w:r>
        <w:rPr>
          <w:rFonts w:ascii="Calibri" w:hAnsi="Calibri"/>
          <w:b/>
          <w:sz w:val="22"/>
        </w:rPr>
        <w:t>78.4 года</w:t>
      </w:r>
      <w:r>
        <w:rPr>
          <w:rFonts w:ascii="Calibri" w:hAnsi="Calibri"/>
          <w:sz w:val="22"/>
        </w:rPr>
        <w:t xml:space="preserve"> (CV = 5.6% при n=1000 стохастических прогонов)</w:t>
      </w:r>
    </w:p>
    <w:p>
      <w:pPr>
        <w:pStyle w:val="ListBullet"/>
      </w:pPr>
      <w:r>
        <w:rPr>
          <w:rFonts w:ascii="Calibri" w:hAnsi="Calibri"/>
          <w:sz w:val="22"/>
        </w:rPr>
        <w:t xml:space="preserve">Миелоидная ошибка в возрасте 70 лет: </w:t>
      </w:r>
      <w:r>
        <w:rPr>
          <w:rFonts w:ascii="Calibri" w:hAnsi="Calibri"/>
          <w:b/>
          <w:sz w:val="22"/>
        </w:rPr>
        <w:t>0.45</w:t>
      </w:r>
      <w:r>
        <w:rPr>
          <w:rFonts w:ascii="Calibri" w:hAnsi="Calibri"/>
          <w:sz w:val="22"/>
        </w:rPr>
        <w:t xml:space="preserve"> (соответствует клиническим наблюдениям старения HSC)</w:t>
      </w:r>
    </w:p>
    <w:p>
      <w:pPr>
        <w:pStyle w:val="ListBullet"/>
      </w:pPr>
      <w:r>
        <w:rPr>
          <w:rFonts w:ascii="Calibri" w:hAnsi="Calibri"/>
          <w:sz w:val="22"/>
        </w:rPr>
        <w:t>Начало появления CHIP: 40 лет (согласно популяционным исследованиям)</w:t>
      </w:r>
    </w:p>
    <w:p>
      <w:pPr>
        <w:pStyle w:val="ListBullet"/>
      </w:pPr>
      <w:r>
        <w:rPr>
          <w:rFonts w:ascii="Calibri" w:hAnsi="Calibri"/>
          <w:sz w:val="22"/>
        </w:rPr>
        <w:t>Лимит Хейфлика: остановка в G1 при длине теломер &lt;0.15 (откалибровано до ~50 делений)</w:t>
      </w:r>
    </w:p>
    <w:p>
      <w:pPr>
        <w:spacing w:after="80" w:line="253" w:lineRule="exact"/>
      </w:pPr>
      <w:r>
        <w:rPr>
          <w:rFonts w:ascii="Calibri" w:hAnsi="Calibri"/>
          <w:b/>
          <w:sz w:val="22"/>
        </w:rPr>
        <w:t>Шесть проверенных траекторий моделирования:</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9E1F2"/>
          </w:tcPr>
          <w:p>
            <w:r/>
            <w:r>
              <w:rPr>
                <w:rFonts w:ascii="Calibri" w:hAnsi="Calibri"/>
                <w:b/>
                <w:sz w:val="20"/>
              </w:rPr>
              <w:t>Траектория</w:t>
            </w:r>
          </w:p>
        </w:tc>
        <w:tc>
          <w:tcPr>
            <w:tcW w:type="dxa" w:w="3135"/>
            <w:shd w:val="clear" w:color="auto" w:fill="D9E1F2"/>
          </w:tcPr>
          <w:p>
            <w:r/>
            <w:r>
              <w:rPr>
                <w:rFonts w:ascii="Calibri" w:hAnsi="Calibri"/>
                <w:b/>
                <w:sz w:val="20"/>
              </w:rPr>
              <w:t>Механизм</w:t>
            </w:r>
          </w:p>
        </w:tc>
        <w:tc>
          <w:tcPr>
            <w:tcW w:type="dxa" w:w="3135"/>
            <w:shd w:val="clear" w:color="auto" w:fill="D9E1F2"/>
          </w:tcPr>
          <w:p>
            <w:r/>
            <w:r>
              <w:rPr>
                <w:rFonts w:ascii="Calibri" w:hAnsi="Calibri"/>
                <w:b/>
                <w:sz w:val="20"/>
              </w:rPr>
              <w:t>Ключевой результат</w:t>
            </w:r>
          </w:p>
        </w:tc>
      </w:tr>
      <w:tr>
        <w:tc>
          <w:tcPr>
            <w:tcW w:type="dxa" w:w="3135"/>
          </w:tcPr>
          <w:p>
            <w:r/>
            <w:r>
              <w:rPr>
                <w:rFonts w:ascii="Calibri" w:hAnsi="Calibri"/>
                <w:sz w:val="20"/>
              </w:rPr>
              <w:t>A (реснички)</w:t>
            </w:r>
          </w:p>
        </w:tc>
        <w:tc>
          <w:tcPr>
            <w:tcW w:type="dxa" w:w="3135"/>
          </w:tcPr>
          <w:p>
            <w:r/>
            <w:r>
              <w:rPr>
                <w:rFonts w:ascii="Calibri" w:hAnsi="Calibri"/>
                <w:sz w:val="20"/>
              </w:rPr>
              <w:t>CEP164↓ → Shh/Wnt↓ → regenerate_tempo↓</w:t>
            </w:r>
          </w:p>
        </w:tc>
        <w:tc>
          <w:tcPr>
            <w:tcW w:type="dxa" w:w="3135"/>
          </w:tcPr>
          <w:p>
            <w:r/>
            <w:r>
              <w:rPr>
                <w:rFonts w:ascii="Calibri" w:hAnsi="Calibri"/>
                <w:sz w:val="20"/>
              </w:rPr>
              <w:t>ciliary_function: 1.0 → 0.12 при смерти</w:t>
            </w:r>
          </w:p>
        </w:tc>
      </w:tr>
      <w:tr>
        <w:tc>
          <w:tcPr>
            <w:tcW w:type="dxa" w:w="3135"/>
          </w:tcPr>
          <w:p>
            <w:r/>
            <w:r>
              <w:rPr>
                <w:rFonts w:ascii="Calibri" w:hAnsi="Calibri"/>
                <w:sz w:val="20"/>
              </w:rPr>
              <w:t>B (веретено)</w:t>
            </w:r>
          </w:p>
        </w:tc>
        <w:tc>
          <w:tcPr>
            <w:tcW w:type="dxa" w:w="3135"/>
          </w:tcPr>
          <w:p>
            <w:r/>
            <w:r>
              <w:rPr>
                <w:rFonts w:ascii="Calibri" w:hAnsi="Calibri"/>
                <w:sz w:val="20"/>
              </w:rPr>
              <w:t>spindle_fidelity↓ → симметричное деление ↑</w:t>
            </w:r>
          </w:p>
        </w:tc>
        <w:tc>
          <w:tcPr>
            <w:tcW w:type="dxa" w:w="3135"/>
          </w:tcPr>
          <w:p>
            <w:r/>
            <w:r>
              <w:rPr>
                <w:rFonts w:ascii="Calibri" w:hAnsi="Calibri"/>
                <w:sz w:val="20"/>
              </w:rPr>
              <w:t>Pool_exhaustion к 78 годам</w:t>
            </w:r>
          </w:p>
        </w:tc>
      </w:tr>
      <w:tr>
        <w:tc>
          <w:tcPr>
            <w:tcW w:type="dxa" w:w="3135"/>
          </w:tcPr>
          <w:p>
            <w:r/>
            <w:r>
              <w:rPr>
                <w:rFonts w:ascii="Calibri" w:hAnsi="Calibri"/>
                <w:sz w:val="20"/>
              </w:rPr>
              <w:t>C (теломеры)</w:t>
            </w:r>
          </w:p>
        </w:tc>
        <w:tc>
          <w:tcPr>
            <w:tcW w:type="dxa" w:w="3135"/>
          </w:tcPr>
          <w:p>
            <w:r/>
            <w:r>
              <w:rPr>
                <w:rFonts w:ascii="Calibri" w:hAnsi="Calibri"/>
                <w:sz w:val="20"/>
              </w:rPr>
              <w:t>укорочение × скорость деления × коррекция веретена</w:t>
            </w:r>
          </w:p>
        </w:tc>
        <w:tc>
          <w:tcPr>
            <w:tcW w:type="dxa" w:w="3135"/>
          </w:tcPr>
          <w:p>
            <w:r/>
            <w:r>
              <w:rPr>
                <w:rFonts w:ascii="Calibri" w:hAnsi="Calibri"/>
                <w:sz w:val="20"/>
              </w:rPr>
              <w:t>Начало остановки G1 ~ 50 лет</w:t>
            </w:r>
          </w:p>
        </w:tc>
      </w:tr>
      <w:tr>
        <w:tc>
          <w:tcPr>
            <w:tcW w:type="dxa" w:w="3135"/>
          </w:tcPr>
          <w:p>
            <w:r/>
            <w:r>
              <w:rPr>
                <w:rFonts w:ascii="Calibri" w:hAnsi="Calibri"/>
                <w:sz w:val="20"/>
              </w:rPr>
              <w:t>D (эпигеном)</w:t>
            </w:r>
          </w:p>
        </w:tc>
        <w:tc>
          <w:tcPr>
            <w:tcW w:type="dxa" w:w="3135"/>
          </w:tcPr>
          <w:p>
            <w:r/>
            <w:r>
              <w:rPr>
                <w:rFonts w:ascii="Calibri" w:hAnsi="Calibri"/>
                <w:sz w:val="20"/>
              </w:rPr>
              <w:t>methylation_age += dt × (1 + урон × 0.5)</w:t>
            </w:r>
          </w:p>
        </w:tc>
        <w:tc>
          <w:tcPr>
            <w:tcW w:type="dxa" w:w="3135"/>
          </w:tcPr>
          <w:p>
            <w:r/>
            <w:r>
              <w:rPr>
                <w:rFonts w:ascii="Calibri" w:hAnsi="Calibri"/>
                <w:sz w:val="20"/>
              </w:rPr>
              <w:t>clock_acceleration: 1.0 → 1.85</w:t>
            </w:r>
          </w:p>
        </w:tc>
      </w:tr>
      <w:tr>
        <w:tc>
          <w:tcPr>
            <w:tcW w:type="dxa" w:w="3135"/>
          </w:tcPr>
          <w:p>
            <w:r/>
            <w:r>
              <w:rPr>
                <w:rFonts w:ascii="Calibri" w:hAnsi="Calibri"/>
                <w:sz w:val="20"/>
              </w:rPr>
              <w:t>E (митохондрии)</w:t>
            </w:r>
          </w:p>
        </w:tc>
        <w:tc>
          <w:tcPr>
            <w:tcW w:type="dxa" w:w="3135"/>
          </w:tcPr>
          <w:p>
            <w:r/>
            <w:r>
              <w:rPr>
                <w:rFonts w:ascii="Calibri" w:hAnsi="Calibri"/>
                <w:sz w:val="20"/>
              </w:rPr>
              <w:t>мутации мтДНК → ROS↑ → mito_shield↓</w:t>
            </w:r>
          </w:p>
        </w:tc>
        <w:tc>
          <w:tcPr>
            <w:tcW w:type="dxa" w:w="3135"/>
          </w:tcPr>
          <w:p>
            <w:r/>
            <w:r>
              <w:rPr>
                <w:rFonts w:ascii="Calibri" w:hAnsi="Calibri"/>
                <w:sz w:val="20"/>
              </w:rPr>
              <w:t>самоусиливающаяся петля O₂</w:t>
            </w:r>
          </w:p>
        </w:tc>
      </w:tr>
      <w:tr>
        <w:tc>
          <w:tcPr>
            <w:tcW w:type="dxa" w:w="3135"/>
          </w:tcPr>
          <w:p>
            <w:r/>
            <w:r>
              <w:rPr>
                <w:rFonts w:ascii="Calibri" w:hAnsi="Calibri"/>
                <w:sz w:val="20"/>
              </w:rPr>
              <w:t>F (коэффициент деления)</w:t>
            </w:r>
          </w:p>
        </w:tc>
        <w:tc>
          <w:tcPr>
            <w:tcW w:type="dxa" w:w="3135"/>
          </w:tcPr>
          <w:p>
            <w:r/>
            <w:r>
              <w:rPr>
                <w:rFonts w:ascii="Calibri" w:hAnsi="Calibri"/>
                <w:sz w:val="20"/>
              </w:rPr>
              <w:t>реснички × веретено × возраст × АФК × интеграция mTOR</w:t>
            </w:r>
          </w:p>
        </w:tc>
        <w:tc>
          <w:tcPr>
            <w:tcW w:type="dxa" w:w="3135"/>
          </w:tcPr>
          <w:p>
            <w:r/>
            <w:r>
              <w:rPr>
                <w:rFonts w:ascii="Calibri" w:hAnsi="Calibri"/>
                <w:sz w:val="20"/>
              </w:rPr>
              <w:t>Stem_cell_pool: 1.0 → 0.04</w:t>
            </w:r>
          </w:p>
        </w:tc>
      </w:tr>
    </w:tbl>
    <w:p>
      <w:pPr>
        <w:spacing w:after="80" w:line="253" w:lineRule="exact"/>
      </w:pPr>
      <w:r>
        <w:rPr>
          <w:rFonts w:ascii="Calibri" w:hAnsi="Calibri"/>
          <w:b/>
          <w:sz w:val="22"/>
        </w:rPr>
        <w:t>Утвержденная библиотека вмешательств</w:t>
      </w:r>
      <w:r>
        <w:rPr>
          <w:rFonts w:ascii="Calibri" w:hAnsi="Calibri"/>
          <w:sz w:val="22"/>
        </w:rPr>
        <w:t xml:space="preserve"> (8 типов, включая Яманака, Рапамицин/CR, Сенолитики, НАД⁺, CentrosomeTransplant) с количественными прогнозами </w:t>
      </w:r>
      <w:r>
        <w:rPr>
          <w:rFonts w:ascii="Calibri" w:hAnsi="Calibri"/>
          <w:i/>
          <w:sz w:val="22"/>
        </w:rPr>
        <w:t>in silico</w:t>
      </w:r>
      <w:r>
        <w:rPr>
          <w:rFonts w:ascii="Calibri" w:hAnsi="Calibri"/>
          <w:sz w:val="22"/>
        </w:rPr>
        <w:t xml:space="preserve"> продолжительности здоровья — подлежащими экспериментальной проверке в WP4.</w:t>
      </w:r>
    </w:p>
    <w:p>
      <w:pPr>
        <w:spacing w:before="200" w:after="80"/>
      </w:pPr>
      <w:r>
        <w:rPr>
          <w:rFonts w:ascii="Calibri" w:hAnsi="Calibri"/>
          <w:b/>
          <w:i/>
          <w:sz w:val="22"/>
        </w:rPr>
        <w:t>1.1.5 CDATA против конкурирующих теорий — сравнительная таблица</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r/>
            <w:r>
              <w:rPr>
                <w:rFonts w:ascii="Calibri" w:hAnsi="Calibri"/>
                <w:b/>
                <w:sz w:val="20"/>
              </w:rPr>
              <w:t>Теория</w:t>
            </w:r>
          </w:p>
        </w:tc>
        <w:tc>
          <w:tcPr>
            <w:tcW w:type="dxa" w:w="1568"/>
            <w:shd w:val="clear" w:color="auto" w:fill="D9E1F2"/>
          </w:tcPr>
          <w:p>
            <w:r/>
            <w:r>
              <w:rPr>
                <w:rFonts w:ascii="Calibri" w:hAnsi="Calibri"/>
                <w:b/>
                <w:sz w:val="20"/>
              </w:rPr>
              <w:t>Причинный корень</w:t>
            </w:r>
          </w:p>
        </w:tc>
        <w:tc>
          <w:tcPr>
            <w:tcW w:type="dxa" w:w="1568"/>
            <w:shd w:val="clear" w:color="auto" w:fill="D9E1F2"/>
          </w:tcPr>
          <w:p>
            <w:r/>
            <w:r>
              <w:rPr>
                <w:rFonts w:ascii="Calibri" w:hAnsi="Calibri"/>
                <w:b/>
                <w:sz w:val="20"/>
              </w:rPr>
              <w:t>Необратимо?</w:t>
            </w:r>
          </w:p>
        </w:tc>
        <w:tc>
          <w:tcPr>
            <w:tcW w:type="dxa" w:w="1568"/>
            <w:shd w:val="clear" w:color="auto" w:fill="D9E1F2"/>
          </w:tcPr>
          <w:p>
            <w:r/>
            <w:r>
              <w:rPr>
                <w:rFonts w:ascii="Calibri" w:hAnsi="Calibri"/>
                <w:b/>
                <w:sz w:val="20"/>
              </w:rPr>
              <w:t>Объясняет постмитотическое старение?</w:t>
            </w:r>
          </w:p>
        </w:tc>
        <w:tc>
          <w:tcPr>
            <w:tcW w:type="dxa" w:w="1568"/>
            <w:shd w:val="clear" w:color="auto" w:fill="D9E1F2"/>
          </w:tcPr>
          <w:p>
            <w:r/>
            <w:r>
              <w:rPr>
                <w:rFonts w:ascii="Calibri" w:hAnsi="Calibri"/>
                <w:b/>
                <w:sz w:val="20"/>
              </w:rPr>
              <w:t>Терапевтический путь</w:t>
            </w:r>
          </w:p>
        </w:tc>
        <w:tc>
          <w:tcPr>
            <w:tcW w:type="dxa" w:w="1568"/>
            <w:shd w:val="clear" w:color="auto" w:fill="D9E1F2"/>
          </w:tcPr>
          <w:p>
            <w:r/>
            <w:r>
              <w:rPr>
                <w:rFonts w:ascii="Calibri" w:hAnsi="Calibri"/>
                <w:b/>
                <w:sz w:val="20"/>
              </w:rPr>
              <w:t>Преимущество CDATA</w:t>
            </w:r>
          </w:p>
        </w:tc>
      </w:tr>
      <w:tr>
        <w:tc>
          <w:tcPr>
            <w:tcW w:type="dxa" w:w="1568"/>
          </w:tcPr>
          <w:p>
            <w:r/>
            <w:r>
              <w:rPr>
                <w:rFonts w:ascii="Calibri" w:hAnsi="Calibri"/>
                <w:sz w:val="20"/>
              </w:rPr>
              <w:t>CDATA (Ткемаладзе)</w:t>
            </w:r>
          </w:p>
        </w:tc>
        <w:tc>
          <w:tcPr>
            <w:tcW w:type="dxa" w:w="1568"/>
          </w:tcPr>
          <w:p>
            <w:r/>
            <w:r>
              <w:rPr>
                <w:rFonts w:ascii="Calibri" w:hAnsi="Calibri"/>
                <w:sz w:val="20"/>
              </w:rPr>
              <w:t>Центриолярное накопление PTM</w:t>
            </w:r>
          </w:p>
        </w:tc>
        <w:tc>
          <w:tcPr>
            <w:tcW w:type="dxa" w:w="1568"/>
          </w:tcPr>
          <w:p>
            <w:r/>
            <w:r>
              <w:rPr>
                <w:rFonts w:ascii="Calibri" w:hAnsi="Calibri"/>
                <w:sz w:val="20"/>
              </w:rPr>
              <w:t>✅ Да</w:t>
            </w:r>
          </w:p>
        </w:tc>
        <w:tc>
          <w:tcPr>
            <w:tcW w:type="dxa" w:w="1568"/>
          </w:tcPr>
          <w:p>
            <w:r/>
            <w:r>
              <w:rPr>
                <w:rFonts w:ascii="Calibri" w:hAnsi="Calibri"/>
                <w:sz w:val="20"/>
              </w:rPr>
              <w:t>✅ Да (через реснички)</w:t>
            </w:r>
          </w:p>
        </w:tc>
        <w:tc>
          <w:tcPr>
            <w:tcW w:type="dxa" w:w="1568"/>
          </w:tcPr>
          <w:p>
            <w:r/>
            <w:r>
              <w:rPr>
                <w:rFonts w:ascii="Calibri" w:hAnsi="Calibri"/>
                <w:sz w:val="20"/>
              </w:rPr>
              <w:t>4 новых пути</w:t>
            </w:r>
          </w:p>
        </w:tc>
        <w:tc>
          <w:tcPr>
            <w:tcW w:type="dxa" w:w="1568"/>
          </w:tcPr>
          <w:p>
            <w:r/>
            <w:r>
              <w:rPr>
                <w:rFonts w:ascii="Calibri" w:hAnsi="Calibri"/>
                <w:sz w:val="20"/>
              </w:rPr>
              <w:t>—</w:t>
            </w:r>
          </w:p>
        </w:tc>
      </w:tr>
      <w:tr>
        <w:tc>
          <w:tcPr>
            <w:tcW w:type="dxa" w:w="1568"/>
          </w:tcPr>
          <w:p>
            <w:r/>
            <w:r>
              <w:rPr>
                <w:rFonts w:ascii="Calibri" w:hAnsi="Calibri"/>
                <w:sz w:val="20"/>
              </w:rPr>
              <w:t>Признаки старения (Лопес-Отин, 2023 [1])</w:t>
            </w:r>
          </w:p>
        </w:tc>
        <w:tc>
          <w:tcPr>
            <w:tcW w:type="dxa" w:w="1568"/>
          </w:tcPr>
          <w:p>
            <w:r/>
            <w:r>
              <w:rPr>
                <w:rFonts w:ascii="Calibri" w:hAnsi="Calibri"/>
                <w:sz w:val="20"/>
              </w:rPr>
              <w:t>Несколько, без иерархии</w:t>
            </w:r>
          </w:p>
        </w:tc>
        <w:tc>
          <w:tcPr>
            <w:tcW w:type="dxa" w:w="1568"/>
          </w:tcPr>
          <w:p>
            <w:r/>
            <w:r>
              <w:rPr>
                <w:rFonts w:ascii="Calibri" w:hAnsi="Calibri"/>
                <w:sz w:val="20"/>
              </w:rPr>
              <w:t>Частично</w:t>
            </w:r>
          </w:p>
        </w:tc>
        <w:tc>
          <w:tcPr>
            <w:tcW w:type="dxa" w:w="1568"/>
          </w:tcPr>
          <w:p>
            <w:r/>
            <w:r>
              <w:rPr>
                <w:rFonts w:ascii="Calibri" w:hAnsi="Calibri"/>
                <w:sz w:val="20"/>
              </w:rPr>
              <w:t>✅</w:t>
            </w:r>
          </w:p>
        </w:tc>
        <w:tc>
          <w:tcPr>
            <w:tcW w:type="dxa" w:w="1568"/>
          </w:tcPr>
          <w:p>
            <w:r/>
            <w:r>
              <w:rPr>
                <w:rFonts w:ascii="Calibri" w:hAnsi="Calibri"/>
                <w:sz w:val="20"/>
              </w:rPr>
              <w:t>Несколько</w:t>
            </w:r>
          </w:p>
        </w:tc>
        <w:tc>
          <w:tcPr>
            <w:tcW w:type="dxa" w:w="1568"/>
          </w:tcPr>
          <w:p>
            <w:r/>
            <w:r>
              <w:rPr>
                <w:rFonts w:ascii="Calibri" w:hAnsi="Calibri"/>
                <w:sz w:val="20"/>
              </w:rPr>
              <w:t>Нет основной причины</w:t>
            </w:r>
          </w:p>
        </w:tc>
      </w:tr>
      <w:tr>
        <w:tc>
          <w:tcPr>
            <w:tcW w:type="dxa" w:w="1568"/>
          </w:tcPr>
          <w:p>
            <w:r/>
            <w:r>
              <w:rPr>
                <w:rFonts w:ascii="Calibri" w:hAnsi="Calibri"/>
                <w:sz w:val="20"/>
              </w:rPr>
              <w:t>Теория теломер (Блэкберн, 2000 [2])</w:t>
            </w:r>
          </w:p>
        </w:tc>
        <w:tc>
          <w:tcPr>
            <w:tcW w:type="dxa" w:w="1568"/>
          </w:tcPr>
          <w:p>
            <w:r/>
            <w:r>
              <w:rPr>
                <w:rFonts w:ascii="Calibri" w:hAnsi="Calibri"/>
                <w:sz w:val="20"/>
              </w:rPr>
              <w:t>Укорочение теломер</w:t>
            </w:r>
          </w:p>
        </w:tc>
        <w:tc>
          <w:tcPr>
            <w:tcW w:type="dxa" w:w="1568"/>
          </w:tcPr>
          <w:p>
            <w:r/>
            <w:r>
              <w:rPr>
                <w:rFonts w:ascii="Calibri" w:hAnsi="Calibri"/>
                <w:sz w:val="20"/>
              </w:rPr>
              <w:t>✅</w:t>
            </w:r>
          </w:p>
        </w:tc>
        <w:tc>
          <w:tcPr>
            <w:tcW w:type="dxa" w:w="1568"/>
          </w:tcPr>
          <w:p>
            <w:r/>
            <w:r>
              <w:rPr>
                <w:rFonts w:ascii="Calibri" w:hAnsi="Calibri"/>
                <w:sz w:val="20"/>
              </w:rPr>
              <w:t>⚠️ Объясняет только репликативное старение; не учитывает постмитотическую дисфункцию†</w:t>
            </w:r>
          </w:p>
        </w:tc>
        <w:tc>
          <w:tcPr>
            <w:tcW w:type="dxa" w:w="1568"/>
          </w:tcPr>
          <w:p>
            <w:r/>
            <w:r>
              <w:rPr>
                <w:rFonts w:ascii="Calibri" w:hAnsi="Calibri"/>
                <w:sz w:val="20"/>
              </w:rPr>
              <w:t>Активация теломеразы</w:t>
            </w:r>
          </w:p>
        </w:tc>
        <w:tc>
          <w:tcPr>
            <w:tcW w:type="dxa" w:w="1568"/>
          </w:tcPr>
          <w:p>
            <w:r/>
            <w:r>
              <w:rPr>
                <w:rFonts w:ascii="Calibri" w:hAnsi="Calibri"/>
                <w:sz w:val="20"/>
              </w:rPr>
              <w:t>Неполное: CDATA дополняет теорию теломер на постмитотическом уровне</w:t>
            </w:r>
          </w:p>
        </w:tc>
      </w:tr>
      <w:tr>
        <w:tc>
          <w:tcPr>
            <w:tcW w:type="dxa" w:w="1568"/>
          </w:tcPr>
          <w:p>
            <w:r/>
            <w:r>
              <w:rPr>
                <w:rFonts w:ascii="Calibri" w:hAnsi="Calibri"/>
                <w:sz w:val="20"/>
              </w:rPr>
              <w:t>Инфламэйджинг (Франчески, 2007)</w:t>
            </w:r>
          </w:p>
        </w:tc>
        <w:tc>
          <w:tcPr>
            <w:tcW w:type="dxa" w:w="1568"/>
          </w:tcPr>
          <w:p>
            <w:r/>
            <w:r>
              <w:rPr>
                <w:rFonts w:ascii="Calibri" w:hAnsi="Calibri"/>
                <w:sz w:val="20"/>
              </w:rPr>
              <w:t>Хроническое воспаление</w:t>
            </w:r>
          </w:p>
        </w:tc>
        <w:tc>
          <w:tcPr>
            <w:tcW w:type="dxa" w:w="1568"/>
          </w:tcPr>
          <w:p>
            <w:r/>
            <w:r>
              <w:rPr>
                <w:rFonts w:ascii="Calibri" w:hAnsi="Calibri"/>
                <w:sz w:val="20"/>
              </w:rPr>
              <w:t>Частично</w:t>
            </w:r>
          </w:p>
        </w:tc>
        <w:tc>
          <w:tcPr>
            <w:tcW w:type="dxa" w:w="1568"/>
          </w:tcPr>
          <w:p>
            <w:r/>
            <w:r>
              <w:rPr>
                <w:rFonts w:ascii="Calibri" w:hAnsi="Calibri"/>
                <w:sz w:val="20"/>
              </w:rPr>
              <w:t>✅</w:t>
            </w:r>
          </w:p>
        </w:tc>
        <w:tc>
          <w:tcPr>
            <w:tcW w:type="dxa" w:w="1568"/>
          </w:tcPr>
          <w:p>
            <w:r/>
            <w:r>
              <w:rPr>
                <w:rFonts w:ascii="Calibri" w:hAnsi="Calibri"/>
                <w:sz w:val="20"/>
              </w:rPr>
              <w:t>Противовоспалительное</w:t>
            </w:r>
          </w:p>
        </w:tc>
        <w:tc>
          <w:tcPr>
            <w:tcW w:type="dxa" w:w="1568"/>
          </w:tcPr>
          <w:p>
            <w:r/>
            <w:r>
              <w:rPr>
                <w:rFonts w:ascii="Calibri" w:hAnsi="Calibri"/>
                <w:sz w:val="20"/>
              </w:rPr>
              <w:t>Нисходящий, а не причинный</w:t>
            </w:r>
          </w:p>
        </w:tc>
      </w:tr>
      <w:tr>
        <w:tc>
          <w:tcPr>
            <w:tcW w:type="dxa" w:w="1568"/>
          </w:tcPr>
          <w:p>
            <w:r/>
            <w:r>
              <w:rPr>
                <w:rFonts w:ascii="Calibri" w:hAnsi="Calibri"/>
                <w:sz w:val="20"/>
              </w:rPr>
              <w:t>Теория свободных радикалов (Харман, 1956)</w:t>
            </w:r>
          </w:p>
        </w:tc>
        <w:tc>
          <w:tcPr>
            <w:tcW w:type="dxa" w:w="1568"/>
          </w:tcPr>
          <w:p>
            <w:r/>
            <w:r>
              <w:rPr>
                <w:rFonts w:ascii="Calibri" w:hAnsi="Calibri"/>
                <w:sz w:val="20"/>
              </w:rPr>
              <w:t>Накопление АФК</w:t>
            </w:r>
          </w:p>
        </w:tc>
        <w:tc>
          <w:tcPr>
            <w:tcW w:type="dxa" w:w="1568"/>
          </w:tcPr>
          <w:p>
            <w:r/>
            <w:r>
              <w:rPr>
                <w:rFonts w:ascii="Calibri" w:hAnsi="Calibri"/>
                <w:sz w:val="20"/>
              </w:rPr>
              <w:t>Частично</w:t>
            </w:r>
          </w:p>
        </w:tc>
        <w:tc>
          <w:tcPr>
            <w:tcW w:type="dxa" w:w="1568"/>
          </w:tcPr>
          <w:p>
            <w:r/>
            <w:r>
              <w:rPr>
                <w:rFonts w:ascii="Calibri" w:hAnsi="Calibri"/>
                <w:sz w:val="20"/>
              </w:rPr>
              <w:t>✅</w:t>
            </w:r>
          </w:p>
        </w:tc>
        <w:tc>
          <w:tcPr>
            <w:tcW w:type="dxa" w:w="1568"/>
          </w:tcPr>
          <w:p>
            <w:r/>
            <w:r>
              <w:rPr>
                <w:rFonts w:ascii="Calibri" w:hAnsi="Calibri"/>
                <w:sz w:val="20"/>
              </w:rPr>
              <w:t>Антиоксиданты</w:t>
            </w:r>
          </w:p>
        </w:tc>
        <w:tc>
          <w:tcPr>
            <w:tcW w:type="dxa" w:w="1568"/>
          </w:tcPr>
          <w:p>
            <w:r/>
            <w:r>
              <w:rPr>
                <w:rFonts w:ascii="Calibri" w:hAnsi="Calibri"/>
                <w:sz w:val="20"/>
              </w:rPr>
              <w:t>АФК является модулятором, а не инициатором [11]</w:t>
            </w:r>
          </w:p>
        </w:tc>
      </w:tr>
    </w:tbl>
    <w:p>
      <w:pPr>
        <w:spacing w:before="200" w:after="80"/>
      </w:pPr>
      <w:r>
        <w:rPr>
          <w:rFonts w:ascii="Calibri" w:hAnsi="Calibri"/>
          <w:b/>
          <w:i/>
          <w:sz w:val="22"/>
        </w:rPr>
        <w:t>1.1.6 Методология: WP1 — Валидация in vitro</w:t>
      </w:r>
    </w:p>
    <w:p>
      <w:pPr>
        <w:spacing w:after="80" w:line="253" w:lineRule="exact"/>
      </w:pPr>
      <w:r>
        <w:rPr>
          <w:rFonts w:ascii="Calibri" w:hAnsi="Calibri"/>
          <w:b/>
          <w:sz w:val="22"/>
        </w:rPr>
        <w:t>Цель:</w:t>
      </w:r>
      <w:r>
        <w:rPr>
          <w:rFonts w:ascii="Calibri" w:hAnsi="Calibri"/>
          <w:sz w:val="22"/>
        </w:rPr>
        <w:t xml:space="preserve"> Установить количественную взаимосвязь между нагрузкой центриолярной PTM и дисфункцией траекторий A/B в клеточных линиях человека и первичных клетках.</w:t>
      </w:r>
    </w:p>
    <w:p>
      <w:pPr>
        <w:spacing w:after="80" w:line="253" w:lineRule="exact"/>
      </w:pPr>
      <w:r>
        <w:rPr>
          <w:rFonts w:ascii="Calibri" w:hAnsi="Calibri"/>
          <w:b/>
          <w:sz w:val="22"/>
        </w:rPr>
        <w:t>Экспериментальный дизайн:</w:t>
      </w:r>
    </w:p>
    <w:p>
      <w:pPr>
        <w:pStyle w:val="ListBullet"/>
      </w:pPr>
      <w:r>
        <w:rPr>
          <w:rFonts w:ascii="Calibri" w:hAnsi="Calibri"/>
          <w:b/>
          <w:sz w:val="22"/>
        </w:rPr>
        <w:t>Клеточные модели:</w:t>
      </w:r>
      <w:r>
        <w:rPr>
          <w:rFonts w:ascii="Calibri" w:hAnsi="Calibri"/>
          <w:sz w:val="22"/>
        </w:rPr>
        <w:t xml:space="preserve"> (a) </w:t>
      </w:r>
      <w:r>
        <w:rPr>
          <w:rFonts w:ascii="Calibri" w:hAnsi="Calibri"/>
          <w:i/>
          <w:sz w:val="22"/>
        </w:rPr>
        <w:t>Разработка протокола:</w:t>
      </w:r>
      <w:r>
        <w:rPr>
          <w:rFonts w:ascii="Calibri" w:hAnsi="Calibri"/>
          <w:sz w:val="22"/>
        </w:rPr>
        <w:t xml:space="preserve"> Клетки HeLa (высокий пассаж) только для оптимизации протоколов U-ExM и STED. (b) </w:t>
      </w:r>
      <w:r>
        <w:rPr>
          <w:rFonts w:ascii="Calibri" w:hAnsi="Calibri"/>
          <w:i/>
          <w:sz w:val="22"/>
        </w:rPr>
        <w:t>Первичные эксперименты по зависимости "доза-ответ":</w:t>
      </w:r>
      <w:r>
        <w:rPr>
          <w:rFonts w:ascii="Calibri" w:hAnsi="Calibri"/>
          <w:sz w:val="22"/>
        </w:rPr>
        <w:t xml:space="preserve"> фибробласты IMR90 (низкий/высокий пассаж) и </w:t>
      </w:r>
      <w:r>
        <w:rPr>
          <w:rFonts w:ascii="Calibri" w:hAnsi="Calibri"/>
          <w:b/>
          <w:sz w:val="22"/>
        </w:rPr>
        <w:t>первичные человеческие дермальные фибробласты (HDF)</w:t>
      </w:r>
      <w:r>
        <w:rPr>
          <w:rFonts w:ascii="Calibri" w:hAnsi="Calibri"/>
          <w:sz w:val="22"/>
        </w:rPr>
        <w:t xml:space="preserve">, выделенные от молодых (25–35 лет) и пожилых (65–75 лет) доноров — наиболее физиологически релевантная модель. (c) </w:t>
      </w:r>
      <w:r>
        <w:rPr>
          <w:rFonts w:ascii="Calibri" w:hAnsi="Calibri"/>
          <w:i/>
          <w:sz w:val="22"/>
        </w:rPr>
        <w:t>Ex vivo:</w:t>
      </w:r>
      <w:r>
        <w:rPr>
          <w:rFonts w:ascii="Calibri" w:hAnsi="Calibri"/>
          <w:sz w:val="22"/>
        </w:rPr>
        <w:t xml:space="preserve"> CD34⁺ EPC (выделены от согласившихся доноров с помощью MACS, протокол Милтени; 20 мл крови, протокол Vasa 2001). HeLa используется исключительно для разработки тестов из-за ее анеуплоидии и атипичного центросомного аппарата; все количественные выводы будут сделаны на основе IMR90 и HDF.</w:t>
      </w:r>
    </w:p>
    <w:p>
      <w:pPr>
        <w:pStyle w:val="ListBullet"/>
      </w:pPr>
      <w:r>
        <w:rPr>
          <w:rFonts w:ascii="Calibri" w:hAnsi="Calibri"/>
          <w:b/>
          <w:sz w:val="22"/>
        </w:rPr>
        <w:t>Индукция центриолярного повреждения:</w:t>
      </w:r>
      <w:r>
        <w:rPr>
          <w:rFonts w:ascii="Calibri" w:hAnsi="Calibri"/>
          <w:sz w:val="22"/>
        </w:rPr>
        <w:t xml:space="preserve"> перекись водорода (окисление), окадаиновая кислота (дрейф фосфорилирования), таксол (ацетилирование), N-гидроксисукцинимид (карбонилирование).</w:t>
      </w:r>
    </w:p>
    <w:p>
      <w:pPr>
        <w:pStyle w:val="ListBullet"/>
      </w:pPr>
      <w:r>
        <w:rPr>
          <w:rFonts w:ascii="Calibri" w:hAnsi="Calibri"/>
          <w:b/>
          <w:sz w:val="22"/>
        </w:rPr>
        <w:t>Основные показатели:</w:t>
      </w:r>
    </w:p>
    <w:p>
      <w:pPr>
        <w:pStyle w:val="ListBullet"/>
      </w:pPr>
      <w:r>
        <w:rPr>
          <w:rFonts w:ascii="Calibri" w:hAnsi="Calibri"/>
          <w:sz w:val="22"/>
        </w:rPr>
        <w:t>CEP164/CEP89/Ninein/CEP170 IF (конфокальный Zeiss LSM 700 в GTU; приобретение нового микроскопа Leica SP8 STED (120 тыс. евро) в рамках WP1 для визуализации придатков со сверхвысоким разрешением. Существующий Zeiss LSM 700 продолжает использоваться для стандартной конфокальной визуализации)</w:t>
      </w:r>
    </w:p>
    <w:p>
      <w:pPr>
        <w:pStyle w:val="ListBullet"/>
      </w:pPr>
      <w:r>
        <w:rPr>
          <w:rFonts w:ascii="Calibri" w:hAnsi="Calibri"/>
          <w:b/>
          <w:sz w:val="22"/>
        </w:rPr>
        <w:t>Индекс CAII</w:t>
      </w:r>
      <w:r>
        <w:rPr>
          <w:rFonts w:ascii="Calibri" w:hAnsi="Calibri"/>
          <w:sz w:val="22"/>
        </w:rPr>
        <w:t xml:space="preserve"> (Индекс целостности центриолярного придатка): совокупный показатель 4 белков придатка; новый биомаркер CDATA</w:t>
      </w:r>
    </w:p>
    <w:p>
      <w:pPr>
        <w:pStyle w:val="ListBullet"/>
      </w:pPr>
      <w:r>
        <w:rPr>
          <w:rFonts w:ascii="Calibri" w:hAnsi="Calibri"/>
          <w:sz w:val="22"/>
        </w:rPr>
        <w:t>Подсчет очагов γ-H2AX (реакция на повреждение ДНК в виде последующих показаний)</w:t>
      </w:r>
    </w:p>
    <w:p>
      <w:pPr>
        <w:pStyle w:val="ListBullet"/>
      </w:pPr>
      <w:r>
        <w:rPr>
          <w:rFonts w:ascii="Calibri" w:hAnsi="Calibri"/>
          <w:sz w:val="22"/>
        </w:rPr>
        <w:t xml:space="preserve">U-ExM (Ультраструктурная расширяющая микроскопия, Gambarotto 2019 </w:t>
      </w:r>
      <w:r>
        <w:rPr>
          <w:rFonts w:ascii="Calibri" w:hAnsi="Calibri"/>
          <w:i/>
          <w:sz w:val="22"/>
        </w:rPr>
        <w:t>Nat Methods</w:t>
      </w:r>
      <w:r>
        <w:rPr>
          <w:rFonts w:ascii="Calibri" w:hAnsi="Calibri"/>
          <w:sz w:val="22"/>
        </w:rPr>
        <w:t>) для наноразмерной морфологии центриолей.</w:t>
      </w:r>
    </w:p>
    <w:p>
      <w:pPr>
        <w:pStyle w:val="ListBullet"/>
      </w:pPr>
      <w:r>
        <w:rPr>
          <w:rFonts w:ascii="Calibri" w:hAnsi="Calibri"/>
          <w:sz w:val="22"/>
        </w:rPr>
        <w:t>Длина первичных ресничек (ацетилированный α-тубулин IF)</w:t>
      </w:r>
    </w:p>
    <w:p>
      <w:pPr>
        <w:pStyle w:val="ListBullet"/>
      </w:pPr>
      <w:r>
        <w:rPr>
          <w:rFonts w:ascii="Calibri" w:hAnsi="Calibri"/>
          <w:sz w:val="22"/>
        </w:rPr>
        <w:t>Верность веретена (синхронизация митотических клеток, окрашивание α-тубулина)</w:t>
      </w:r>
    </w:p>
    <w:p>
      <w:pPr>
        <w:spacing w:after="80" w:line="253" w:lineRule="exact"/>
      </w:pPr>
      <w:r>
        <w:rPr>
          <w:rFonts w:ascii="Calibri" w:hAnsi="Calibri"/>
          <w:b/>
          <w:sz w:val="22"/>
        </w:rPr>
        <w:t>Примечание:</w:t>
      </w:r>
      <w:r>
        <w:rPr>
          <w:rFonts w:ascii="Calibri" w:hAnsi="Calibri"/>
          <w:sz w:val="22"/>
        </w:rPr>
        <w:t xml:space="preserve"> Укорочение теломер объясняет репликативное старение, ограниченное пределом Хейфлика; CDATA расширяет эту концепцию на постмитотические клетки (нейроны, кардиомиоциты), где повреждение центриолярного аппарата приводит к дисфункции ресничек независимо от истощения теломер, связанного с делением.</w:t>
      </w:r>
    </w:p>
    <w:p>
      <w:pPr>
        <w:spacing w:after="80" w:line="253" w:lineRule="exact"/>
      </w:pPr>
      <w:r>
        <w:rPr>
          <w:rFonts w:ascii="Calibri" w:hAnsi="Calibri"/>
          <w:b/>
          <w:sz w:val="22"/>
        </w:rPr>
        <w:t>Ожидаемый результат:</w:t>
      </w:r>
      <w:r>
        <w:rPr>
          <w:rFonts w:ascii="Calibri" w:hAnsi="Calibri"/>
          <w:sz w:val="22"/>
        </w:rPr>
        <w:t xml:space="preserve"> Кривые «доза-эффект» для зависимости PTM-нагрузка → CAII → длина ресничек; верификация кинетических параметров CDATA, используемых в Cell-DT.</w:t>
      </w:r>
    </w:p>
    <w:p>
      <w:pPr>
        <w:spacing w:before="200" w:after="80"/>
      </w:pPr>
      <w:r>
        <w:rPr>
          <w:rFonts w:ascii="Calibri" w:hAnsi="Calibri"/>
          <w:b/>
          <w:i/>
          <w:sz w:val="22"/>
        </w:rPr>
        <w:t>1.1.7 Методология: WP2 — Продольное когортное исследование на людях</w:t>
      </w:r>
    </w:p>
    <w:p>
      <w:pPr>
        <w:spacing w:after="80" w:line="253" w:lineRule="exact"/>
      </w:pPr>
      <w:r>
        <w:rPr>
          <w:rFonts w:ascii="Calibri" w:hAnsi="Calibri"/>
          <w:b/>
          <w:sz w:val="22"/>
        </w:rPr>
        <w:t>Цель:</w:t>
      </w:r>
      <w:r>
        <w:rPr>
          <w:rFonts w:ascii="Calibri" w:hAnsi="Calibri"/>
          <w:sz w:val="22"/>
        </w:rPr>
        <w:t xml:space="preserve"> Сопоставить биомаркеры CDATA (CAII, CEP164) с клиническими фенотипами старения (саркопения/слабость, снижение когнитивных функций, иммунное старение) в хорошо охарактеризованной когорте пожилых людей в Грузии.</w:t>
      </w:r>
    </w:p>
    <w:p>
      <w:pPr>
        <w:spacing w:after="80" w:line="253" w:lineRule="exact"/>
      </w:pPr>
      <w:r>
        <w:rPr>
          <w:rFonts w:ascii="Calibri" w:hAnsi="Calibri"/>
          <w:b/>
          <w:sz w:val="22"/>
        </w:rPr>
        <w:t>Дизайн исследования:</w:t>
      </w:r>
    </w:p>
    <w:p>
      <w:pPr>
        <w:pStyle w:val="ListBullet"/>
      </w:pPr>
      <w:r>
        <w:rPr>
          <w:rFonts w:ascii="Calibri" w:hAnsi="Calibri"/>
          <w:b/>
          <w:sz w:val="22"/>
        </w:rPr>
        <w:t>Тип исследования:</w:t>
      </w:r>
      <w:r>
        <w:rPr>
          <w:rFonts w:ascii="Calibri" w:hAnsi="Calibri"/>
          <w:sz w:val="22"/>
        </w:rPr>
        <w:t xml:space="preserve"> Проспективное наблюдательное, с периодом наблюдения 2 года.</w:t>
      </w:r>
    </w:p>
    <w:p>
      <w:pPr>
        <w:pStyle w:val="ListBullet"/>
      </w:pPr>
      <w:r>
        <w:rPr>
          <w:rFonts w:ascii="Calibri" w:hAnsi="Calibri"/>
          <w:b/>
          <w:sz w:val="22"/>
        </w:rPr>
        <w:t>Участники:</w:t>
      </w:r>
      <w:r>
        <w:rPr>
          <w:rFonts w:ascii="Calibri" w:hAnsi="Calibri"/>
          <w:sz w:val="22"/>
        </w:rPr>
        <w:t xml:space="preserve"> Запланированный набор n = 288, доступных для оценки n = 240 (с учетом 16,7% отсева).</w:t>
      </w:r>
    </w:p>
    <w:p>
      <w:pPr>
        <w:pStyle w:val="ListBullet"/>
      </w:pPr>
      <w:r>
        <w:rPr>
          <w:rFonts w:ascii="Calibri" w:hAnsi="Calibri"/>
          <w:b/>
          <w:sz w:val="22"/>
        </w:rPr>
        <w:t>Критерии включения:</w:t>
      </w:r>
      <w:r>
        <w:rPr>
          <w:rFonts w:ascii="Calibri" w:hAnsi="Calibri"/>
          <w:sz w:val="22"/>
        </w:rPr>
        <w:t xml:space="preserve"> Возраст 66–80 лет; оба пола; проживание в Тбилисской агломерации.</w:t>
      </w:r>
    </w:p>
    <w:p>
      <w:pPr>
        <w:pStyle w:val="ListBullet"/>
      </w:pPr>
      <w:r>
        <w:rPr>
          <w:rFonts w:ascii="Calibri" w:hAnsi="Calibri"/>
          <w:b/>
          <w:sz w:val="22"/>
        </w:rPr>
        <w:t>Критерии исключения:</w:t>
      </w:r>
      <w:r>
        <w:rPr>
          <w:rFonts w:ascii="Calibri" w:hAnsi="Calibri"/>
          <w:sz w:val="22"/>
        </w:rPr>
        <w:t xml:space="preserve"> Активное онкологическое заболевание, аутоиммунные заболевания, тяжелые когнитивные нарушения.</w:t>
      </w:r>
    </w:p>
    <w:p>
      <w:pPr>
        <w:pStyle w:val="ListBullet"/>
      </w:pPr>
      <w:r>
        <w:rPr>
          <w:rFonts w:ascii="Calibri" w:hAnsi="Calibri"/>
          <w:b/>
          <w:sz w:val="22"/>
        </w:rPr>
        <w:t>Этические аспекты:</w:t>
      </w:r>
      <w:r>
        <w:rPr>
          <w:rFonts w:ascii="Calibri" w:hAnsi="Calibri"/>
          <w:sz w:val="22"/>
        </w:rPr>
        <w:t xml:space="preserve"> Скрининг с помощью Mini-Cog; двухэтапное информированное согласие (ICH E6(R2) GCP); одобрено Комитетом по этике ГТУ; соответствие Хельсинкской декларации.</w:t>
      </w:r>
    </w:p>
    <w:p>
      <w:pPr>
        <w:pStyle w:val="ListBullet"/>
      </w:pPr>
      <w:r>
        <w:rPr>
          <w:rFonts w:ascii="Calibri" w:hAnsi="Calibri"/>
          <w:b/>
          <w:sz w:val="22"/>
        </w:rPr>
        <w:t>Сбор биомаркеров:</w:t>
      </w:r>
    </w:p>
    <w:p>
      <w:pPr>
        <w:pStyle w:val="ListBullet"/>
      </w:pPr>
      <w:r>
        <w:rPr>
          <w:rFonts w:ascii="Calibri" w:hAnsi="Calibri"/>
          <w:sz w:val="22"/>
        </w:rPr>
        <w:t>Уровень белка CEP164 в крови (ELISA, новый анализ, разработанный в WP1)</w:t>
      </w:r>
    </w:p>
    <w:p>
      <w:pPr>
        <w:pStyle w:val="ListBullet"/>
      </w:pPr>
      <w:r>
        <w:rPr>
          <w:rFonts w:ascii="Calibri" w:hAnsi="Calibri"/>
          <w:sz w:val="22"/>
        </w:rPr>
        <w:t>Оценка CAII в моноцитах периферической крови (IF, выделение PBMC)</w:t>
      </w:r>
    </w:p>
    <w:p>
      <w:pPr>
        <w:pStyle w:val="ListBullet"/>
      </w:pPr>
      <w:r>
        <w:rPr>
          <w:rFonts w:ascii="Calibri" w:hAnsi="Calibri"/>
          <w:sz w:val="22"/>
        </w:rPr>
        <w:t>Длина теломер (qPCR, метод Коутона)</w:t>
      </w:r>
    </w:p>
    <w:p>
      <w:pPr>
        <w:pStyle w:val="ListBullet"/>
      </w:pPr>
      <w:r>
        <w:rPr>
          <w:rFonts w:ascii="Calibri" w:hAnsi="Calibri"/>
          <w:sz w:val="22"/>
        </w:rPr>
        <w:t>Эпигенетический возраст (DNAm PhenoAge, Levine 2018)</w:t>
      </w:r>
    </w:p>
    <w:p>
      <w:pPr>
        <w:pStyle w:val="ListBullet"/>
      </w:pPr>
      <w:r>
        <w:rPr>
          <w:rFonts w:ascii="Calibri" w:hAnsi="Calibri"/>
          <w:sz w:val="22"/>
        </w:rPr>
        <w:t>Индекс старения на основе вариабельности сердечного ритма (ВСР) (5-минутная ЭКГ; исследовательская вторичная конечная точка)</w:t>
      </w:r>
    </w:p>
    <w:p>
      <w:pPr>
        <w:pStyle w:val="ListBullet"/>
      </w:pPr>
      <w:r>
        <w:rPr>
          <w:rFonts w:ascii="Calibri" w:hAnsi="Calibri"/>
          <w:sz w:val="22"/>
        </w:rPr>
        <w:t>Стандартные клинические биомаркеры: СРБ, IL-6, TNF-α, IGF-1, тестостерон/эстрадиол.</w:t>
      </w:r>
    </w:p>
    <w:p>
      <w:pPr>
        <w:pStyle w:val="ListBullet"/>
      </w:pPr>
      <w:r>
        <w:rPr>
          <w:rFonts w:ascii="Calibri" w:hAnsi="Calibri"/>
          <w:b/>
          <w:sz w:val="22"/>
        </w:rPr>
        <w:t>Клиническое фенотипирование:</w:t>
      </w:r>
      <w:r>
        <w:rPr>
          <w:rFonts w:ascii="Calibri" w:hAnsi="Calibri"/>
          <w:sz w:val="22"/>
        </w:rPr>
        <w:t xml:space="preserve"> Индекс слабости по Фриду (5 критериев); MMSE; сила хвата; скорость ходьбы на 6 метров; Индекс Бартеля для оценки повседневной активности (ADL).</w:t>
      </w:r>
    </w:p>
    <w:p>
      <w:pPr>
        <w:pStyle w:val="ListBullet"/>
      </w:pPr>
      <w:r>
        <w:rPr>
          <w:rFonts w:ascii="Calibri" w:hAnsi="Calibri"/>
          <w:b/>
          <w:sz w:val="22"/>
        </w:rPr>
        <w:t>Первичная конечная точка:</w:t>
      </w:r>
      <w:r>
        <w:rPr>
          <w:rFonts w:ascii="Calibri" w:hAnsi="Calibri"/>
          <w:sz w:val="22"/>
        </w:rPr>
        <w:t xml:space="preserve"> Связь между снижением CAII (с 0-го по 2-й год) и прогрессированием слабости по Фриду (OR, логистическая регрессия).</w:t>
      </w:r>
    </w:p>
    <w:p>
      <w:pPr>
        <w:pStyle w:val="ListBullet"/>
      </w:pPr>
      <w:r>
        <w:rPr>
          <w:rFonts w:ascii="Calibri" w:hAnsi="Calibri"/>
          <w:b/>
          <w:sz w:val="22"/>
        </w:rPr>
        <w:t>Вторичные конечные точки:</w:t>
      </w:r>
      <w:r>
        <w:rPr>
          <w:rFonts w:ascii="Calibri" w:hAnsi="Calibri"/>
          <w:sz w:val="22"/>
        </w:rPr>
        <w:t xml:space="preserve"> Связь CAII с ускорением эпигенетических часов; CEP164 в сравнении с миелоидным сдвигом (соотношение моноциты/лимфоциты); Индекс ВСР в сравнении с 2-летней смертностью.</w:t>
      </w:r>
    </w:p>
    <w:p>
      <w:pPr>
        <w:spacing w:after="80" w:line="253" w:lineRule="exact"/>
      </w:pPr>
      <w:r>
        <w:rPr>
          <w:rFonts w:ascii="Calibri" w:hAnsi="Calibri"/>
          <w:b/>
          <w:sz w:val="22"/>
        </w:rPr>
        <w:t>Расчет статистической мощности:</w:t>
      </w:r>
      <w:r>
        <w:rPr>
          <w:rFonts w:ascii="Calibri" w:hAnsi="Calibri"/>
          <w:sz w:val="22"/>
        </w:rPr>
        <w:t xml:space="preserve"> На основе OR = 2,5 для сравнения квартилей CAII (пилотные данные от 22 участников); α=0,05, мощность=0,80; n=240 доступных для оценки превышает требуемое n=196.</w:t>
      </w:r>
    </w:p>
    <w:p>
      <w:pPr>
        <w:spacing w:after="80" w:line="253" w:lineRule="exact"/>
      </w:pPr>
      <w:r>
        <w:rPr>
          <w:rFonts w:ascii="Calibri" w:hAnsi="Calibri"/>
          <w:b/>
          <w:sz w:val="22"/>
        </w:rPr>
        <w:t>Биобанкинг:</w:t>
      </w:r>
      <w:r>
        <w:rPr>
          <w:rFonts w:ascii="Calibri" w:hAnsi="Calibri"/>
          <w:sz w:val="22"/>
        </w:rPr>
        <w:t xml:space="preserve"> Все образцы хранятся в Биобанке ГТУ; соответствие GDPR; получено согласие на будущее использование.</w:t>
      </w:r>
    </w:p>
    <w:p>
      <w:pPr>
        <w:spacing w:before="200" w:after="80"/>
      </w:pPr>
      <w:r>
        <w:rPr>
          <w:rFonts w:ascii="Calibri" w:hAnsi="Calibri"/>
          <w:b/>
          <w:i/>
          <w:sz w:val="22"/>
        </w:rPr>
        <w:t>1.1.8 Методология: WP3 — Интеграция Cell-DT и усовершенствование цифрового двойника</w:t>
      </w:r>
    </w:p>
    <w:p>
      <w:pPr>
        <w:spacing w:after="80" w:line="253" w:lineRule="exact"/>
      </w:pPr>
      <w:r>
        <w:rPr>
          <w:rFonts w:ascii="Calibri" w:hAnsi="Calibri"/>
          <w:b/>
          <w:sz w:val="22"/>
        </w:rPr>
        <w:t>Цель:</w:t>
      </w:r>
      <w:r>
        <w:rPr>
          <w:rFonts w:ascii="Calibri" w:hAnsi="Calibri"/>
          <w:sz w:val="22"/>
        </w:rPr>
        <w:t xml:space="preserve"> Интегрировать эмпирические данные WP1 и WP2 в Cell-DT для создания калиброванной и верифицированной системы прогнозирования долголетия.</w:t>
      </w:r>
    </w:p>
    <w:p>
      <w:pPr>
        <w:spacing w:after="80" w:line="253" w:lineRule="exact"/>
      </w:pPr>
      <w:r>
        <w:rPr>
          <w:rFonts w:ascii="Calibri" w:hAnsi="Calibri"/>
          <w:b/>
          <w:sz w:val="22"/>
        </w:rPr>
        <w:t>Ключевые задачи:</w:t>
      </w:r>
    </w:p>
    <w:p>
      <w:pPr>
        <w:pStyle w:val="ListBullet"/>
      </w:pPr>
      <w:r>
        <w:rPr>
          <w:rFonts w:ascii="Calibri" w:hAnsi="Calibri"/>
          <w:b/>
          <w:sz w:val="22"/>
        </w:rPr>
        <w:t>T3.1:</w:t>
      </w:r>
      <w:r>
        <w:rPr>
          <w:rFonts w:ascii="Calibri" w:hAnsi="Calibri"/>
          <w:sz w:val="22"/>
        </w:rPr>
        <w:t xml:space="preserve"> Заменить кинетические параметры PTM по умолчанию в Cell-DT на экспериментальные данные зависимости «доза-эффект» из WP1 (байесовская оценка параметров, Stan/PyMC).</w:t>
      </w:r>
    </w:p>
    <w:p>
      <w:pPr>
        <w:pStyle w:val="ListBullet"/>
      </w:pPr>
      <w:r>
        <w:rPr>
          <w:rFonts w:ascii="Calibri" w:hAnsi="Calibri"/>
          <w:b/>
          <w:sz w:val="22"/>
        </w:rPr>
        <w:t>T3.2:</w:t>
      </w:r>
      <w:r>
        <w:rPr>
          <w:rFonts w:ascii="Calibri" w:hAnsi="Calibri"/>
          <w:sz w:val="22"/>
        </w:rPr>
        <w:t xml:space="preserve"> Реализовать персонализацию параметров под пациента: на основе индивидуальных входных данных CAII + эпигенетический возраст выводить персонализированные параметры DamageParams (персонализированный биологический возраст = pBA).</w:t>
      </w:r>
    </w:p>
    <w:p>
      <w:pPr>
        <w:pStyle w:val="ListBullet"/>
      </w:pPr>
      <w:r>
        <w:rPr>
          <w:rFonts w:ascii="Calibri" w:hAnsi="Calibri"/>
          <w:b/>
          <w:sz w:val="22"/>
        </w:rPr>
        <w:t>T3.3:</w:t>
      </w:r>
      <w:r>
        <w:rPr>
          <w:rFonts w:ascii="Calibri" w:hAnsi="Calibri"/>
          <w:sz w:val="22"/>
        </w:rPr>
        <w:t xml:space="preserve"> Валидировать pBA в сравнении с результатами WP2 через 2 года (Каплан-Мейер, AUROC для прогрессирования слабости в течение 2 лет).</w:t>
      </w:r>
    </w:p>
    <w:p>
      <w:pPr>
        <w:pStyle w:val="ListBullet"/>
      </w:pPr>
      <w:r>
        <w:rPr>
          <w:rFonts w:ascii="Calibri" w:hAnsi="Calibri"/>
          <w:b/>
          <w:sz w:val="22"/>
        </w:rPr>
        <w:t>T3.4:</w:t>
      </w:r>
      <w:r>
        <w:rPr>
          <w:rFonts w:ascii="Calibri" w:hAnsi="Calibri"/>
          <w:sz w:val="22"/>
        </w:rPr>
        <w:t xml:space="preserve"> Расширить Cell-DT, включив ось IGF-1, модуль `asymmetric_cytoqc` и столбцы PTM в экспортере CSV.</w:t>
      </w:r>
    </w:p>
    <w:p>
      <w:pPr>
        <w:pStyle w:val="ListBullet"/>
      </w:pPr>
      <w:r>
        <w:rPr>
          <w:rFonts w:ascii="Calibri" w:hAnsi="Calibri"/>
          <w:b/>
          <w:sz w:val="22"/>
        </w:rPr>
        <w:t>T3.5:</w:t>
      </w:r>
      <w:r>
        <w:rPr>
          <w:rFonts w:ascii="Calibri" w:hAnsi="Calibri"/>
          <w:sz w:val="22"/>
        </w:rPr>
        <w:t xml:space="preserve"> Опубликовать Cell-DT v2.0 с открытым исходным кодом (релиз Zenodo DOI + GitHub); Python-биндинги (PyO3) для доступа сообщества.</w:t>
      </w:r>
    </w:p>
    <w:p>
      <w:pPr>
        <w:spacing w:after="80" w:line="253" w:lineRule="exact"/>
      </w:pPr>
      <w:r>
        <w:rPr>
          <w:rFonts w:ascii="Calibri" w:hAnsi="Calibri"/>
          <w:b/>
          <w:sz w:val="22"/>
        </w:rPr>
        <w:t>Программный стек:</w:t>
      </w:r>
      <w:r>
        <w:rPr>
          <w:rFonts w:ascii="Calibri" w:hAnsi="Calibri"/>
          <w:sz w:val="22"/>
        </w:rPr>
        <w:t xml:space="preserve"> Rust edition 2021; ECS `hecs`; параллельные вычисления `Rayon`; `PyO3`; `Stan` для байесовского вывода; все изменения проходят тестирование (`cargo test`) перед слиянием.</w:t>
      </w:r>
    </w:p>
    <w:p>
      <w:pPr>
        <w:spacing w:before="200" w:after="80"/>
      </w:pPr>
      <w:r>
        <w:rPr>
          <w:rFonts w:ascii="Calibri" w:hAnsi="Calibri"/>
          <w:b/>
          <w:i/>
          <w:sz w:val="22"/>
        </w:rPr>
        <w:t>1.1.9 Методология: WP4 — Терапевтическое доказательство концепции</w:t>
      </w:r>
    </w:p>
    <w:p>
      <w:pPr>
        <w:spacing w:after="80" w:line="253" w:lineRule="exact"/>
      </w:pPr>
      <w:r>
        <w:rPr>
          <w:rFonts w:ascii="Calibri" w:hAnsi="Calibri"/>
          <w:b/>
          <w:sz w:val="22"/>
        </w:rPr>
        <w:t>Цель:</w:t>
      </w:r>
      <w:r>
        <w:rPr>
          <w:rFonts w:ascii="Calibri" w:hAnsi="Calibri"/>
          <w:sz w:val="22"/>
        </w:rPr>
        <w:t xml:space="preserve"> Продемонстрировать, что вмешательства, специфичные для CDATA, увеличивают продолжительность функционального здоровья в моделях старения </w:t>
      </w:r>
      <w:r>
        <w:rPr>
          <w:rFonts w:ascii="Calibri" w:hAnsi="Calibri"/>
          <w:i/>
          <w:sz w:val="22"/>
        </w:rPr>
        <w:t>in vitro</w:t>
      </w:r>
      <w:r>
        <w:rPr>
          <w:rFonts w:ascii="Calibri" w:hAnsi="Calibri"/>
          <w:sz w:val="22"/>
        </w:rPr>
        <w:t>, руководствуясь прогнозами Cell-DT.</w:t>
      </w:r>
    </w:p>
    <w:p>
      <w:pPr>
        <w:spacing w:after="80" w:line="253" w:lineRule="exact"/>
      </w:pPr>
      <w:r>
        <w:rPr>
          <w:rFonts w:ascii="Calibri" w:hAnsi="Calibri"/>
          <w:b/>
          <w:sz w:val="22"/>
        </w:rPr>
        <w:t>Библиотека вмешательств (основана на прогнозах Cell-DT *in silico* — экспериментальная проверка является целью WP4):</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9E1F2"/>
          </w:tcPr>
          <w:p>
            <w:r/>
            <w:r>
              <w:rPr>
                <w:rFonts w:ascii="Calibri" w:hAnsi="Calibri"/>
                <w:b/>
                <w:sz w:val="20"/>
              </w:rPr>
              <w:t>Вмешательство</w:t>
            </w:r>
          </w:p>
        </w:tc>
        <w:tc>
          <w:tcPr>
            <w:tcW w:type="dxa" w:w="3135"/>
            <w:shd w:val="clear" w:color="auto" w:fill="D9E1F2"/>
          </w:tcPr>
          <w:p>
            <w:r/>
            <w:r>
              <w:rPr>
                <w:rFonts w:ascii="Calibri" w:hAnsi="Calibri"/>
                <w:b/>
                <w:sz w:val="20"/>
              </w:rPr>
              <w:t>Мишень в механизме CDATA</w:t>
            </w:r>
          </w:p>
        </w:tc>
        <w:tc>
          <w:tcPr>
            <w:tcW w:type="dxa" w:w="3135"/>
            <w:shd w:val="clear" w:color="auto" w:fill="D9E1F2"/>
          </w:tcPr>
          <w:p>
            <w:r/>
            <w:r>
              <w:rPr>
                <w:rFonts w:ascii="Calibri" w:hAnsi="Calibri"/>
                <w:b/>
                <w:sz w:val="20"/>
              </w:rPr>
              <w:t>Прогноз Cell-DT in silico</w:t>
            </w:r>
          </w:p>
        </w:tc>
      </w:tr>
      <w:tr>
        <w:tc>
          <w:tcPr>
            <w:tcW w:type="dxa" w:w="3135"/>
          </w:tcPr>
          <w:p>
            <w:r/>
            <w:r>
              <w:rPr>
                <w:rFonts w:ascii="Calibri" w:hAnsi="Calibri"/>
                <w:sz w:val="20"/>
              </w:rPr>
              <w:t>CentrosomeTransplant (трансплантация центриолей молодого донора)</w:t>
            </w:r>
          </w:p>
        </w:tc>
        <w:tc>
          <w:tcPr>
            <w:tcW w:type="dxa" w:w="3135"/>
          </w:tcPr>
          <w:p>
            <w:r/>
            <w:r>
              <w:rPr>
                <w:rFonts w:ascii="Calibri" w:hAnsi="Calibri"/>
                <w:sz w:val="20"/>
              </w:rPr>
              <w:t>Сбросить нагрузку центриолярной PTM до донорского уровня</w:t>
            </w:r>
          </w:p>
        </w:tc>
        <w:tc>
          <w:tcPr>
            <w:tcW w:type="dxa" w:w="3135"/>
          </w:tcPr>
          <w:p>
            <w:r/>
            <w:r>
              <w:rPr>
                <w:rFonts w:ascii="Calibri" w:hAnsi="Calibri"/>
                <w:sz w:val="20"/>
              </w:rPr>
              <w:t>+18,3 года</w:t>
            </w:r>
          </w:p>
        </w:tc>
      </w:tr>
      <w:tr>
        <w:tc>
          <w:tcPr>
            <w:tcW w:type="dxa" w:w="3135"/>
          </w:tcPr>
          <w:p>
            <w:r/>
            <w:r>
              <w:rPr>
                <w:rFonts w:ascii="Calibri" w:hAnsi="Calibri"/>
                <w:sz w:val="20"/>
              </w:rPr>
              <w:t>CafdRetainer (стабилизация комплексов индукторов CAFD)</w:t>
            </w:r>
          </w:p>
        </w:tc>
        <w:tc>
          <w:tcPr>
            <w:tcW w:type="dxa" w:w="3135"/>
          </w:tcPr>
          <w:p>
            <w:r/>
            <w:r>
              <w:rPr>
                <w:rFonts w:ascii="Calibri" w:hAnsi="Calibri"/>
                <w:sz w:val="20"/>
              </w:rPr>
              <w:t>Медленное отсоединение индуктора под действием O₂</w:t>
            </w:r>
          </w:p>
        </w:tc>
        <w:tc>
          <w:tcPr>
            <w:tcW w:type="dxa" w:w="3135"/>
          </w:tcPr>
          <w:p>
            <w:r/>
            <w:r>
              <w:rPr>
                <w:rFonts w:ascii="Calibri" w:hAnsi="Calibri"/>
                <w:sz w:val="20"/>
              </w:rPr>
              <w:t>+11,6 лет</w:t>
            </w:r>
          </w:p>
        </w:tc>
      </w:tr>
      <w:tr>
        <w:tc>
          <w:tcPr>
            <w:tcW w:type="dxa" w:w="3135"/>
          </w:tcPr>
          <w:p>
            <w:r/>
            <w:r>
              <w:rPr>
                <w:rFonts w:ascii="Calibri" w:hAnsi="Calibri"/>
                <w:sz w:val="20"/>
              </w:rPr>
              <w:t>Сенолитики (протокол ABT-263 + Кверцетин)</w:t>
            </w:r>
          </w:p>
        </w:tc>
        <w:tc>
          <w:tcPr>
            <w:tcW w:type="dxa" w:w="3135"/>
          </w:tcPr>
          <w:p>
            <w:r/>
            <w:r>
              <w:rPr>
                <w:rFonts w:ascii="Calibri" w:hAnsi="Calibri"/>
                <w:sz w:val="20"/>
              </w:rPr>
              <w:t>Удалить стареющие клетки, продуцирующие SASP → уменьшить нишу АФК</w:t>
            </w:r>
          </w:p>
        </w:tc>
        <w:tc>
          <w:tcPr>
            <w:tcW w:type="dxa" w:w="3135"/>
          </w:tcPr>
          <w:p>
            <w:r/>
            <w:r>
              <w:rPr>
                <w:rFonts w:ascii="Calibri" w:hAnsi="Calibri"/>
                <w:sz w:val="20"/>
              </w:rPr>
              <w:t>+8,9 лет</w:t>
            </w:r>
          </w:p>
        </w:tc>
      </w:tr>
      <w:tr>
        <w:tc>
          <w:tcPr>
            <w:tcW w:type="dxa" w:w="3135"/>
          </w:tcPr>
          <w:p>
            <w:r/>
            <w:r>
              <w:rPr>
                <w:rFonts w:ascii="Calibri" w:hAnsi="Calibri"/>
                <w:sz w:val="20"/>
              </w:rPr>
              <w:t>Ингибирование mTOR + CR (рапамицин + ограничение калорийности)</w:t>
            </w:r>
          </w:p>
        </w:tc>
        <w:tc>
          <w:tcPr>
            <w:tcW w:type="dxa" w:w="3135"/>
          </w:tcPr>
          <w:p>
            <w:r/>
            <w:r>
              <w:rPr>
                <w:rFonts w:ascii="Calibri" w:hAnsi="Calibri"/>
                <w:sz w:val="20"/>
              </w:rPr>
              <w:t>Медленная скорость деления; активировать аутофагию; снизить совокупную нагрузку</w:t>
            </w:r>
          </w:p>
        </w:tc>
        <w:tc>
          <w:tcPr>
            <w:tcW w:type="dxa" w:w="3135"/>
          </w:tcPr>
          <w:p>
            <w:r/>
            <w:r>
              <w:rPr>
                <w:rFonts w:ascii="Calibri" w:hAnsi="Calibri"/>
                <w:sz w:val="20"/>
              </w:rPr>
              <w:t>+7,4 года</w:t>
            </w:r>
          </w:p>
        </w:tc>
      </w:tr>
    </w:tbl>
    <w:p>
      <w:pPr>
        <w:spacing w:after="80" w:line="253" w:lineRule="exact"/>
      </w:pPr>
      <w:r>
        <w:rPr>
          <w:rFonts w:ascii="Calibri" w:hAnsi="Calibri"/>
          <w:i/>
          <w:sz w:val="22"/>
        </w:rPr>
        <w:t>\</w:t>
      </w:r>
      <w:r>
        <w:rPr>
          <w:rFonts w:ascii="Calibri" w:hAnsi="Calibri"/>
          <w:sz w:val="22"/>
        </w:rPr>
        <w:t>Все цифры представляют собой результаты стохастического моделирования Cell-DT (n=1000 прогонов). Экспериментальная проверка этих прогнозов является основной целью WP4.*</w:t>
      </w:r>
    </w:p>
    <w:p>
      <w:pPr>
        <w:spacing w:after="80" w:line="253" w:lineRule="exact"/>
      </w:pPr>
      <w:r>
        <w:rPr>
          <w:rFonts w:ascii="Calibri" w:hAnsi="Calibri"/>
          <w:b/>
          <w:sz w:val="22"/>
        </w:rPr>
        <w:t>Экспериментальные данные:</w:t>
      </w:r>
      <w:r>
        <w:rPr>
          <w:rFonts w:ascii="Calibri" w:hAnsi="Calibri"/>
          <w:sz w:val="22"/>
        </w:rPr>
        <w:t xml:space="preserve"> пролиферация EdU, старение SA-β-Gal, оценка CAII, длина ресничек на пассажах 8/15/25. Обработанные и необработанные (n=6 биологических повторов на условие; двухфакторный дисперсионный анализ с поправкой Бонферрони).</w:t>
      </w:r>
    </w:p>
    <w:p>
      <w:pPr>
        <w:spacing w:after="80" w:line="253" w:lineRule="exact"/>
      </w:pPr>
      <w:r>
        <w:rPr>
          <w:rFonts w:ascii="Calibri" w:hAnsi="Calibri"/>
          <w:b/>
          <w:sz w:val="22"/>
        </w:rPr>
        <w:t>Результат:</w:t>
      </w:r>
      <w:r>
        <w:rPr>
          <w:rFonts w:ascii="Calibri" w:hAnsi="Calibri"/>
          <w:sz w:val="22"/>
        </w:rPr>
        <w:t xml:space="preserve"> Количественное ранжирование вмешательств, специфичных для CDATA; сравнение прогнозов Cell-DT с экспериментальными результатами (коэффициент корреляции Пирсона, целевой r &gt; 0,65).</w:t>
      </w:r>
    </w:p>
    <w:p>
      <w:pPr>
        <w:pBdr>
          <w:bottom w:val="single" w:sz="6" w:space="1" w:color="auto"/>
        </w:pBdr>
        <w:spacing w:after="120"/>
      </w:pPr>
    </w:p>
    <w:p>
      <w:pPr>
        <w:spacing w:before="200" w:after="80"/>
      </w:pPr>
      <w:r>
        <w:rPr>
          <w:rFonts w:ascii="Calibri" w:hAnsi="Calibri"/>
          <w:b/>
          <w:sz w:val="24"/>
        </w:rPr>
        <w:t>1.2 Степень, в которой предлагаемая работа выходит за рамки современного уровня техники — амбиции</w:t>
      </w:r>
    </w:p>
    <w:p>
      <w:pPr>
        <w:spacing w:before="200" w:after="80"/>
      </w:pPr>
      <w:r>
        <w:rPr>
          <w:rFonts w:ascii="Calibri" w:hAnsi="Calibri"/>
          <w:b/>
          <w:i/>
          <w:sz w:val="22"/>
        </w:rPr>
        <w:t>1.2.1 Научная оригинальность</w:t>
      </w:r>
    </w:p>
    <w:p>
      <w:pPr>
        <w:spacing w:after="80" w:line="253" w:lineRule="exact"/>
      </w:pPr>
      <w:r>
        <w:rPr>
          <w:rFonts w:ascii="Calibri" w:hAnsi="Calibri"/>
          <w:sz w:val="22"/>
        </w:rPr>
        <w:t>CDATA представляет три оригинальных, фальсифицируемых утверждения, которые отличают ее от всех существующих теорий старения:</w:t>
      </w:r>
    </w:p>
    <w:p>
      <w:pPr>
        <w:spacing w:after="80" w:line="253" w:lineRule="exact"/>
      </w:pPr>
      <w:r>
        <w:rPr>
          <w:rFonts w:ascii="Calibri" w:hAnsi="Calibri"/>
          <w:b/>
          <w:sz w:val="22"/>
        </w:rPr>
        <w:t>Утверждение 1. Утверждение о необратимости:</w:t>
      </w:r>
      <w:r>
        <w:rPr>
          <w:rFonts w:ascii="Calibri" w:hAnsi="Calibri"/>
          <w:sz w:val="22"/>
        </w:rPr>
        <w:t xml:space="preserve"> Старение начинается с центриолей, поскольку они являются </w:t>
      </w:r>
      <w:r>
        <w:rPr>
          <w:rFonts w:ascii="Calibri" w:hAnsi="Calibri"/>
          <w:i/>
          <w:sz w:val="22"/>
        </w:rPr>
        <w:t>единственной</w:t>
      </w:r>
      <w:r>
        <w:rPr>
          <w:rFonts w:ascii="Calibri" w:hAnsi="Calibri"/>
          <w:sz w:val="22"/>
        </w:rPr>
        <w:t xml:space="preserve"> основной клеточной структурой, в которой полностью отсутствуют механизмы восстановления. Это объясняет, почему старение необратимо у всех известных организмов. </w:t>
      </w:r>
      <w:r>
        <w:rPr>
          <w:rFonts w:ascii="Calibri" w:hAnsi="Calibri"/>
          <w:b/>
          <w:sz w:val="22"/>
        </w:rPr>
        <w:t>Критерий фальсификации:</w:t>
      </w:r>
      <w:r>
        <w:rPr>
          <w:rFonts w:ascii="Calibri" w:hAnsi="Calibri"/>
          <w:sz w:val="22"/>
        </w:rPr>
        <w:t xml:space="preserve"> Открытие фермента репарации, специфичного для центриолей, опровергло бы CDATA.</w:t>
      </w:r>
    </w:p>
    <w:p>
      <w:pPr>
        <w:spacing w:after="80" w:line="253" w:lineRule="exact"/>
      </w:pPr>
      <w:r>
        <w:rPr>
          <w:rFonts w:ascii="Calibri" w:hAnsi="Calibri"/>
          <w:b/>
          <w:sz w:val="22"/>
        </w:rPr>
        <w:t>Утверждение 2. Утверждение об асимметричном наследовании:</w:t>
      </w:r>
      <w:r>
        <w:rPr>
          <w:rFonts w:ascii="Calibri" w:hAnsi="Calibri"/>
          <w:sz w:val="22"/>
        </w:rPr>
        <w:t xml:space="preserve"> При каждом асимметричном делении стволовой клетки дочерняя стволовая клетка сохраняет </w:t>
      </w:r>
      <w:r>
        <w:rPr>
          <w:rFonts w:ascii="Calibri" w:hAnsi="Calibri"/>
          <w:i/>
          <w:sz w:val="22"/>
        </w:rPr>
        <w:t>более старую, более поврежденную</w:t>
      </w:r>
      <w:r>
        <w:rPr>
          <w:rFonts w:ascii="Calibri" w:hAnsi="Calibri"/>
          <w:sz w:val="22"/>
        </w:rPr>
        <w:t xml:space="preserve"> материнскую центриоль. Более ~50 делений создают экспоненциальное смещение накопления повреждений. </w:t>
      </w:r>
      <w:r>
        <w:rPr>
          <w:rFonts w:ascii="Calibri" w:hAnsi="Calibri"/>
          <w:b/>
          <w:sz w:val="22"/>
        </w:rPr>
        <w:t>Критерий фальсификации:</w:t>
      </w:r>
      <w:r>
        <w:rPr>
          <w:rFonts w:ascii="Calibri" w:hAnsi="Calibri"/>
          <w:sz w:val="22"/>
        </w:rPr>
        <w:t xml:space="preserve"> Экспериментальная демонстрация того, что стволовые клетки случайным образом распределяют центриоли, опровергла бы это утверждение.</w:t>
      </w:r>
    </w:p>
    <w:p>
      <w:pPr>
        <w:spacing w:after="80" w:line="253" w:lineRule="exact"/>
      </w:pPr>
      <w:r>
        <w:rPr>
          <w:rFonts w:ascii="Calibri" w:hAnsi="Calibri"/>
          <w:b/>
          <w:sz w:val="22"/>
        </w:rPr>
        <w:t>Утверждение 3. Утверждение о биомаркере CAII:</w:t>
      </w:r>
      <w:r>
        <w:rPr>
          <w:rFonts w:ascii="Calibri" w:hAnsi="Calibri"/>
          <w:sz w:val="22"/>
        </w:rPr>
        <w:t xml:space="preserve"> Индекс целостности центриолярного придатка (CAII) представляет собой количественный, измеримый биомаркер, который предшествует фенотипам ускоренного старения и предсказывает их. </w:t>
      </w:r>
      <w:r>
        <w:rPr>
          <w:rFonts w:ascii="Calibri" w:hAnsi="Calibri"/>
          <w:b/>
          <w:sz w:val="22"/>
        </w:rPr>
        <w:t>Критерий фальсификации:</w:t>
      </w:r>
      <w:r>
        <w:rPr>
          <w:rFonts w:ascii="Calibri" w:hAnsi="Calibri"/>
          <w:sz w:val="22"/>
        </w:rPr>
        <w:t xml:space="preserve"> Неспособность CAII коррелировать с хрупкостью в WP2 приведет к фальсификации этого утверждения.</w:t>
      </w:r>
    </w:p>
    <w:p>
      <w:pPr>
        <w:spacing w:after="80" w:line="253" w:lineRule="exact"/>
      </w:pPr>
      <w:r>
        <w:rPr>
          <w:rFonts w:ascii="Calibri" w:hAnsi="Calibri"/>
          <w:sz w:val="22"/>
        </w:rPr>
        <w:t>Все три утверждения являются новыми, проверяемыми и непроверенными в литературе. Мандат EIC Pathfinder TRL 1–4 как раз подходит для этого этапа проверки.</w:t>
      </w:r>
    </w:p>
    <w:p>
      <w:pPr>
        <w:spacing w:before="200" w:after="80"/>
      </w:pPr>
      <w:r>
        <w:rPr>
          <w:rFonts w:ascii="Calibri" w:hAnsi="Calibri"/>
          <w:b/>
          <w:i/>
          <w:sz w:val="22"/>
        </w:rPr>
        <w:t>1.2.2 Технологические амбиции: цифровой двойник клетки</w:t>
      </w:r>
    </w:p>
    <w:p>
      <w:pPr>
        <w:spacing w:after="80" w:line="253" w:lineRule="exact"/>
      </w:pPr>
      <w:r>
        <w:rPr>
          <w:rFonts w:ascii="Calibri" w:hAnsi="Calibri"/>
          <w:sz w:val="22"/>
        </w:rPr>
        <w:t>Платформа Cell-DT представляет собой наиболее механистически комплексный симулятор старения в открытой литературе:</w:t>
      </w:r>
    </w:p>
    <w:p>
      <w:pPr>
        <w:pStyle w:val="ListBullet"/>
      </w:pPr>
      <w:r>
        <w:rPr>
          <w:rFonts w:ascii="Calibri" w:hAnsi="Calibri"/>
          <w:b/>
          <w:sz w:val="22"/>
        </w:rPr>
        <w:t>14 модульных компонентов ECS</w:t>
      </w:r>
      <w:r>
        <w:rPr>
          <w:rFonts w:ascii="Calibri" w:hAnsi="Calibri"/>
          <w:sz w:val="22"/>
        </w:rPr>
        <w:t>, включая NKSurveillanceState, ProteostasisState, CircadianState, AutophagyState, DDRState — отслеживание биологических взаимодействий в 5 временных масштабах</w:t>
      </w:r>
    </w:p>
    <w:p>
      <w:pPr>
        <w:pStyle w:val="ListBullet"/>
      </w:pPr>
      <w:r>
        <w:rPr>
          <w:rFonts w:ascii="Calibri" w:hAnsi="Calibri"/>
          <w:b/>
          <w:sz w:val="22"/>
        </w:rPr>
        <w:t>≥439 прохождений модульных тестов (+ новые тесты для модулей, добавленных в WP3)</w:t>
      </w:r>
      <w:r>
        <w:rPr>
          <w:rFonts w:ascii="Calibri" w:hAnsi="Calibri"/>
          <w:sz w:val="22"/>
        </w:rPr>
        <w:t>, обеспечивающие гарантии научной воспроизводимости, отсутствующие во всех конкурирующих устаревших моделях (модели Hallmarks на основе ODE обычно не предоставляют кода или проверки)</w:t>
      </w:r>
    </w:p>
    <w:p>
      <w:pPr>
        <w:pStyle w:val="ListBullet"/>
      </w:pPr>
      <w:r>
        <w:rPr>
          <w:rFonts w:ascii="Calibri" w:hAnsi="Calibri"/>
          <w:b/>
          <w:sz w:val="22"/>
        </w:rPr>
        <w:t>Моделирование на уровне популяции:</w:t>
      </w:r>
      <w:r>
        <w:rPr>
          <w:rFonts w:ascii="Calibri" w:hAnsi="Calibri"/>
          <w:sz w:val="22"/>
        </w:rPr>
        <w:t xml:space="preserve"> когорта из 30 организмов с эффектом свидетеля SASP, начало обнаружения CHIP в 40 лет, выходные данные, совместимые с Капланом-Мейером.</w:t>
      </w:r>
    </w:p>
    <w:p>
      <w:pPr>
        <w:pStyle w:val="ListBullet"/>
      </w:pPr>
      <w:r>
        <w:rPr>
          <w:rFonts w:ascii="Calibri" w:hAnsi="Calibri"/>
          <w:b/>
          <w:sz w:val="22"/>
        </w:rPr>
        <w:t>Кривые реакции на вмешательство:</w:t>
      </w:r>
      <w:r>
        <w:rPr>
          <w:rFonts w:ascii="Calibri" w:hAnsi="Calibri"/>
          <w:sz w:val="22"/>
        </w:rPr>
        <w:t xml:space="preserve"> 8 проверенных </w:t>
      </w:r>
      <w:r>
        <w:rPr>
          <w:rFonts w:ascii="Calibri" w:hAnsi="Calibri"/>
          <w:i/>
          <w:sz w:val="22"/>
        </w:rPr>
        <w:t>in silico</w:t>
      </w:r>
      <w:r>
        <w:rPr>
          <w:rFonts w:ascii="Calibri" w:hAnsi="Calibri"/>
          <w:sz w:val="22"/>
        </w:rPr>
        <w:t xml:space="preserve"> вмешательств с реалистичными прогнозами продолжительности жизни (экспериментальная проверка в WP4)</w:t>
      </w:r>
    </w:p>
    <w:p>
      <w:pPr>
        <w:spacing w:after="80" w:line="253" w:lineRule="exact"/>
      </w:pPr>
      <w:r>
        <w:rPr>
          <w:rFonts w:ascii="Calibri" w:hAnsi="Calibri"/>
          <w:sz w:val="22"/>
        </w:rPr>
        <w:t>Аналогичной платформы с открытым исходным кодом не существует. Ближайшие предыдущие работы (PhysiCell, VirtualCell) сосредоточены на передаче сигналов раковых клеток, а не на старении стволовых клеток. CDATA-Cell-DT — это новаторский вклад.</w:t>
      </w:r>
    </w:p>
    <w:p>
      <w:pPr>
        <w:spacing w:before="200" w:after="80"/>
      </w:pPr>
      <w:r>
        <w:rPr>
          <w:rFonts w:ascii="Calibri" w:hAnsi="Calibri"/>
          <w:b/>
          <w:i/>
          <w:sz w:val="22"/>
        </w:rPr>
        <w:t>1.2.3 Межмасштабная интеграция и гипотеза ВСР теории Ze</w:t>
      </w:r>
    </w:p>
    <w:p>
      <w:pPr>
        <w:spacing w:after="80" w:line="253" w:lineRule="exact"/>
      </w:pPr>
      <w:r>
        <w:rPr>
          <w:rFonts w:ascii="Calibri" w:hAnsi="Calibri"/>
          <w:sz w:val="22"/>
        </w:rPr>
        <w:t>CDATA объединяет биологические масштабы, которые редко соединяются в единую структуру:</w:t>
      </w:r>
    </w:p>
    <w:p>
      <w:pPr>
        <w:pStyle w:val="ListBullet"/>
      </w:pPr>
      <w:r>
        <w:rPr>
          <w:rFonts w:ascii="Calibri" w:hAnsi="Calibri"/>
          <w:b/>
          <w:sz w:val="22"/>
        </w:rPr>
        <w:t>Наномасштаб (нм):</w:t>
      </w:r>
      <w:r>
        <w:rPr>
          <w:rFonts w:ascii="Calibri" w:hAnsi="Calibri"/>
          <w:sz w:val="22"/>
        </w:rPr>
        <w:t xml:space="preserve"> Центриолярное накопление PTM, измеряемое с помощью STED-микроскопии сверхвысокого разрешения и U-ExM (WP1). Составной показатель CAII отражает целостность белков придатка с разрешением 50–100 нм.</w:t>
      </w:r>
    </w:p>
    <w:p>
      <w:pPr>
        <w:pStyle w:val="ListBullet"/>
      </w:pPr>
      <w:r>
        <w:rPr>
          <w:rFonts w:ascii="Calibri" w:hAnsi="Calibri"/>
          <w:b/>
          <w:sz w:val="22"/>
        </w:rPr>
        <w:t>Клеточный масштаб (мкм):</w:t>
      </w:r>
      <w:r>
        <w:rPr>
          <w:rFonts w:ascii="Calibri" w:hAnsi="Calibri"/>
          <w:sz w:val="22"/>
        </w:rPr>
        <w:t xml:space="preserve"> Длина первичных ресничек, верность веретена, маркеры старения (SA-β-Gal, γ-H2AX) — непосредственно следуют за CAII в причинно-следственной цепи CDATA.</w:t>
      </w:r>
    </w:p>
    <w:p>
      <w:pPr>
        <w:pStyle w:val="ListBullet"/>
      </w:pPr>
      <w:r>
        <w:rPr>
          <w:rFonts w:ascii="Calibri" w:hAnsi="Calibri"/>
          <w:b/>
          <w:sz w:val="22"/>
        </w:rPr>
        <w:t>Организменный масштаб (мс, клинический):</w:t>
      </w:r>
      <w:r>
        <w:rPr>
          <w:rFonts w:ascii="Calibri" w:hAnsi="Calibri"/>
          <w:sz w:val="22"/>
        </w:rPr>
        <w:t xml:space="preserve"> Индекс старения на основе ВСР, дряхлость Фрида, эпигенетические часы, иммунное старение (миелоидный сдвиг) — клинические конечные точки WP2.</w:t>
      </w:r>
    </w:p>
    <w:p>
      <w:pPr>
        <w:spacing w:after="80" w:line="253" w:lineRule="exact"/>
      </w:pPr>
      <w:r>
        <w:rPr>
          <w:rFonts w:ascii="Calibri" w:hAnsi="Calibri"/>
          <w:b/>
          <w:sz w:val="22"/>
        </w:rPr>
        <w:t>Биомаркер ВСР по теории Ze — исследовательская вторичная гипотеза.</w:t>
      </w:r>
      <w:r>
        <w:rPr>
          <w:rFonts w:ascii="Calibri" w:hAnsi="Calibri"/>
          <w:sz w:val="22"/>
        </w:rPr>
        <w:t xml:space="preserve"> Теория Ze PI предполагает, что биологические системы демонстрируют оптимальный информационный поток с безразмерной скоростью v</w:t>
      </w:r>
      <w:r>
        <w:rPr>
          <w:rFonts w:ascii="Calibri" w:hAnsi="Calibri"/>
          <w:i/>
          <w:sz w:val="22"/>
        </w:rPr>
        <w:t xml:space="preserve"> ≈ 0,456 (энтропия ≈ 1,68 нат). Применительно к динамике сердца это предсказывает наличие кандидатного неинвазивного биомаркера: близость скорости потока, определяемой ВСР, к v</w:t>
      </w:r>
      <w:r>
        <w:rPr>
          <w:rFonts w:ascii="Calibri" w:hAnsi="Calibri"/>
          <w:sz w:val="22"/>
        </w:rPr>
        <w:t xml:space="preserve"> (измеренной по стандартной 5-минутной ЭКГ). Если это будет подтверждено, это свяжет старение центриолей на нанометровом уровне напрямую со сложностью миллисекундного сердечного ритма — беспрецедентным межмасштабным биомаркером.</w:t>
      </w:r>
    </w:p>
    <w:p>
      <w:pPr>
        <w:spacing w:after="80" w:line="253" w:lineRule="exact"/>
      </w:pPr>
      <w:r>
        <w:rPr>
          <w:rFonts w:ascii="Calibri" w:hAnsi="Calibri"/>
          <w:sz w:val="22"/>
        </w:rPr>
        <w:t xml:space="preserve">Теория Ze рассматривается как </w:t>
      </w:r>
      <w:r>
        <w:rPr>
          <w:rFonts w:ascii="Calibri" w:hAnsi="Calibri"/>
          <w:b/>
          <w:sz w:val="22"/>
        </w:rPr>
        <w:t>вторичная исследовательская конечная точка</w:t>
      </w:r>
      <w:r>
        <w:rPr>
          <w:rFonts w:ascii="Calibri" w:hAnsi="Calibri"/>
          <w:sz w:val="22"/>
        </w:rPr>
        <w:t xml:space="preserve"> в WP2. Никакой предварительной когортной проверки не предполагается — WP2 обеспечивает первое тщательное проспективное тестирование с участием n = 288 участников. Положительный результат (индекс ВСР коррелирует со слабостью/смертностью) может стать новым инструментом скрининга; отрицательный результат остается информативным. Мандат EIC Pathfinder на науку с высоким риском и высокой отдачей делает это подходящим исследовательским включением наряду с первичной проверкой CAII.</w:t>
      </w:r>
    </w:p>
    <w:p>
      <w:pPr>
        <w:spacing w:after="80" w:line="253" w:lineRule="exact"/>
      </w:pPr>
      <w:r>
        <w:rPr>
          <w:rFonts w:ascii="Calibri" w:hAnsi="Calibri"/>
          <w:sz w:val="22"/>
        </w:rPr>
        <w:t>Эта межмасштабная интеграция — от нанометровых PTM до миллисекундных интервалов ЭКГ и клинической слабости — обеспечивает механистическую основу для модуля персонализированного биологического возраста (pBA) Cell-DT.</w:t>
      </w:r>
    </w:p>
    <w:p>
      <w:pPr>
        <w:pBdr>
          <w:bottom w:val="single" w:sz="6" w:space="1" w:color="auto"/>
        </w:pBdr>
        <w:spacing w:after="120"/>
      </w:pPr>
    </w:p>
    <w:p>
      <w:pPr>
        <w:spacing w:before="200" w:after="80"/>
      </w:pPr>
      <w:r>
        <w:rPr>
          <w:rFonts w:ascii="Calibri" w:hAnsi="Calibri"/>
          <w:b/>
          <w:sz w:val="28"/>
        </w:rPr>
        <w:t>2. Влияние</w:t>
      </w:r>
    </w:p>
    <w:p>
      <w:pPr>
        <w:spacing w:before="200" w:after="80"/>
      </w:pPr>
      <w:r>
        <w:rPr>
          <w:rFonts w:ascii="Calibri" w:hAnsi="Calibri"/>
          <w:b/>
          <w:sz w:val="24"/>
        </w:rPr>
        <w:t>2.1 Потенциал прорывного научного и технологического воздействия</w:t>
      </w:r>
    </w:p>
    <w:p>
      <w:pPr>
        <w:spacing w:before="200" w:after="80"/>
      </w:pPr>
      <w:r>
        <w:rPr>
          <w:rFonts w:ascii="Calibri" w:hAnsi="Calibri"/>
          <w:b/>
          <w:i/>
          <w:sz w:val="22"/>
        </w:rPr>
        <w:t>2.1.1 Научное воздействие</w:t>
      </w:r>
    </w:p>
    <w:p>
      <w:pPr>
        <w:spacing w:after="80" w:line="253" w:lineRule="exact"/>
      </w:pPr>
      <w:r>
        <w:rPr>
          <w:rFonts w:ascii="Calibri" w:hAnsi="Calibri"/>
          <w:sz w:val="22"/>
        </w:rPr>
        <w:t>Если гипотеза CDATA будет подтверждена, научные последствия будут глубокими:</w:t>
      </w:r>
    </w:p>
    <w:p>
      <w:pPr>
        <w:spacing w:after="80" w:line="253" w:lineRule="exact"/>
      </w:pPr>
      <w:r>
        <w:rPr>
          <w:rFonts w:ascii="Calibri" w:hAnsi="Calibri"/>
          <w:b/>
          <w:sz w:val="22"/>
        </w:rPr>
        <w:t>Смена парадигмы в биогеронтологии</w:t>
      </w:r>
      <w:r>
        <w:rPr>
          <w:rFonts w:ascii="Calibri" w:hAnsi="Calibri"/>
          <w:sz w:val="22"/>
        </w:rPr>
        <w:t xml:space="preserve">: CDATA создаст первую механистическую, унифицированную и фальсифицируемую теорию старения, положив конец десятилетиям феноменологического описания. Фреймворк готов к публикации в ведущих журналах (целевые издания: </w:t>
      </w:r>
      <w:r>
        <w:rPr>
          <w:rFonts w:ascii="Calibri" w:hAnsi="Calibri"/>
          <w:i/>
          <w:sz w:val="22"/>
        </w:rPr>
        <w:t>npj Aging</w:t>
      </w:r>
      <w:r>
        <w:rPr>
          <w:rFonts w:ascii="Calibri" w:hAnsi="Calibri"/>
          <w:sz w:val="22"/>
        </w:rPr>
        <w:t xml:space="preserve"> (Nature Portfolio); </w:t>
      </w:r>
      <w:r>
        <w:rPr>
          <w:rFonts w:ascii="Calibri" w:hAnsi="Calibri"/>
          <w:i/>
          <w:sz w:val="22"/>
        </w:rPr>
        <w:t>Nature Aging</w:t>
      </w:r>
      <w:r>
        <w:rPr>
          <w:rFonts w:ascii="Calibri" w:hAnsi="Calibri"/>
          <w:sz w:val="22"/>
        </w:rPr>
        <w:t xml:space="preserve">; </w:t>
      </w:r>
      <w:r>
        <w:rPr>
          <w:rFonts w:ascii="Calibri" w:hAnsi="Calibri"/>
          <w:i/>
          <w:sz w:val="22"/>
        </w:rPr>
        <w:t>Cell</w:t>
      </w:r>
      <w:r>
        <w:rPr>
          <w:rFonts w:ascii="Calibri" w:hAnsi="Calibri"/>
          <w:sz w:val="22"/>
        </w:rPr>
        <w:t>).</w:t>
      </w:r>
    </w:p>
    <w:p>
      <w:pPr>
        <w:spacing w:after="80" w:line="253" w:lineRule="exact"/>
      </w:pPr>
      <w:r>
        <w:rPr>
          <w:rFonts w:ascii="Calibri" w:hAnsi="Calibri"/>
          <w:b/>
          <w:sz w:val="22"/>
        </w:rPr>
        <w:t>Новый диагностический биомаркер</w:t>
      </w:r>
      <w:r>
        <w:rPr>
          <w:rFonts w:ascii="Calibri" w:hAnsi="Calibri"/>
          <w:sz w:val="22"/>
        </w:rPr>
        <w:t>: CAII — индекс целостности центриолярного придатка — станет первым биомаркером старения, основанным на центриолях. Если WP2 подтвердит его клиническую корреляцию, CAII можно будет превратить в простой анализ крови, предсказывающий слабость за 2+ года до клинического проявления.</w:t>
      </w:r>
    </w:p>
    <w:p>
      <w:pPr>
        <w:spacing w:after="80" w:line="253" w:lineRule="exact"/>
      </w:pPr>
      <w:r>
        <w:rPr>
          <w:rFonts w:ascii="Calibri" w:hAnsi="Calibri"/>
          <w:b/>
          <w:sz w:val="22"/>
        </w:rPr>
        <w:t>Новые терапевтические мишени</w:t>
      </w:r>
      <w:r>
        <w:rPr>
          <w:rFonts w:ascii="Calibri" w:hAnsi="Calibri"/>
          <w:sz w:val="22"/>
        </w:rPr>
        <w:t xml:space="preserve">: Центросомная трансплантация (CentrosomeTransplant) представляет собой совершенно новый класс методов омоложения — </w:t>
      </w:r>
      <w:r>
        <w:rPr>
          <w:rFonts w:ascii="Calibri" w:hAnsi="Calibri"/>
          <w:i/>
          <w:sz w:val="22"/>
        </w:rPr>
        <w:t>заместительную органелльную терапию</w:t>
      </w:r>
      <w:r>
        <w:rPr>
          <w:rFonts w:ascii="Calibri" w:hAnsi="Calibri"/>
          <w:sz w:val="22"/>
        </w:rPr>
        <w:t xml:space="preserve"> — отличный от генной терапии, низкомолекулярных вмешательств или клеточной трансплантации. Моделирование Cell-DT </w:t>
      </w:r>
      <w:r>
        <w:rPr>
          <w:rFonts w:ascii="Calibri" w:hAnsi="Calibri"/>
          <w:i/>
          <w:sz w:val="22"/>
        </w:rPr>
        <w:t>in silico</w:t>
      </w:r>
      <w:r>
        <w:rPr>
          <w:rFonts w:ascii="Calibri" w:hAnsi="Calibri"/>
          <w:sz w:val="22"/>
        </w:rPr>
        <w:t xml:space="preserve"> предсказывает существенное увеличение продолжительности жизни; WP4 предназначен для экспериментальной проверки этого прогноза.</w:t>
      </w:r>
    </w:p>
    <w:p>
      <w:pPr>
        <w:spacing w:before="200" w:after="80"/>
      </w:pPr>
      <w:r>
        <w:rPr>
          <w:rFonts w:ascii="Calibri" w:hAnsi="Calibri"/>
          <w:b/>
          <w:i/>
          <w:sz w:val="22"/>
        </w:rPr>
        <w:t>2.1.2 Технологическое воздействие</w:t>
      </w:r>
    </w:p>
    <w:p>
      <w:pPr>
        <w:spacing w:after="80" w:line="253" w:lineRule="exact"/>
      </w:pPr>
      <w:r>
        <w:rPr>
          <w:rFonts w:ascii="Calibri" w:hAnsi="Calibri"/>
          <w:b/>
          <w:sz w:val="22"/>
        </w:rPr>
        <w:t>Cell Digital Twin (TRL 4 → 6)</w:t>
      </w:r>
      <w:r>
        <w:rPr>
          <w:rFonts w:ascii="Calibri" w:hAnsi="Calibri"/>
          <w:sz w:val="22"/>
        </w:rPr>
        <w:t>: К концу проекта Cell-DT перейдет от проверенной вычислительной модели (TRL 4) к персонализированному механизму прогнозирования долголетия с подбором параметров для конкретного пациента (TRL 5–6). Коммерческие пути включают:</w:t>
      </w:r>
    </w:p>
    <w:p>
      <w:pPr>
        <w:pStyle w:val="ListBullet"/>
      </w:pPr>
      <w:r>
        <w:rPr>
          <w:rFonts w:ascii="Calibri" w:hAnsi="Calibri"/>
          <w:sz w:val="22"/>
        </w:rPr>
        <w:t>Биотехнологические платформы долголетия (интеграция с эпигенетическими часами, протеомикой)</w:t>
      </w:r>
    </w:p>
    <w:p>
      <w:pPr>
        <w:pStyle w:val="ListBullet"/>
      </w:pPr>
      <w:r>
        <w:rPr>
          <w:rFonts w:ascii="Calibri" w:hAnsi="Calibri"/>
          <w:sz w:val="22"/>
        </w:rPr>
        <w:t xml:space="preserve">Услуги фармацевтического CRO (анализ старения </w:t>
      </w:r>
      <w:r>
        <w:rPr>
          <w:rFonts w:ascii="Calibri" w:hAnsi="Calibri"/>
          <w:i/>
          <w:sz w:val="22"/>
        </w:rPr>
        <w:t>in silico</w:t>
      </w:r>
      <w:r>
        <w:rPr>
          <w:rFonts w:ascii="Calibri" w:hAnsi="Calibri"/>
          <w:sz w:val="22"/>
        </w:rPr>
        <w:t xml:space="preserve"> заменяет ранние исследования на животных)</w:t>
      </w:r>
    </w:p>
    <w:p>
      <w:pPr>
        <w:pStyle w:val="ListBullet"/>
      </w:pPr>
      <w:r>
        <w:rPr>
          <w:rFonts w:ascii="Calibri" w:hAnsi="Calibri"/>
          <w:sz w:val="22"/>
        </w:rPr>
        <w:t>Страховые и актуарные приложения (оценка рисков на основе биологического возраста в сравнении с хронологическим)</w:t>
      </w:r>
    </w:p>
    <w:p>
      <w:pPr>
        <w:spacing w:before="200" w:after="80"/>
      </w:pPr>
      <w:r>
        <w:rPr>
          <w:rFonts w:ascii="Calibri" w:hAnsi="Calibri"/>
          <w:b/>
          <w:i/>
          <w:sz w:val="22"/>
        </w:rPr>
        <w:t>2.1.3 Ключевые показатели эффективности (KPI)</w:t>
      </w:r>
    </w:p>
    <w:p>
      <w:pPr>
        <w:spacing w:after="80" w:line="253" w:lineRule="exact"/>
      </w:pPr>
      <w:r>
        <w:rPr>
          <w:rFonts w:ascii="Calibri" w:hAnsi="Calibri"/>
          <w:b/>
          <w:sz w:val="22"/>
        </w:rPr>
        <w:t>Таблица: Ключевые показатели эффективности (KPI) проекта CDATA EIC Pathfinder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9E1F2"/>
          </w:tcPr>
          <w:p>
            <w:r/>
            <w:r>
              <w:rPr>
                <w:rFonts w:ascii="Calibri" w:hAnsi="Calibri"/>
                <w:b/>
                <w:sz w:val="20"/>
              </w:rPr>
              <w:t>#</w:t>
            </w:r>
          </w:p>
        </w:tc>
        <w:tc>
          <w:tcPr>
            <w:tcW w:type="dxa" w:w="2351"/>
            <w:shd w:val="clear" w:color="auto" w:fill="D9E1F2"/>
          </w:tcPr>
          <w:p>
            <w:r/>
            <w:r>
              <w:rPr>
                <w:rFonts w:ascii="Calibri" w:hAnsi="Calibri"/>
                <w:b/>
                <w:sz w:val="20"/>
              </w:rPr>
              <w:t>KPI</w:t>
            </w:r>
          </w:p>
        </w:tc>
        <w:tc>
          <w:tcPr>
            <w:tcW w:type="dxa" w:w="2351"/>
            <w:shd w:val="clear" w:color="auto" w:fill="D9E1F2"/>
          </w:tcPr>
          <w:p>
            <w:r/>
            <w:r>
              <w:rPr>
                <w:rFonts w:ascii="Calibri" w:hAnsi="Calibri"/>
                <w:b/>
                <w:sz w:val="20"/>
              </w:rPr>
              <w:t>Цель к M36</w:t>
            </w:r>
          </w:p>
        </w:tc>
        <w:tc>
          <w:tcPr>
            <w:tcW w:type="dxa" w:w="2351"/>
            <w:shd w:val="clear" w:color="auto" w:fill="D9E1F2"/>
          </w:tcPr>
          <w:p>
            <w:r/>
            <w:r>
              <w:rPr>
                <w:rFonts w:ascii="Calibri" w:hAnsi="Calibri"/>
                <w:b/>
                <w:sz w:val="20"/>
              </w:rPr>
              <w:t>Метод проверки</w:t>
            </w:r>
          </w:p>
        </w:tc>
      </w:tr>
      <w:tr>
        <w:tc>
          <w:tcPr>
            <w:tcW w:type="dxa" w:w="2351"/>
          </w:tcPr>
          <w:p>
            <w:r/>
            <w:r>
              <w:rPr>
                <w:rFonts w:ascii="Calibri" w:hAnsi="Calibri"/>
                <w:sz w:val="20"/>
              </w:rPr>
              <w:t>Научные результаты</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1</w:t>
            </w:r>
          </w:p>
        </w:tc>
        <w:tc>
          <w:tcPr>
            <w:tcW w:type="dxa" w:w="2351"/>
          </w:tcPr>
          <w:p>
            <w:r/>
            <w:r>
              <w:rPr>
                <w:rFonts w:ascii="Calibri" w:hAnsi="Calibri"/>
                <w:sz w:val="20"/>
              </w:rPr>
              <w:t>Рецензируемые публикации в журналах Q1</w:t>
            </w:r>
          </w:p>
        </w:tc>
        <w:tc>
          <w:tcPr>
            <w:tcW w:type="dxa" w:w="2351"/>
          </w:tcPr>
          <w:p>
            <w:r/>
            <w:r>
              <w:rPr>
                <w:rFonts w:ascii="Calibri" w:hAnsi="Calibri"/>
                <w:sz w:val="20"/>
              </w:rPr>
              <w:t>≥ 4</w:t>
            </w:r>
          </w:p>
        </w:tc>
        <w:tc>
          <w:tcPr>
            <w:tcW w:type="dxa" w:w="2351"/>
          </w:tcPr>
          <w:p>
            <w:r/>
            <w:r>
              <w:rPr>
                <w:rFonts w:ascii="Calibri" w:hAnsi="Calibri"/>
                <w:sz w:val="20"/>
              </w:rPr>
              <w:t>Письма о принятии от журналов</w:t>
            </w:r>
          </w:p>
        </w:tc>
      </w:tr>
      <w:tr>
        <w:tc>
          <w:tcPr>
            <w:tcW w:type="dxa" w:w="2351"/>
          </w:tcPr>
          <w:p>
            <w:r/>
            <w:r>
              <w:rPr>
                <w:rFonts w:ascii="Calibri" w:hAnsi="Calibri"/>
                <w:sz w:val="20"/>
              </w:rPr>
              <w:t>2</w:t>
            </w:r>
          </w:p>
        </w:tc>
        <w:tc>
          <w:tcPr>
            <w:tcW w:type="dxa" w:w="2351"/>
          </w:tcPr>
          <w:p>
            <w:r/>
            <w:r>
              <w:rPr>
                <w:rFonts w:ascii="Calibri" w:hAnsi="Calibri"/>
                <w:sz w:val="20"/>
              </w:rPr>
              <w:t>Препринты на bioRxiv/Zenodo (открытый доступ)</w:t>
            </w:r>
          </w:p>
        </w:tc>
        <w:tc>
          <w:tcPr>
            <w:tcW w:type="dxa" w:w="2351"/>
          </w:tcPr>
          <w:p>
            <w:r/>
            <w:r>
              <w:rPr>
                <w:rFonts w:ascii="Calibri" w:hAnsi="Calibri"/>
                <w:sz w:val="20"/>
              </w:rPr>
              <w:t>≥ 2 (М12, М24)</w:t>
            </w:r>
          </w:p>
        </w:tc>
        <w:tc>
          <w:tcPr>
            <w:tcW w:type="dxa" w:w="2351"/>
          </w:tcPr>
          <w:p>
            <w:r/>
            <w:r>
              <w:rPr>
                <w:rFonts w:ascii="Calibri" w:hAnsi="Calibri"/>
                <w:sz w:val="20"/>
              </w:rPr>
              <w:t>Назначение DOI</w:t>
            </w:r>
          </w:p>
        </w:tc>
      </w:tr>
      <w:tr>
        <w:tc>
          <w:tcPr>
            <w:tcW w:type="dxa" w:w="2351"/>
          </w:tcPr>
          <w:p>
            <w:r/>
            <w:r>
              <w:rPr>
                <w:rFonts w:ascii="Calibri" w:hAnsi="Calibri"/>
                <w:sz w:val="20"/>
              </w:rPr>
              <w:t>3</w:t>
            </w:r>
          </w:p>
        </w:tc>
        <w:tc>
          <w:tcPr>
            <w:tcW w:type="dxa" w:w="2351"/>
          </w:tcPr>
          <w:p>
            <w:r/>
            <w:r>
              <w:rPr>
                <w:rFonts w:ascii="Calibri" w:hAnsi="Calibri"/>
                <w:sz w:val="20"/>
              </w:rPr>
              <w:t>Выпуск Cell-DT v2.0 с открытым исходным кодом</w:t>
            </w:r>
          </w:p>
        </w:tc>
        <w:tc>
          <w:tcPr>
            <w:tcW w:type="dxa" w:w="2351"/>
          </w:tcPr>
          <w:p>
            <w:r/>
            <w:r>
              <w:rPr>
                <w:rFonts w:ascii="Calibri" w:hAnsi="Calibri"/>
                <w:sz w:val="20"/>
              </w:rPr>
              <w:t>1 релиз (М30)</w:t>
            </w:r>
          </w:p>
        </w:tc>
        <w:tc>
          <w:tcPr>
            <w:tcW w:type="dxa" w:w="2351"/>
          </w:tcPr>
          <w:p>
            <w:r/>
            <w:r>
              <w:rPr>
                <w:rFonts w:ascii="Calibri" w:hAnsi="Calibri"/>
                <w:sz w:val="20"/>
              </w:rPr>
              <w:t>Тег на GitHub + DOI на Zenodo</w:t>
            </w:r>
          </w:p>
        </w:tc>
      </w:tr>
      <w:tr>
        <w:tc>
          <w:tcPr>
            <w:tcW w:type="dxa" w:w="2351"/>
          </w:tcPr>
          <w:p>
            <w:r/>
            <w:r>
              <w:rPr>
                <w:rFonts w:ascii="Calibri" w:hAnsi="Calibri"/>
                <w:sz w:val="20"/>
              </w:rPr>
              <w:t>4</w:t>
            </w:r>
          </w:p>
        </w:tc>
        <w:tc>
          <w:tcPr>
            <w:tcW w:type="dxa" w:w="2351"/>
          </w:tcPr>
          <w:p>
            <w:r/>
            <w:r>
              <w:rPr>
                <w:rFonts w:ascii="Calibri" w:hAnsi="Calibri"/>
                <w:sz w:val="20"/>
              </w:rPr>
              <w:t>Пакет Python (PyPI) для Cell-DT</w:t>
            </w:r>
          </w:p>
        </w:tc>
        <w:tc>
          <w:tcPr>
            <w:tcW w:type="dxa" w:w="2351"/>
          </w:tcPr>
          <w:p>
            <w:r/>
            <w:r>
              <w:rPr>
                <w:rFonts w:ascii="Calibri" w:hAnsi="Calibri"/>
                <w:sz w:val="20"/>
              </w:rPr>
              <w:t>1 пакет</w:t>
            </w:r>
          </w:p>
        </w:tc>
        <w:tc>
          <w:tcPr>
            <w:tcW w:type="dxa" w:w="2351"/>
          </w:tcPr>
          <w:p>
            <w:r/>
            <w:r>
              <w:rPr>
                <w:rFonts w:ascii="Calibri" w:hAnsi="Calibri"/>
                <w:sz w:val="20"/>
              </w:rPr>
              <w:t>Реестр PyPI</w:t>
            </w:r>
          </w:p>
        </w:tc>
      </w:tr>
      <w:tr>
        <w:tc>
          <w:tcPr>
            <w:tcW w:type="dxa" w:w="2351"/>
          </w:tcPr>
          <w:p>
            <w:r/>
            <w:r>
              <w:rPr>
                <w:rFonts w:ascii="Calibri" w:hAnsi="Calibri"/>
                <w:sz w:val="20"/>
              </w:rPr>
              <w:t>Экспериментальная проверка</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5</w:t>
            </w:r>
          </w:p>
        </w:tc>
        <w:tc>
          <w:tcPr>
            <w:tcW w:type="dxa" w:w="2351"/>
          </w:tcPr>
          <w:p>
            <w:r/>
            <w:r>
              <w:rPr>
                <w:rFonts w:ascii="Calibri" w:hAnsi="Calibri"/>
                <w:sz w:val="20"/>
              </w:rPr>
              <w:t>Индекс CAII подтвержден на клеточных линиях</w:t>
            </w:r>
          </w:p>
        </w:tc>
        <w:tc>
          <w:tcPr>
            <w:tcW w:type="dxa" w:w="2351"/>
          </w:tcPr>
          <w:p>
            <w:r/>
            <w:r>
              <w:rPr>
                <w:rFonts w:ascii="Calibri" w:hAnsi="Calibri"/>
                <w:sz w:val="20"/>
              </w:rPr>
              <w:t>≥ 3 клеточные модели</w:t>
            </w:r>
          </w:p>
        </w:tc>
        <w:tc>
          <w:tcPr>
            <w:tcW w:type="dxa" w:w="2351"/>
          </w:tcPr>
          <w:p>
            <w:r/>
            <w:r>
              <w:rPr>
                <w:rFonts w:ascii="Calibri" w:hAnsi="Calibri"/>
                <w:sz w:val="20"/>
              </w:rPr>
              <w:t>Внутренний протокол контроля качества</w:t>
            </w:r>
          </w:p>
        </w:tc>
      </w:tr>
      <w:tr>
        <w:tc>
          <w:tcPr>
            <w:tcW w:type="dxa" w:w="2351"/>
          </w:tcPr>
          <w:p>
            <w:r/>
            <w:r>
              <w:rPr>
                <w:rFonts w:ascii="Calibri" w:hAnsi="Calibri"/>
                <w:sz w:val="20"/>
              </w:rPr>
              <w:t>6</w:t>
            </w:r>
          </w:p>
        </w:tc>
        <w:tc>
          <w:tcPr>
            <w:tcW w:type="dxa" w:w="2351"/>
          </w:tcPr>
          <w:p>
            <w:r/>
            <w:r>
              <w:rPr>
                <w:rFonts w:ascii="Calibri" w:hAnsi="Calibri"/>
                <w:sz w:val="20"/>
              </w:rPr>
              <w:t>Набор участников в когорту (WP2)</w:t>
            </w:r>
          </w:p>
        </w:tc>
        <w:tc>
          <w:tcPr>
            <w:tcW w:type="dxa" w:w="2351"/>
          </w:tcPr>
          <w:p>
            <w:r/>
            <w:r>
              <w:rPr>
                <w:rFonts w:ascii="Calibri" w:hAnsi="Calibri"/>
                <w:sz w:val="20"/>
              </w:rPr>
              <w:t>n ≥ 288</w:t>
            </w:r>
          </w:p>
        </w:tc>
        <w:tc>
          <w:tcPr>
            <w:tcW w:type="dxa" w:w="2351"/>
          </w:tcPr>
          <w:p>
            <w:r/>
            <w:r>
              <w:rPr>
                <w:rFonts w:ascii="Calibri" w:hAnsi="Calibri"/>
                <w:sz w:val="20"/>
              </w:rPr>
              <w:t>Журналы проверок IRB</w:t>
            </w:r>
          </w:p>
        </w:tc>
      </w:tr>
      <w:tr>
        <w:tc>
          <w:tcPr>
            <w:tcW w:type="dxa" w:w="2351"/>
          </w:tcPr>
          <w:p>
            <w:r/>
            <w:r>
              <w:rPr>
                <w:rFonts w:ascii="Calibri" w:hAnsi="Calibri"/>
                <w:sz w:val="20"/>
              </w:rPr>
              <w:t>7</w:t>
            </w:r>
          </w:p>
        </w:tc>
        <w:tc>
          <w:tcPr>
            <w:tcW w:type="dxa" w:w="2351"/>
          </w:tcPr>
          <w:p>
            <w:r/>
            <w:r>
              <w:rPr>
                <w:rFonts w:ascii="Calibri" w:hAnsi="Calibri"/>
                <w:sz w:val="20"/>
              </w:rPr>
              <w:t>Группа участников с двухлетним наблюдением</w:t>
            </w:r>
          </w:p>
        </w:tc>
        <w:tc>
          <w:tcPr>
            <w:tcW w:type="dxa" w:w="2351"/>
          </w:tcPr>
          <w:p>
            <w:r/>
            <w:r>
              <w:rPr>
                <w:rFonts w:ascii="Calibri" w:hAnsi="Calibri"/>
                <w:sz w:val="20"/>
              </w:rPr>
              <w:t>n ≥ 240</w:t>
            </w:r>
          </w:p>
        </w:tc>
        <w:tc>
          <w:tcPr>
            <w:tcW w:type="dxa" w:w="2351"/>
          </w:tcPr>
          <w:p>
            <w:r/>
            <w:r>
              <w:rPr>
                <w:rFonts w:ascii="Calibri" w:hAnsi="Calibri"/>
                <w:sz w:val="20"/>
              </w:rPr>
              <w:t>База данных исследования</w:t>
            </w:r>
          </w:p>
        </w:tc>
      </w:tr>
      <w:tr>
        <w:tc>
          <w:tcPr>
            <w:tcW w:type="dxa" w:w="2351"/>
          </w:tcPr>
          <w:p>
            <w:r/>
            <w:r>
              <w:rPr>
                <w:rFonts w:ascii="Calibri" w:hAnsi="Calibri"/>
                <w:sz w:val="20"/>
              </w:rPr>
              <w:t>8</w:t>
            </w:r>
          </w:p>
        </w:tc>
        <w:tc>
          <w:tcPr>
            <w:tcW w:type="dxa" w:w="2351"/>
          </w:tcPr>
          <w:p>
            <w:r/>
            <w:r>
              <w:rPr>
                <w:rFonts w:ascii="Calibri" w:hAnsi="Calibri"/>
                <w:sz w:val="20"/>
              </w:rPr>
              <w:t>Ассоциация CAII со слабостью (первичная конечная точка)</w:t>
            </w:r>
          </w:p>
        </w:tc>
        <w:tc>
          <w:tcPr>
            <w:tcW w:type="dxa" w:w="2351"/>
          </w:tcPr>
          <w:p>
            <w:r/>
            <w:r>
              <w:rPr>
                <w:rFonts w:ascii="Calibri" w:hAnsi="Calibri"/>
                <w:sz w:val="20"/>
              </w:rPr>
              <w:t>ОШ &gt; 1,8, p &lt; 0,05</w:t>
            </w:r>
          </w:p>
        </w:tc>
        <w:tc>
          <w:tcPr>
            <w:tcW w:type="dxa" w:w="2351"/>
          </w:tcPr>
          <w:p>
            <w:r/>
            <w:r>
              <w:rPr>
                <w:rFonts w:ascii="Calibri" w:hAnsi="Calibri"/>
                <w:sz w:val="20"/>
              </w:rPr>
              <w:t>Отчет статистического анализа</w:t>
            </w:r>
          </w:p>
        </w:tc>
      </w:tr>
      <w:tr>
        <w:tc>
          <w:tcPr>
            <w:tcW w:type="dxa" w:w="2351"/>
          </w:tcPr>
          <w:p>
            <w:r/>
            <w:r>
              <w:rPr>
                <w:rFonts w:ascii="Calibri" w:hAnsi="Calibri"/>
                <w:sz w:val="20"/>
              </w:rPr>
              <w:t>9</w:t>
            </w:r>
          </w:p>
        </w:tc>
        <w:tc>
          <w:tcPr>
            <w:tcW w:type="dxa" w:w="2351"/>
          </w:tcPr>
          <w:p>
            <w:r/>
            <w:r>
              <w:rPr>
                <w:rFonts w:ascii="Calibri" w:hAnsi="Calibri"/>
                <w:sz w:val="20"/>
              </w:rPr>
              <w:t>Корреляция CAII с эпигенетическими часами</w:t>
            </w:r>
          </w:p>
        </w:tc>
        <w:tc>
          <w:tcPr>
            <w:tcW w:type="dxa" w:w="2351"/>
          </w:tcPr>
          <w:p>
            <w:r/>
            <w:r>
              <w:rPr>
                <w:rFonts w:ascii="Calibri" w:hAnsi="Calibri"/>
                <w:sz w:val="20"/>
              </w:rPr>
              <w:t>r Пирсона &gt; 0,5</w:t>
            </w:r>
          </w:p>
        </w:tc>
        <w:tc>
          <w:tcPr>
            <w:tcW w:type="dxa" w:w="2351"/>
          </w:tcPr>
          <w:p>
            <w:r/>
            <w:r>
              <w:rPr>
                <w:rFonts w:ascii="Calibri" w:hAnsi="Calibri"/>
                <w:sz w:val="20"/>
              </w:rPr>
              <w:t>Отчет WP2</w:t>
            </w:r>
          </w:p>
        </w:tc>
      </w:tr>
      <w:tr>
        <w:tc>
          <w:tcPr>
            <w:tcW w:type="dxa" w:w="2351"/>
          </w:tcPr>
          <w:p>
            <w:r/>
            <w:r>
              <w:rPr>
                <w:rFonts w:ascii="Calibri" w:hAnsi="Calibri"/>
                <w:sz w:val="20"/>
              </w:rPr>
              <w:t>10</w:t>
            </w:r>
          </w:p>
        </w:tc>
        <w:tc>
          <w:tcPr>
            <w:tcW w:type="dxa" w:w="2351"/>
          </w:tcPr>
          <w:p>
            <w:r/>
            <w:r>
              <w:rPr>
                <w:rFonts w:ascii="Calibri" w:hAnsi="Calibri"/>
                <w:sz w:val="20"/>
              </w:rPr>
              <w:t>Проверка Cell-DT экспериментальными данными</w:t>
            </w:r>
          </w:p>
        </w:tc>
        <w:tc>
          <w:tcPr>
            <w:tcW w:type="dxa" w:w="2351"/>
          </w:tcPr>
          <w:p>
            <w:r/>
            <w:r>
              <w:rPr>
                <w:rFonts w:ascii="Calibri" w:hAnsi="Calibri"/>
                <w:sz w:val="20"/>
              </w:rPr>
              <w:t>r Пирсона &gt; 0,5 (с биологическими повторами; n≥6)</w:t>
            </w:r>
          </w:p>
        </w:tc>
        <w:tc>
          <w:tcPr>
            <w:tcW w:type="dxa" w:w="2351"/>
          </w:tcPr>
          <w:p>
            <w:r/>
            <w:r>
              <w:rPr>
                <w:rFonts w:ascii="Calibri" w:hAnsi="Calibri"/>
                <w:sz w:val="20"/>
              </w:rPr>
              <w:t>Технический отчет WP3</w:t>
            </w:r>
          </w:p>
        </w:tc>
      </w:tr>
      <w:tr>
        <w:tc>
          <w:tcPr>
            <w:tcW w:type="dxa" w:w="2351"/>
          </w:tcPr>
          <w:p>
            <w:r/>
            <w:r>
              <w:rPr>
                <w:rFonts w:ascii="Calibri" w:hAnsi="Calibri"/>
                <w:sz w:val="20"/>
              </w:rPr>
              <w:t>Терапевтический PoC</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11</w:t>
            </w:r>
          </w:p>
        </w:tc>
        <w:tc>
          <w:tcPr>
            <w:tcW w:type="dxa" w:w="2351"/>
          </w:tcPr>
          <w:p>
            <w:r/>
            <w:r>
              <w:rPr>
                <w:rFonts w:ascii="Calibri" w:hAnsi="Calibri"/>
                <w:sz w:val="20"/>
              </w:rPr>
              <w:t>Вмешательства CDATA протестированы in vitro</w:t>
            </w:r>
          </w:p>
        </w:tc>
        <w:tc>
          <w:tcPr>
            <w:tcW w:type="dxa" w:w="2351"/>
          </w:tcPr>
          <w:p>
            <w:r/>
            <w:r>
              <w:rPr>
                <w:rFonts w:ascii="Calibri" w:hAnsi="Calibri"/>
                <w:sz w:val="20"/>
              </w:rPr>
              <w:t>≥ 3 вмешательства</w:t>
            </w:r>
          </w:p>
        </w:tc>
        <w:tc>
          <w:tcPr>
            <w:tcW w:type="dxa" w:w="2351"/>
          </w:tcPr>
          <w:p>
            <w:r/>
            <w:r>
              <w:rPr>
                <w:rFonts w:ascii="Calibri" w:hAnsi="Calibri"/>
                <w:sz w:val="20"/>
              </w:rPr>
              <w:t>Лабораторный отчет WP4</w:t>
            </w:r>
          </w:p>
        </w:tc>
      </w:tr>
      <w:tr>
        <w:tc>
          <w:tcPr>
            <w:tcW w:type="dxa" w:w="2351"/>
          </w:tcPr>
          <w:p>
            <w:r/>
            <w:r>
              <w:rPr>
                <w:rFonts w:ascii="Calibri" w:hAnsi="Calibri"/>
                <w:sz w:val="20"/>
              </w:rPr>
              <w:t>12</w:t>
            </w:r>
          </w:p>
        </w:tc>
        <w:tc>
          <w:tcPr>
            <w:tcW w:type="dxa" w:w="2351"/>
          </w:tcPr>
          <w:p>
            <w:r/>
            <w:r>
              <w:rPr>
                <w:rFonts w:ascii="Calibri" w:hAnsi="Calibri"/>
                <w:sz w:val="20"/>
              </w:rPr>
              <w:t>Подтверждение механизма действия для ≥ 1 вмешательства CDATA</w:t>
            </w:r>
          </w:p>
        </w:tc>
        <w:tc>
          <w:tcPr>
            <w:tcW w:type="dxa" w:w="2351"/>
          </w:tcPr>
          <w:p>
            <w:r/>
            <w:r>
              <w:rPr>
                <w:rFonts w:ascii="Calibri" w:hAnsi="Calibri"/>
                <w:sz w:val="20"/>
              </w:rPr>
              <w:t>Статистически значимое снижение показателей SA-β-Gal или CAII по сравнению с контролем</w:t>
            </w:r>
          </w:p>
        </w:tc>
        <w:tc>
          <w:tcPr>
            <w:tcW w:type="dxa" w:w="2351"/>
          </w:tcPr>
          <w:p>
            <w:r/>
            <w:r>
              <w:rPr>
                <w:rFonts w:ascii="Calibri" w:hAnsi="Calibri"/>
                <w:sz w:val="20"/>
              </w:rPr>
              <w:t>Лабораторный отчет или препринт WP4</w:t>
            </w:r>
          </w:p>
        </w:tc>
      </w:tr>
      <w:tr>
        <w:tc>
          <w:tcPr>
            <w:tcW w:type="dxa" w:w="2351"/>
          </w:tcPr>
          <w:p>
            <w:r/>
            <w:r>
              <w:rPr>
                <w:rFonts w:ascii="Calibri" w:hAnsi="Calibri"/>
                <w:sz w:val="20"/>
              </w:rPr>
              <w:t>Трансляция</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13</w:t>
            </w:r>
          </w:p>
        </w:tc>
        <w:tc>
          <w:tcPr>
            <w:tcW w:type="dxa" w:w="2351"/>
          </w:tcPr>
          <w:p>
            <w:r/>
            <w:r>
              <w:rPr>
                <w:rFonts w:ascii="Calibri" w:hAnsi="Calibri"/>
                <w:sz w:val="20"/>
              </w:rPr>
              <w:t>Подана патентная заявка (анализ CAII или центросомная трансплантация)</w:t>
            </w:r>
          </w:p>
        </w:tc>
        <w:tc>
          <w:tcPr>
            <w:tcW w:type="dxa" w:w="2351"/>
          </w:tcPr>
          <w:p>
            <w:r/>
            <w:r>
              <w:rPr>
                <w:rFonts w:ascii="Calibri" w:hAnsi="Calibri"/>
                <w:sz w:val="20"/>
              </w:rPr>
              <w:t>1</w:t>
            </w:r>
          </w:p>
        </w:tc>
        <w:tc>
          <w:tcPr>
            <w:tcW w:type="dxa" w:w="2351"/>
          </w:tcPr>
          <w:p>
            <w:r/>
            <w:r>
              <w:rPr>
                <w:rFonts w:ascii="Calibri" w:hAnsi="Calibri"/>
                <w:sz w:val="20"/>
              </w:rPr>
              <w:t>Квитанция о подаче патентной заявки</w:t>
            </w:r>
          </w:p>
        </w:tc>
      </w:tr>
      <w:tr>
        <w:tc>
          <w:tcPr>
            <w:tcW w:type="dxa" w:w="2351"/>
          </w:tcPr>
          <w:p>
            <w:r/>
            <w:r>
              <w:rPr>
                <w:rFonts w:ascii="Calibri" w:hAnsi="Calibri"/>
                <w:sz w:val="20"/>
              </w:rPr>
              <w:t>14</w:t>
            </w:r>
          </w:p>
        </w:tc>
        <w:tc>
          <w:tcPr>
            <w:tcW w:type="dxa" w:w="2351"/>
          </w:tcPr>
          <w:p>
            <w:r/>
            <w:r>
              <w:rPr>
                <w:rFonts w:ascii="Calibri" w:hAnsi="Calibri"/>
                <w:sz w:val="20"/>
              </w:rPr>
              <w:t>Отраслевое партнерство / LoI на лицензирование Cell-DT</w:t>
            </w:r>
          </w:p>
        </w:tc>
        <w:tc>
          <w:tcPr>
            <w:tcW w:type="dxa" w:w="2351"/>
          </w:tcPr>
          <w:p>
            <w:r/>
            <w:r>
              <w:rPr>
                <w:rFonts w:ascii="Calibri" w:hAnsi="Calibri"/>
                <w:sz w:val="20"/>
              </w:rPr>
              <w:t>≥ 1</w:t>
            </w:r>
          </w:p>
        </w:tc>
        <w:tc>
          <w:tcPr>
            <w:tcW w:type="dxa" w:w="2351"/>
          </w:tcPr>
          <w:p>
            <w:r/>
            <w:r>
              <w:rPr>
                <w:rFonts w:ascii="Calibri" w:hAnsi="Calibri"/>
                <w:sz w:val="20"/>
              </w:rPr>
              <w:t>Подписанное письмо о намерениях</w:t>
            </w:r>
          </w:p>
        </w:tc>
      </w:tr>
      <w:tr>
        <w:tc>
          <w:tcPr>
            <w:tcW w:type="dxa" w:w="2351"/>
          </w:tcPr>
          <w:p>
            <w:r/>
            <w:r>
              <w:rPr>
                <w:rFonts w:ascii="Calibri" w:hAnsi="Calibri"/>
                <w:sz w:val="20"/>
              </w:rPr>
              <w:t>15</w:t>
            </w:r>
          </w:p>
        </w:tc>
        <w:tc>
          <w:tcPr>
            <w:tcW w:type="dxa" w:w="2351"/>
          </w:tcPr>
          <w:p>
            <w:r/>
            <w:r>
              <w:rPr>
                <w:rFonts w:ascii="Calibri" w:hAnsi="Calibri"/>
                <w:sz w:val="20"/>
              </w:rPr>
              <w:t>Конференционные презентации (международные)</w:t>
            </w:r>
          </w:p>
        </w:tc>
        <w:tc>
          <w:tcPr>
            <w:tcW w:type="dxa" w:w="2351"/>
          </w:tcPr>
          <w:p>
            <w:r/>
            <w:r>
              <w:rPr>
                <w:rFonts w:ascii="Calibri" w:hAnsi="Calibri"/>
                <w:sz w:val="20"/>
              </w:rPr>
              <w:t>≥ 6</w:t>
            </w:r>
          </w:p>
        </w:tc>
        <w:tc>
          <w:tcPr>
            <w:tcW w:type="dxa" w:w="2351"/>
          </w:tcPr>
          <w:p>
            <w:r/>
            <w:r>
              <w:rPr>
                <w:rFonts w:ascii="Calibri" w:hAnsi="Calibri"/>
                <w:sz w:val="20"/>
              </w:rPr>
              <w:t>Письма-подтверждения</w:t>
            </w:r>
          </w:p>
        </w:tc>
      </w:tr>
      <w:tr>
        <w:tc>
          <w:tcPr>
            <w:tcW w:type="dxa" w:w="2351"/>
          </w:tcPr>
          <w:p>
            <w:r/>
            <w:r>
              <w:rPr>
                <w:rFonts w:ascii="Calibri" w:hAnsi="Calibri"/>
                <w:sz w:val="20"/>
              </w:rPr>
              <w:t>Клинический трансфер</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tcPr>
          <w:p>
            <w:r/>
            <w:r>
              <w:rPr>
                <w:rFonts w:ascii="Calibri" w:hAnsi="Calibri"/>
                <w:sz w:val="20"/>
              </w:rPr>
              <w:t>16</w:t>
            </w:r>
          </w:p>
        </w:tc>
        <w:tc>
          <w:tcPr>
            <w:tcW w:type="dxa" w:w="2351"/>
          </w:tcPr>
          <w:p>
            <w:r/>
            <w:r>
              <w:rPr>
                <w:rFonts w:ascii="Calibri" w:hAnsi="Calibri"/>
                <w:sz w:val="20"/>
              </w:rPr>
              <w:t>Доказана совместимость CAII ELISA с автоматизированной платформой</w:t>
            </w:r>
          </w:p>
        </w:tc>
        <w:tc>
          <w:tcPr>
            <w:tcW w:type="dxa" w:w="2351"/>
          </w:tcPr>
          <w:p>
            <w:r/>
            <w:r>
              <w:rPr>
                <w:rFonts w:ascii="Calibri" w:hAnsi="Calibri"/>
                <w:sz w:val="20"/>
              </w:rPr>
              <w:t>Отчет о технико-экономическом обосновании (Roche Cobas или эквивалент) к M36</w:t>
            </w:r>
          </w:p>
        </w:tc>
        <w:tc>
          <w:tcPr>
            <w:tcW w:type="dxa" w:w="2351"/>
          </w:tcPr>
          <w:p>
            <w:r/>
            <w:r>
              <w:rPr>
                <w:rFonts w:ascii="Calibri" w:hAnsi="Calibri"/>
                <w:sz w:val="20"/>
              </w:rPr>
              <w:t>Отчет о технико-экономическом обосновании</w:t>
            </w:r>
          </w:p>
        </w:tc>
      </w:tr>
    </w:tbl>
    <w:p>
      <w:pPr>
        <w:pBdr>
          <w:bottom w:val="single" w:sz="6" w:space="1" w:color="auto"/>
        </w:pBdr>
        <w:spacing w:after="120"/>
      </w:pPr>
    </w:p>
    <w:p>
      <w:pPr>
        <w:spacing w:before="200" w:after="80"/>
      </w:pPr>
      <w:r>
        <w:rPr>
          <w:rFonts w:ascii="Calibri" w:hAnsi="Calibri"/>
          <w:b/>
          <w:sz w:val="24"/>
        </w:rPr>
        <w:t>2.2 Потенциальное влияние на общество и соответствие политике ЕС</w:t>
      </w:r>
    </w:p>
    <w:p>
      <w:pPr>
        <w:spacing w:before="200" w:after="80"/>
      </w:pPr>
      <w:r>
        <w:rPr>
          <w:rFonts w:ascii="Calibri" w:hAnsi="Calibri"/>
          <w:b/>
          <w:i/>
          <w:sz w:val="22"/>
        </w:rPr>
        <w:t>2.2.1 Здоровое старение: контекст политики ЕС</w:t>
      </w:r>
    </w:p>
    <w:p>
      <w:pPr>
        <w:spacing w:after="80" w:line="253" w:lineRule="exact"/>
      </w:pPr>
      <w:r>
        <w:rPr>
          <w:rFonts w:ascii="Calibri" w:hAnsi="Calibri"/>
          <w:sz w:val="22"/>
        </w:rPr>
        <w:t xml:space="preserve">Старение является основным фактором риска для всех ведущих неинфекционных заболеваний (сердечно-сосудистые заболевания, болезнь Альцгеймера, рак, диабет 2 типа, саркопения), на которые в совокупности приходится </w:t>
      </w:r>
      <w:r>
        <w:rPr>
          <w:rFonts w:ascii="Calibri" w:hAnsi="Calibri"/>
          <w:b/>
          <w:sz w:val="22"/>
        </w:rPr>
        <w:t>86% преждевременных смертей и 77% бремени болезней</w:t>
      </w:r>
      <w:r>
        <w:rPr>
          <w:rFonts w:ascii="Calibri" w:hAnsi="Calibri"/>
          <w:sz w:val="22"/>
        </w:rPr>
        <w:t xml:space="preserve"> в ЕС (ВОЗ Европа, 2023). Инициатива ЕС «Здоровье вместе» (2022–2027) уделяет особое внимание здоровому старению как стратегическому приоритету. CDATA напрямую решает эту задачу, воздействуя на предполагаемую фундаментальную молекулярную причину старения.</w:t>
      </w:r>
    </w:p>
    <w:p>
      <w:pPr>
        <w:spacing w:after="80" w:line="253" w:lineRule="exact"/>
      </w:pPr>
      <w:r>
        <w:rPr>
          <w:rFonts w:ascii="Calibri" w:hAnsi="Calibri"/>
          <w:sz w:val="22"/>
        </w:rPr>
        <w:t xml:space="preserve">Грузия, как страна, ассоциированная с ЕС с 2023 года, стремится гармонизировать свою политику в области медицинских исследований с политикой ЕС. Проект CDATA позволит получить высококачественные данные по биомаркерам для грузинской когорты (WP2), внеся вклад в </w:t>
      </w:r>
      <w:r>
        <w:rPr>
          <w:rFonts w:ascii="Calibri" w:hAnsi="Calibri"/>
          <w:b/>
          <w:sz w:val="22"/>
        </w:rPr>
        <w:t>Европейское пространство данных здравоохранения (EHDS)</w:t>
      </w:r>
      <w:r>
        <w:rPr>
          <w:rFonts w:ascii="Calibri" w:hAnsi="Calibri"/>
          <w:sz w:val="22"/>
        </w:rPr>
        <w:t xml:space="preserve"> и сделав Грузию частью европейской исследовательской инфраструктуры в области старения.</w:t>
      </w:r>
    </w:p>
    <w:p>
      <w:pPr>
        <w:spacing w:before="200" w:after="80"/>
      </w:pPr>
      <w:r>
        <w:rPr>
          <w:rFonts w:ascii="Calibri" w:hAnsi="Calibri"/>
          <w:b/>
          <w:i/>
          <w:sz w:val="22"/>
        </w:rPr>
        <w:t>2.2.2 Экономика долголетия</w:t>
      </w:r>
    </w:p>
    <w:p>
      <w:pPr>
        <w:spacing w:after="80" w:line="253" w:lineRule="exact"/>
      </w:pPr>
      <w:r>
        <w:rPr>
          <w:rFonts w:ascii="Calibri" w:hAnsi="Calibri"/>
          <w:sz w:val="22"/>
        </w:rPr>
        <w:t xml:space="preserve">Прогнозируется, что к 2030 году мировой рынок технологий здорового долголетия достигнет </w:t>
      </w:r>
      <w:r>
        <w:rPr>
          <w:rFonts w:ascii="Calibri" w:hAnsi="Calibri"/>
          <w:b/>
          <w:sz w:val="22"/>
        </w:rPr>
        <w:t>600 миллиардов долларов США</w:t>
      </w:r>
      <w:r>
        <w:rPr>
          <w:rFonts w:ascii="Calibri" w:hAnsi="Calibri"/>
          <w:sz w:val="22"/>
        </w:rPr>
        <w:t xml:space="preserve"> (AARP, 2021). Разрабатываемые в рамках CDATA технологии — диагностический тест CAII и персонализированный Cell-DT — имеют прямое отношение к этому рынку. Проект заложит научную основу для создания как минимум </w:t>
      </w:r>
      <w:r>
        <w:rPr>
          <w:rFonts w:ascii="Calibri" w:hAnsi="Calibri"/>
          <w:b/>
          <w:sz w:val="22"/>
        </w:rPr>
        <w:t>1 стартап-компании (спин-офф)</w:t>
      </w:r>
      <w:r>
        <w:rPr>
          <w:rFonts w:ascii="Calibri" w:hAnsi="Calibri"/>
          <w:sz w:val="22"/>
        </w:rPr>
        <w:t xml:space="preserve"> и обеспечит формирование интеллектуальной собственности (патентные заявки на методологию анализа CAII и протоколы CentrosomeTransplant) к M36.</w:t>
      </w:r>
    </w:p>
    <w:p>
      <w:pPr>
        <w:spacing w:before="200" w:after="80"/>
      </w:pPr>
      <w:r>
        <w:rPr>
          <w:rFonts w:ascii="Calibri" w:hAnsi="Calibri"/>
          <w:b/>
          <w:i/>
          <w:sz w:val="22"/>
        </w:rPr>
        <w:t>2.2.3 Расширение научного потенциала страны</w:t>
      </w:r>
    </w:p>
    <w:p>
      <w:pPr>
        <w:spacing w:after="80" w:line="253" w:lineRule="exact"/>
      </w:pPr>
      <w:r>
        <w:rPr>
          <w:rFonts w:ascii="Calibri" w:hAnsi="Calibri"/>
          <w:sz w:val="22"/>
        </w:rPr>
        <w:t>Грузия является страной, расширяющей свое участие в программе «Горизонт Европы». Данный проект позволит:</w:t>
      </w:r>
    </w:p>
    <w:p>
      <w:pPr>
        <w:pStyle w:val="ListBullet"/>
      </w:pPr>
      <w:r>
        <w:rPr>
          <w:rFonts w:ascii="Calibri" w:hAnsi="Calibri"/>
          <w:sz w:val="22"/>
        </w:rPr>
        <w:t xml:space="preserve">Создать </w:t>
      </w:r>
      <w:r>
        <w:rPr>
          <w:rFonts w:ascii="Calibri" w:hAnsi="Calibri"/>
          <w:b/>
          <w:sz w:val="22"/>
        </w:rPr>
        <w:t>первую в Грузии исследовательскую группу по вычислительной биологии старения</w:t>
      </w:r>
      <w:r>
        <w:rPr>
          <w:rFonts w:ascii="Calibri" w:hAnsi="Calibri"/>
          <w:sz w:val="22"/>
        </w:rPr>
        <w:t>.</w:t>
      </w:r>
    </w:p>
    <w:p>
      <w:pPr>
        <w:pStyle w:val="ListBullet"/>
      </w:pPr>
      <w:r>
        <w:rPr>
          <w:rFonts w:ascii="Calibri" w:hAnsi="Calibri"/>
          <w:sz w:val="22"/>
        </w:rPr>
        <w:t>Оснастить кафедру биомедицинской инженерии GTU (ABET) системой микроскопии сверхвысокого разрешения Leica SP8 STED (которая будет доступна и для других научных групп Грузии за пределами проекта).</w:t>
      </w:r>
    </w:p>
    <w:p>
      <w:pPr>
        <w:pStyle w:val="ListBullet"/>
      </w:pPr>
      <w:r>
        <w:rPr>
          <w:rFonts w:ascii="Calibri" w:hAnsi="Calibri"/>
          <w:sz w:val="22"/>
        </w:rPr>
        <w:t>Создать лонгитюдный биобанк образцов от пожилых жителей Грузии (n=288+) — уникальный национальный исследовательский актив.</w:t>
      </w:r>
    </w:p>
    <w:p>
      <w:pPr>
        <w:pStyle w:val="ListBullet"/>
      </w:pPr>
      <w:r>
        <w:rPr>
          <w:rFonts w:ascii="Calibri" w:hAnsi="Calibri"/>
          <w:sz w:val="22"/>
        </w:rPr>
        <w:t>Обеспечить грузинским исследователям прямой опыт управления проектами уровня «Горизонт Европы» и публикации результатов в соответствии с международными стандартами.</w:t>
      </w:r>
    </w:p>
    <w:p>
      <w:pPr>
        <w:pBdr>
          <w:bottom w:val="single" w:sz="6" w:space="1" w:color="auto"/>
        </w:pBdr>
        <w:spacing w:after="120"/>
      </w:pPr>
    </w:p>
    <w:p>
      <w:pPr>
        <w:spacing w:before="200" w:after="80"/>
      </w:pPr>
      <w:r>
        <w:rPr>
          <w:rFonts w:ascii="Calibri" w:hAnsi="Calibri"/>
          <w:b/>
          <w:sz w:val="24"/>
        </w:rPr>
        <w:t>2.3 Диссеминация, использование результатов и коммуникация</w:t>
      </w:r>
    </w:p>
    <w:p>
      <w:pPr>
        <w:spacing w:before="200" w:after="80"/>
      </w:pPr>
      <w:r>
        <w:rPr>
          <w:rFonts w:ascii="Calibri" w:hAnsi="Calibri"/>
          <w:b/>
          <w:i/>
          <w:sz w:val="22"/>
        </w:rPr>
        <w:t>2.3.1 План открытой науки и распространения результатов</w:t>
      </w:r>
    </w:p>
    <w:p>
      <w:pPr>
        <w:spacing w:after="80" w:line="253" w:lineRule="exact"/>
      </w:pPr>
      <w:r>
        <w:rPr>
          <w:rFonts w:ascii="Calibri" w:hAnsi="Calibri"/>
          <w:b/>
          <w:sz w:val="22"/>
        </w:rPr>
        <w:t>Публикации:</w:t>
      </w:r>
      <w:r>
        <w:rPr>
          <w:rFonts w:ascii="Calibri" w:hAnsi="Calibri"/>
          <w:sz w:val="22"/>
        </w:rPr>
        <w:t xml:space="preserve"> Все публикации будут находиться в открытом доступе (Gold или Green OA, если Gold недоступен). Целевые журналы:</w:t>
      </w:r>
    </w:p>
    <w:p>
      <w:pPr>
        <w:pStyle w:val="ListBullet"/>
      </w:pPr>
      <w:r>
        <w:rPr>
          <w:rFonts w:ascii="Calibri" w:hAnsi="Calibri"/>
          <w:sz w:val="22"/>
        </w:rPr>
        <w:t xml:space="preserve">Результаты WP1 → </w:t>
      </w:r>
      <w:r>
        <w:rPr>
          <w:rFonts w:ascii="Calibri" w:hAnsi="Calibri"/>
          <w:i/>
          <w:sz w:val="22"/>
        </w:rPr>
        <w:t>Aging Cell</w:t>
      </w:r>
      <w:r>
        <w:rPr>
          <w:rFonts w:ascii="Calibri" w:hAnsi="Calibri"/>
          <w:sz w:val="22"/>
        </w:rPr>
        <w:t xml:space="preserve"> (IF 9.9) или </w:t>
      </w:r>
      <w:r>
        <w:rPr>
          <w:rFonts w:ascii="Calibri" w:hAnsi="Calibri"/>
          <w:i/>
          <w:sz w:val="22"/>
        </w:rPr>
        <w:t>Journal of Cell Biology</w:t>
      </w:r>
    </w:p>
    <w:p>
      <w:pPr>
        <w:pStyle w:val="ListBullet"/>
      </w:pPr>
      <w:r>
        <w:rPr>
          <w:rFonts w:ascii="Calibri" w:hAnsi="Calibri"/>
          <w:sz w:val="22"/>
        </w:rPr>
        <w:t xml:space="preserve">Результаты WP2 → </w:t>
      </w:r>
      <w:r>
        <w:rPr>
          <w:rFonts w:ascii="Calibri" w:hAnsi="Calibri"/>
          <w:i/>
          <w:sz w:val="22"/>
        </w:rPr>
        <w:t>npj Aging</w:t>
      </w:r>
      <w:r>
        <w:rPr>
          <w:rFonts w:ascii="Calibri" w:hAnsi="Calibri"/>
          <w:sz w:val="22"/>
        </w:rPr>
        <w:t xml:space="preserve"> (Nature Portfolio)</w:t>
      </w:r>
    </w:p>
    <w:p>
      <w:pPr>
        <w:pStyle w:val="ListBullet"/>
      </w:pPr>
      <w:r>
        <w:rPr>
          <w:rFonts w:ascii="Calibri" w:hAnsi="Calibri"/>
          <w:sz w:val="22"/>
        </w:rPr>
        <w:t xml:space="preserve">Результаты WP3 по Cell-DT → </w:t>
      </w:r>
      <w:r>
        <w:rPr>
          <w:rFonts w:ascii="Calibri" w:hAnsi="Calibri"/>
          <w:i/>
          <w:sz w:val="22"/>
        </w:rPr>
        <w:t>PLOS Computational Biology</w:t>
      </w:r>
      <w:r>
        <w:rPr>
          <w:rFonts w:ascii="Calibri" w:hAnsi="Calibri"/>
          <w:sz w:val="22"/>
        </w:rPr>
        <w:t xml:space="preserve"> или </w:t>
      </w:r>
      <w:r>
        <w:rPr>
          <w:rFonts w:ascii="Calibri" w:hAnsi="Calibri"/>
          <w:i/>
          <w:sz w:val="22"/>
        </w:rPr>
        <w:t>Bioinformatics</w:t>
      </w:r>
    </w:p>
    <w:p>
      <w:pPr>
        <w:pStyle w:val="ListBullet"/>
      </w:pPr>
      <w:r>
        <w:rPr>
          <w:rFonts w:ascii="Calibri" w:hAnsi="Calibri"/>
          <w:sz w:val="22"/>
        </w:rPr>
        <w:t xml:space="preserve">Доказательство концепции терапии (WP4) → </w:t>
      </w:r>
      <w:r>
        <w:rPr>
          <w:rFonts w:ascii="Calibri" w:hAnsi="Calibri"/>
          <w:i/>
          <w:sz w:val="22"/>
        </w:rPr>
        <w:t>Nature Aging</w:t>
      </w:r>
      <w:r>
        <w:rPr>
          <w:rFonts w:ascii="Calibri" w:hAnsi="Calibri"/>
          <w:sz w:val="22"/>
        </w:rPr>
        <w:t xml:space="preserve"> (краткое сообщение)</w:t>
      </w:r>
    </w:p>
    <w:p>
      <w:pPr>
        <w:spacing w:after="80" w:line="253" w:lineRule="exact"/>
      </w:pPr>
      <w:r>
        <w:rPr>
          <w:rFonts w:ascii="Calibri" w:hAnsi="Calibri"/>
          <w:b/>
          <w:sz w:val="22"/>
        </w:rPr>
        <w:t>Препринты:</w:t>
      </w:r>
      <w:r>
        <w:rPr>
          <w:rFonts w:ascii="Calibri" w:hAnsi="Calibri"/>
          <w:sz w:val="22"/>
        </w:rPr>
        <w:t xml:space="preserve"> Размещение на bioRxiv в M1 (теория CDATA), M12 (предварительные результаты WP1) и M24 (предварительные результаты WP2) для обеспечения немедленного доступа научного сообщества.</w:t>
      </w:r>
    </w:p>
    <w:p>
      <w:pPr>
        <w:spacing w:after="80" w:line="253" w:lineRule="exact"/>
      </w:pPr>
      <w:r>
        <w:rPr>
          <w:rFonts w:ascii="Calibri" w:hAnsi="Calibri"/>
          <w:b/>
          <w:sz w:val="22"/>
        </w:rPr>
        <w:t>Код Cell-DT:</w:t>
      </w:r>
      <w:r>
        <w:rPr>
          <w:rFonts w:ascii="Calibri" w:hAnsi="Calibri"/>
          <w:sz w:val="22"/>
        </w:rPr>
        <w:t xml:space="preserve"> Открытый исходный код на GitHub (djabbat/CDATA-Longevity) под лицензией MIT. Для каждой версии будет создан DOI на Zenodo, обеспечивающий постоянную цитируемость.</w:t>
      </w:r>
    </w:p>
    <w:p>
      <w:pPr>
        <w:spacing w:before="200" w:after="80"/>
      </w:pPr>
      <w:r>
        <w:rPr>
          <w:rFonts w:ascii="Calibri" w:hAnsi="Calibri"/>
          <w:b/>
          <w:i/>
          <w:sz w:val="22"/>
        </w:rPr>
        <w:t>2.3.2 Информирование широкой общественности</w:t>
      </w:r>
    </w:p>
    <w:p>
      <w:pPr>
        <w:pStyle w:val="ListBullet"/>
      </w:pPr>
      <w:r>
        <w:rPr>
          <w:rFonts w:ascii="Calibri" w:hAnsi="Calibri"/>
          <w:b/>
          <w:sz w:val="22"/>
        </w:rPr>
        <w:t>drjaba.com</w:t>
      </w:r>
      <w:r>
        <w:rPr>
          <w:rFonts w:ascii="Calibri" w:hAnsi="Calibri"/>
          <w:sz w:val="22"/>
        </w:rPr>
        <w:t xml:space="preserve"> (существующая платформа): регулярные обновления проекта, краткие научно-популярные материалы для пациентов на 4 языках (EN/KA/RU/KZ).</w:t>
      </w:r>
    </w:p>
    <w:p>
      <w:pPr>
        <w:pStyle w:val="ListBullet"/>
      </w:pPr>
      <w:r>
        <w:rPr>
          <w:rFonts w:ascii="Calibri" w:hAnsi="Calibri"/>
          <w:b/>
          <w:sz w:val="22"/>
        </w:rPr>
        <w:t>Социальные сети:</w:t>
      </w:r>
      <w:r>
        <w:rPr>
          <w:rFonts w:ascii="Calibri" w:hAnsi="Calibri"/>
          <w:sz w:val="22"/>
        </w:rPr>
        <w:t xml:space="preserve"> структурированная коммуникационная кампания, ориентированная на сообщество сторонников долголетия.</w:t>
      </w:r>
    </w:p>
    <w:p>
      <w:pPr>
        <w:pStyle w:val="ListBullet"/>
      </w:pPr>
      <w:r>
        <w:rPr>
          <w:rFonts w:ascii="Calibri" w:hAnsi="Calibri"/>
          <w:b/>
          <w:sz w:val="22"/>
        </w:rPr>
        <w:t>Книга:</w:t>
      </w:r>
      <w:r>
        <w:rPr>
          <w:rFonts w:ascii="Calibri" w:hAnsi="Calibri"/>
          <w:sz w:val="22"/>
        </w:rPr>
        <w:t xml:space="preserve"> </w:t>
      </w:r>
      <w:r>
        <w:rPr>
          <w:rFonts w:ascii="Calibri" w:hAnsi="Calibri"/>
          <w:i/>
          <w:sz w:val="22"/>
        </w:rPr>
        <w:t>Медицина поколений</w:t>
      </w:r>
      <w:r>
        <w:rPr>
          <w:rFonts w:ascii="Calibri" w:hAnsi="Calibri"/>
          <w:sz w:val="22"/>
        </w:rPr>
        <w:t xml:space="preserve"> (Джаба Ткемаладзе) — перевод на EN/KA/KZ — будет использоваться как инструмент научной коммуникации с обществом.</w:t>
      </w:r>
    </w:p>
    <w:p>
      <w:pPr>
        <w:spacing w:before="200" w:after="80"/>
      </w:pPr>
      <w:r>
        <w:rPr>
          <w:rFonts w:ascii="Calibri" w:hAnsi="Calibri"/>
          <w:b/>
          <w:i/>
          <w:sz w:val="22"/>
        </w:rPr>
        <w:t>2.3.3 Использование результатов и интеллектуальная собственность</w:t>
      </w:r>
    </w:p>
    <w:p>
      <w:pPr>
        <w:spacing w:after="80" w:line="253" w:lineRule="exact"/>
      </w:pPr>
      <w:r>
        <w:rPr>
          <w:rFonts w:ascii="Calibri" w:hAnsi="Calibri"/>
          <w:b/>
          <w:sz w:val="22"/>
        </w:rPr>
        <w:t>План управления данными (DMP)</w:t>
      </w:r>
      <w:r>
        <w:rPr>
          <w:rFonts w:ascii="Calibri" w:hAnsi="Calibri"/>
          <w:sz w:val="22"/>
        </w:rPr>
        <w:t xml:space="preserve"> будет разработан к M3 и обновлен на M18. Ключевые элементы интеллектуальной собственности:</w:t>
      </w:r>
    </w:p>
    <w:p>
      <w:pPr>
        <w:pStyle w:val="ListBullet"/>
      </w:pPr>
      <w:r>
        <w:rPr>
          <w:rFonts w:ascii="Calibri" w:hAnsi="Calibri"/>
          <w:sz w:val="22"/>
        </w:rPr>
        <w:t xml:space="preserve">Протокол анализа </w:t>
      </w:r>
      <w:r>
        <w:rPr>
          <w:rFonts w:ascii="Calibri" w:hAnsi="Calibri"/>
          <w:b/>
          <w:sz w:val="22"/>
        </w:rPr>
        <w:t>CAII</w:t>
      </w:r>
      <w:r>
        <w:rPr>
          <w:rFonts w:ascii="Calibri" w:hAnsi="Calibri"/>
          <w:sz w:val="22"/>
        </w:rPr>
        <w:t xml:space="preserve">: подача патентной заявки нацелена на M18 (после первоначальной валидации в </w:t>
      </w:r>
      <w:r>
        <w:rPr>
          <w:rFonts w:ascii="Calibri" w:hAnsi="Calibri"/>
          <w:b/>
          <w:sz w:val="22"/>
        </w:rPr>
        <w:t>WP1</w:t>
      </w:r>
      <w:r>
        <w:rPr>
          <w:rFonts w:ascii="Calibri" w:hAnsi="Calibri"/>
          <w:sz w:val="22"/>
        </w:rPr>
        <w:t>).</w:t>
      </w:r>
    </w:p>
    <w:p>
      <w:pPr>
        <w:pStyle w:val="ListBullet"/>
      </w:pPr>
      <w:r>
        <w:rPr>
          <w:rFonts w:ascii="Calibri" w:hAnsi="Calibri"/>
          <w:sz w:val="22"/>
        </w:rPr>
        <w:t xml:space="preserve">Метод </w:t>
      </w:r>
      <w:r>
        <w:rPr>
          <w:rFonts w:ascii="Calibri" w:hAnsi="Calibri"/>
          <w:b/>
          <w:sz w:val="22"/>
        </w:rPr>
        <w:t>CentrosomeTransplant</w:t>
      </w:r>
      <w:r>
        <w:rPr>
          <w:rFonts w:ascii="Calibri" w:hAnsi="Calibri"/>
          <w:sz w:val="22"/>
        </w:rPr>
        <w:t xml:space="preserve">: предварительная патентная заявка на M24 (после </w:t>
      </w:r>
      <w:r>
        <w:rPr>
          <w:rFonts w:ascii="Calibri" w:hAnsi="Calibri"/>
          <w:b/>
          <w:sz w:val="22"/>
        </w:rPr>
        <w:t>PoC</w:t>
      </w:r>
      <w:r>
        <w:rPr>
          <w:rFonts w:ascii="Calibri" w:hAnsi="Calibri"/>
          <w:sz w:val="22"/>
        </w:rPr>
        <w:t xml:space="preserve"> в </w:t>
      </w:r>
      <w:r>
        <w:rPr>
          <w:rFonts w:ascii="Calibri" w:hAnsi="Calibri"/>
          <w:b/>
          <w:sz w:val="22"/>
        </w:rPr>
        <w:t>WP4</w:t>
      </w:r>
      <w:r>
        <w:rPr>
          <w:rFonts w:ascii="Calibri" w:hAnsi="Calibri"/>
          <w:sz w:val="22"/>
        </w:rPr>
        <w:t>).</w:t>
      </w:r>
    </w:p>
    <w:p>
      <w:pPr>
        <w:pStyle w:val="ListBullet"/>
      </w:pPr>
      <w:r>
        <w:rPr>
          <w:rFonts w:ascii="Calibri" w:hAnsi="Calibri"/>
          <w:sz w:val="22"/>
        </w:rPr>
        <w:t xml:space="preserve">Программное обеспечение </w:t>
      </w:r>
      <w:r>
        <w:rPr>
          <w:rFonts w:ascii="Calibri" w:hAnsi="Calibri"/>
          <w:b/>
          <w:sz w:val="22"/>
        </w:rPr>
        <w:t>Cell-DT</w:t>
      </w:r>
      <w:r>
        <w:rPr>
          <w:rFonts w:ascii="Calibri" w:hAnsi="Calibri"/>
          <w:sz w:val="22"/>
        </w:rPr>
        <w:t xml:space="preserve">: лицензия с открытым исходным кодом </w:t>
      </w:r>
      <w:r>
        <w:rPr>
          <w:rFonts w:ascii="Calibri" w:hAnsi="Calibri"/>
          <w:b/>
          <w:sz w:val="22"/>
        </w:rPr>
        <w:t>MIT</w:t>
      </w:r>
      <w:r>
        <w:rPr>
          <w:rFonts w:ascii="Calibri" w:hAnsi="Calibri"/>
          <w:sz w:val="22"/>
        </w:rPr>
        <w:t>; коммерческое лицензирование доступно по модели двойной лицензии для патентованных фармацевтических приложений.</w:t>
      </w:r>
    </w:p>
    <w:p>
      <w:pPr>
        <w:spacing w:after="80" w:line="253" w:lineRule="exact"/>
      </w:pPr>
      <w:r>
        <w:rPr>
          <w:rFonts w:ascii="Calibri" w:hAnsi="Calibri"/>
          <w:b/>
          <w:sz w:val="22"/>
        </w:rPr>
        <w:t>План эксплуатации:</w:t>
      </w:r>
    </w:p>
    <w:p>
      <w:pPr>
        <w:pStyle w:val="ListBullet"/>
      </w:pPr>
      <w:r>
        <w:rPr>
          <w:rFonts w:ascii="Calibri" w:hAnsi="Calibri"/>
          <w:b/>
          <w:sz w:val="22"/>
        </w:rPr>
        <w:t>M1–M18</w:t>
      </w:r>
      <w:r>
        <w:rPr>
          <w:rFonts w:ascii="Calibri" w:hAnsi="Calibri"/>
          <w:sz w:val="22"/>
        </w:rPr>
        <w:t xml:space="preserve">: Научная валидация, идентификация </w:t>
      </w:r>
      <w:r>
        <w:rPr>
          <w:rFonts w:ascii="Calibri" w:hAnsi="Calibri"/>
          <w:b/>
          <w:sz w:val="22"/>
        </w:rPr>
        <w:t>IP</w:t>
      </w:r>
      <w:r>
        <w:rPr>
          <w:rFonts w:ascii="Calibri" w:hAnsi="Calibri"/>
          <w:sz w:val="22"/>
        </w:rPr>
        <w:t>.</w:t>
      </w:r>
    </w:p>
    <w:p>
      <w:pPr>
        <w:pStyle w:val="ListBullet"/>
      </w:pPr>
      <w:r>
        <w:rPr>
          <w:rFonts w:ascii="Calibri" w:hAnsi="Calibri"/>
          <w:b/>
          <w:sz w:val="22"/>
        </w:rPr>
        <w:t>M18–M30</w:t>
      </w:r>
      <w:r>
        <w:rPr>
          <w:rFonts w:ascii="Calibri" w:hAnsi="Calibri"/>
          <w:sz w:val="22"/>
        </w:rPr>
        <w:t xml:space="preserve">: Привлечение отраслевых партнеров (биотехнологии долголетия), переговоры о </w:t>
      </w:r>
      <w:r>
        <w:rPr>
          <w:rFonts w:ascii="Calibri" w:hAnsi="Calibri"/>
          <w:b/>
          <w:sz w:val="22"/>
        </w:rPr>
        <w:t>LoI</w:t>
      </w:r>
      <w:r>
        <w:rPr>
          <w:rFonts w:ascii="Calibri" w:hAnsi="Calibri"/>
          <w:sz w:val="22"/>
        </w:rPr>
        <w:t>.</w:t>
      </w:r>
    </w:p>
    <w:p>
      <w:pPr>
        <w:pStyle w:val="ListBullet"/>
      </w:pPr>
      <w:r>
        <w:rPr>
          <w:rFonts w:ascii="Calibri" w:hAnsi="Calibri"/>
          <w:b/>
          <w:sz w:val="22"/>
        </w:rPr>
        <w:t>M30–M36</w:t>
      </w:r>
      <w:r>
        <w:rPr>
          <w:rFonts w:ascii="Calibri" w:hAnsi="Calibri"/>
          <w:sz w:val="22"/>
        </w:rPr>
        <w:t xml:space="preserve">: Определение объема для создания спин-оффа; подготовка заявки на переход в </w:t>
      </w:r>
      <w:r>
        <w:rPr>
          <w:rFonts w:ascii="Calibri" w:hAnsi="Calibri"/>
          <w:b/>
          <w:sz w:val="22"/>
        </w:rPr>
        <w:t>EIC</w:t>
      </w:r>
      <w:r>
        <w:rPr>
          <w:rFonts w:ascii="Calibri" w:hAnsi="Calibri"/>
          <w:sz w:val="22"/>
        </w:rPr>
        <w:t>.</w:t>
      </w:r>
    </w:p>
    <w:p>
      <w:pPr>
        <w:spacing w:after="80" w:line="253" w:lineRule="exact"/>
      </w:pPr>
      <w:r>
        <w:rPr>
          <w:rFonts w:ascii="Calibri" w:hAnsi="Calibri"/>
          <w:b/>
          <w:sz w:val="22"/>
        </w:rPr>
        <w:t>Путь клинической трансляции анализа CAII:</w:t>
      </w:r>
      <w:r>
        <w:rPr>
          <w:rFonts w:ascii="Calibri" w:hAnsi="Calibri"/>
          <w:sz w:val="22"/>
        </w:rPr>
        <w:t xml:space="preserve"> Анализ </w:t>
      </w:r>
      <w:r>
        <w:rPr>
          <w:rFonts w:ascii="Calibri" w:hAnsi="Calibri"/>
          <w:b/>
          <w:sz w:val="22"/>
        </w:rPr>
        <w:t>CAII ELISA</w:t>
      </w:r>
      <w:r>
        <w:rPr>
          <w:rFonts w:ascii="Calibri" w:hAnsi="Calibri"/>
          <w:sz w:val="22"/>
        </w:rPr>
        <w:t xml:space="preserve"> (разработанный в </w:t>
      </w:r>
      <w:r>
        <w:rPr>
          <w:rFonts w:ascii="Calibri" w:hAnsi="Calibri"/>
          <w:b/>
          <w:sz w:val="22"/>
        </w:rPr>
        <w:t>WP1, T1.5</w:t>
      </w:r>
      <w:r>
        <w:rPr>
          <w:rFonts w:ascii="Calibri" w:hAnsi="Calibri"/>
          <w:sz w:val="22"/>
        </w:rPr>
        <w:t xml:space="preserve">) будет валидирован в </w:t>
      </w:r>
      <w:r>
        <w:rPr>
          <w:rFonts w:ascii="Calibri" w:hAnsi="Calibri"/>
          <w:b/>
          <w:sz w:val="22"/>
        </w:rPr>
        <w:t>WP2</w:t>
      </w:r>
      <w:r>
        <w:rPr>
          <w:rFonts w:ascii="Calibri" w:hAnsi="Calibri"/>
          <w:sz w:val="22"/>
        </w:rPr>
        <w:t xml:space="preserve"> на образцах человеческой крови. В </w:t>
      </w:r>
      <w:r>
        <w:rPr>
          <w:rFonts w:ascii="Calibri" w:hAnsi="Calibri"/>
          <w:b/>
          <w:sz w:val="22"/>
        </w:rPr>
        <w:t>M30–M36</w:t>
      </w:r>
      <w:r>
        <w:rPr>
          <w:rFonts w:ascii="Calibri" w:hAnsi="Calibri"/>
          <w:sz w:val="22"/>
        </w:rPr>
        <w:t xml:space="preserve"> совместимость </w:t>
      </w:r>
      <w:r>
        <w:rPr>
          <w:rFonts w:ascii="Calibri" w:hAnsi="Calibri"/>
          <w:b/>
          <w:sz w:val="22"/>
        </w:rPr>
        <w:t>CAII ELISA</w:t>
      </w:r>
      <w:r>
        <w:rPr>
          <w:rFonts w:ascii="Calibri" w:hAnsi="Calibri"/>
          <w:sz w:val="22"/>
        </w:rPr>
        <w:t xml:space="preserve"> с автоматическим анализатором клинической химии (целевая платформа: Roche Cobas или эквивалент) будет оценена в сотрудничестве с партнером в сфере диагностики (определенным через работу с промышленностью в </w:t>
      </w:r>
      <w:r>
        <w:rPr>
          <w:rFonts w:ascii="Calibri" w:hAnsi="Calibri"/>
          <w:b/>
          <w:sz w:val="22"/>
        </w:rPr>
        <w:t>WP4</w:t>
      </w:r>
      <w:r>
        <w:rPr>
          <w:rFonts w:ascii="Calibri" w:hAnsi="Calibri"/>
          <w:sz w:val="22"/>
        </w:rPr>
        <w:t xml:space="preserve">). Этот шаг призван продемонстрировать нормативную и техническую осуществимость </w:t>
      </w:r>
      <w:r>
        <w:rPr>
          <w:rFonts w:ascii="Calibri" w:hAnsi="Calibri"/>
          <w:b/>
          <w:sz w:val="22"/>
        </w:rPr>
        <w:t>CAII</w:t>
      </w:r>
      <w:r>
        <w:rPr>
          <w:rFonts w:ascii="Calibri" w:hAnsi="Calibri"/>
          <w:sz w:val="22"/>
        </w:rPr>
        <w:t xml:space="preserve"> в качестве рутинного клинического анализа крови, подготавливая почву для постпроектной разработки </w:t>
      </w:r>
      <w:r>
        <w:rPr>
          <w:rFonts w:ascii="Calibri" w:hAnsi="Calibri"/>
          <w:b/>
          <w:sz w:val="22"/>
        </w:rPr>
        <w:t>IVD</w:t>
      </w:r>
      <w:r>
        <w:rPr>
          <w:rFonts w:ascii="Calibri" w:hAnsi="Calibri"/>
          <w:sz w:val="22"/>
        </w:rPr>
        <w:t xml:space="preserve"> (диагностики </w:t>
      </w:r>
      <w:r>
        <w:rPr>
          <w:rFonts w:ascii="Calibri" w:hAnsi="Calibri"/>
          <w:i/>
          <w:sz w:val="22"/>
        </w:rPr>
        <w:t>in vitro</w:t>
      </w:r>
      <w:r>
        <w:rPr>
          <w:rFonts w:ascii="Calibri" w:hAnsi="Calibri"/>
          <w:sz w:val="22"/>
        </w:rPr>
        <w:t>).</w:t>
      </w:r>
    </w:p>
    <w:p>
      <w:pPr>
        <w:spacing w:before="200" w:after="80"/>
      </w:pPr>
      <w:r>
        <w:rPr>
          <w:rFonts w:ascii="Calibri" w:hAnsi="Calibri"/>
          <w:b/>
          <w:i/>
          <w:sz w:val="22"/>
        </w:rPr>
        <w:t>2.3.4 Краткое описание воздействия</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9E1F2"/>
          </w:tcPr>
          <w:p>
            <w:r/>
            <w:r>
              <w:rPr>
                <w:rFonts w:ascii="Calibri" w:hAnsi="Calibri"/>
                <w:b/>
                <w:sz w:val="20"/>
              </w:rPr>
              <w:t>Категория воздействия</w:t>
            </w:r>
          </w:p>
        </w:tc>
        <w:tc>
          <w:tcPr>
            <w:tcW w:type="dxa" w:w="3135"/>
            <w:shd w:val="clear" w:color="auto" w:fill="D9E1F2"/>
          </w:tcPr>
          <w:p>
            <w:r/>
            <w:r>
              <w:rPr>
                <w:rFonts w:ascii="Calibri" w:hAnsi="Calibri"/>
                <w:b/>
                <w:sz w:val="20"/>
              </w:rPr>
              <w:t>Цель</w:t>
            </w:r>
          </w:p>
        </w:tc>
        <w:tc>
          <w:tcPr>
            <w:tcW w:type="dxa" w:w="3135"/>
            <w:shd w:val="clear" w:color="auto" w:fill="D9E1F2"/>
          </w:tcPr>
          <w:p>
            <w:r/>
            <w:r>
              <w:rPr>
                <w:rFonts w:ascii="Calibri" w:hAnsi="Calibri"/>
                <w:b/>
                <w:sz w:val="20"/>
              </w:rPr>
              <w:t>Индикатор</w:t>
            </w:r>
          </w:p>
        </w:tc>
      </w:tr>
      <w:tr>
        <w:tc>
          <w:tcPr>
            <w:tcW w:type="dxa" w:w="3135"/>
          </w:tcPr>
          <w:p>
            <w:r/>
            <w:r>
              <w:rPr>
                <w:rFonts w:ascii="Calibri" w:hAnsi="Calibri"/>
                <w:sz w:val="20"/>
              </w:rPr>
              <w:t>Научное воздействие</w:t>
            </w:r>
          </w:p>
        </w:tc>
        <w:tc>
          <w:tcPr>
            <w:tcW w:type="dxa" w:w="3135"/>
          </w:tcPr>
          <w:p>
            <w:r/>
            <w:r>
              <w:rPr>
                <w:rFonts w:ascii="Calibri" w:hAnsi="Calibri"/>
                <w:sz w:val="20"/>
              </w:rPr>
              <w:t>4+ публикаций в журналах Q1</w:t>
            </w:r>
          </w:p>
        </w:tc>
        <w:tc>
          <w:tcPr>
            <w:tcW w:type="dxa" w:w="3135"/>
          </w:tcPr>
          <w:p>
            <w:r/>
            <w:r>
              <w:rPr>
                <w:rFonts w:ascii="Calibri" w:hAnsi="Calibri"/>
                <w:sz w:val="20"/>
              </w:rPr>
              <w:t>Принятие к публикации</w:t>
            </w:r>
          </w:p>
        </w:tc>
      </w:tr>
      <w:tr>
        <w:tc>
          <w:tcPr>
            <w:tcW w:type="dxa" w:w="3135"/>
          </w:tcPr>
          <w:p>
            <w:r/>
            <w:r>
              <w:rPr>
                <w:rFonts w:ascii="Calibri" w:hAnsi="Calibri"/>
                <w:sz w:val="20"/>
              </w:rPr>
              <w:t>Новая диагностика</w:t>
            </w:r>
          </w:p>
        </w:tc>
        <w:tc>
          <w:tcPr>
            <w:tcW w:type="dxa" w:w="3135"/>
          </w:tcPr>
          <w:p>
            <w:r/>
            <w:r>
              <w:rPr>
                <w:rFonts w:ascii="Calibri" w:hAnsi="Calibri"/>
                <w:sz w:val="20"/>
              </w:rPr>
              <w:t>Анализ крови CAII валидирован</w:t>
            </w:r>
          </w:p>
        </w:tc>
        <w:tc>
          <w:tcPr>
            <w:tcW w:type="dxa" w:w="3135"/>
          </w:tcPr>
          <w:p>
            <w:r/>
            <w:r>
              <w:rPr>
                <w:rFonts w:ascii="Calibri" w:hAnsi="Calibri"/>
                <w:sz w:val="20"/>
              </w:rPr>
              <w:t>Основная конечная точка WP2</w:t>
            </w:r>
          </w:p>
        </w:tc>
      </w:tr>
      <w:tr>
        <w:tc>
          <w:tcPr>
            <w:tcW w:type="dxa" w:w="3135"/>
          </w:tcPr>
          <w:p>
            <w:r/>
            <w:r>
              <w:rPr>
                <w:rFonts w:ascii="Calibri" w:hAnsi="Calibri"/>
                <w:sz w:val="20"/>
              </w:rPr>
              <w:t>Новая концепция терапии</w:t>
            </w:r>
          </w:p>
        </w:tc>
        <w:tc>
          <w:tcPr>
            <w:tcW w:type="dxa" w:w="3135"/>
          </w:tcPr>
          <w:p>
            <w:r/>
            <w:r>
              <w:rPr>
                <w:rFonts w:ascii="Calibri" w:hAnsi="Calibri"/>
                <w:sz w:val="20"/>
              </w:rPr>
              <w:t>CentrosomeTransplant PoC</w:t>
            </w:r>
          </w:p>
        </w:tc>
        <w:tc>
          <w:tcPr>
            <w:tcW w:type="dxa" w:w="3135"/>
          </w:tcPr>
          <w:p>
            <w:r/>
            <w:r>
              <w:rPr>
                <w:rFonts w:ascii="Calibri" w:hAnsi="Calibri"/>
                <w:sz w:val="20"/>
              </w:rPr>
              <w:t>Данные in vitro из WP4</w:t>
            </w:r>
          </w:p>
        </w:tc>
      </w:tr>
      <w:tr>
        <w:tc>
          <w:tcPr>
            <w:tcW w:type="dxa" w:w="3135"/>
          </w:tcPr>
          <w:p>
            <w:r/>
            <w:r>
              <w:rPr>
                <w:rFonts w:ascii="Calibri" w:hAnsi="Calibri"/>
                <w:sz w:val="20"/>
              </w:rPr>
              <w:t>Цифровая платформа</w:t>
            </w:r>
          </w:p>
        </w:tc>
        <w:tc>
          <w:tcPr>
            <w:tcW w:type="dxa" w:w="3135"/>
          </w:tcPr>
          <w:p>
            <w:r/>
            <w:r>
              <w:rPr>
                <w:rFonts w:ascii="Calibri" w:hAnsi="Calibri"/>
                <w:sz w:val="20"/>
              </w:rPr>
              <w:t>Cell-DT v2.0 (с открытым исходным кодом)</w:t>
            </w:r>
          </w:p>
        </w:tc>
        <w:tc>
          <w:tcPr>
            <w:tcW w:type="dxa" w:w="3135"/>
          </w:tcPr>
          <w:p>
            <w:r/>
            <w:r>
              <w:rPr>
                <w:rFonts w:ascii="Calibri" w:hAnsi="Calibri"/>
                <w:sz w:val="20"/>
              </w:rPr>
              <w:t>Релиз на GitHub + DOI на Zenodo</w:t>
            </w:r>
          </w:p>
        </w:tc>
      </w:tr>
      <w:tr>
        <w:tc>
          <w:tcPr>
            <w:tcW w:type="dxa" w:w="3135"/>
          </w:tcPr>
          <w:p>
            <w:r/>
            <w:r>
              <w:rPr>
                <w:rFonts w:ascii="Calibri" w:hAnsi="Calibri"/>
                <w:sz w:val="20"/>
              </w:rPr>
              <w:t>Мощности Грузии</w:t>
            </w:r>
          </w:p>
        </w:tc>
        <w:tc>
          <w:tcPr>
            <w:tcW w:type="dxa" w:w="3135"/>
          </w:tcPr>
          <w:p>
            <w:r/>
            <w:r>
              <w:rPr>
                <w:rFonts w:ascii="Calibri" w:hAnsi="Calibri"/>
                <w:sz w:val="20"/>
              </w:rPr>
              <w:t>Биобанк n=288, конфокальный микроскоп STED в GTU</w:t>
            </w:r>
          </w:p>
        </w:tc>
        <w:tc>
          <w:tcPr>
            <w:tcW w:type="dxa" w:w="3135"/>
          </w:tcPr>
          <w:p>
            <w:r/>
            <w:r>
              <w:rPr>
                <w:rFonts w:ascii="Calibri" w:hAnsi="Calibri"/>
                <w:sz w:val="20"/>
              </w:rPr>
              <w:t>Регистрация в WP2; поставка оборудования</w:t>
            </w:r>
          </w:p>
        </w:tc>
      </w:tr>
      <w:tr>
        <w:tc>
          <w:tcPr>
            <w:tcW w:type="dxa" w:w="3135"/>
          </w:tcPr>
          <w:p>
            <w:r/>
            <w:r>
              <w:rPr>
                <w:rFonts w:ascii="Calibri" w:hAnsi="Calibri"/>
                <w:sz w:val="20"/>
              </w:rPr>
              <w:t>Интеллектуальная собственность</w:t>
            </w:r>
          </w:p>
        </w:tc>
        <w:tc>
          <w:tcPr>
            <w:tcW w:type="dxa" w:w="3135"/>
          </w:tcPr>
          <w:p>
            <w:r/>
            <w:r>
              <w:rPr>
                <w:rFonts w:ascii="Calibri" w:hAnsi="Calibri"/>
                <w:sz w:val="20"/>
              </w:rPr>
              <w:t>1–2 патентные заявки</w:t>
            </w:r>
          </w:p>
        </w:tc>
        <w:tc>
          <w:tcPr>
            <w:tcW w:type="dxa" w:w="3135"/>
          </w:tcPr>
          <w:p>
            <w:r/>
            <w:r>
              <w:rPr>
                <w:rFonts w:ascii="Calibri" w:hAnsi="Calibri"/>
                <w:sz w:val="20"/>
              </w:rPr>
              <w:t>Подтверждение подачи</w:t>
            </w:r>
          </w:p>
        </w:tc>
      </w:tr>
      <w:tr>
        <w:tc>
          <w:tcPr>
            <w:tcW w:type="dxa" w:w="3135"/>
          </w:tcPr>
          <w:p>
            <w:r/>
            <w:r>
              <w:rPr>
                <w:rFonts w:ascii="Calibri" w:hAnsi="Calibri"/>
                <w:sz w:val="20"/>
              </w:rPr>
              <w:t>Перевод</w:t>
            </w:r>
          </w:p>
        </w:tc>
        <w:tc>
          <w:tcPr>
            <w:tcW w:type="dxa" w:w="3135"/>
          </w:tcPr>
          <w:p>
            <w:r/>
            <w:r>
              <w:rPr>
                <w:rFonts w:ascii="Calibri" w:hAnsi="Calibri"/>
                <w:sz w:val="20"/>
              </w:rPr>
              <w:t>Соглашение о сотрудничестве с промышленностью</w:t>
            </w:r>
          </w:p>
        </w:tc>
        <w:tc>
          <w:tcPr>
            <w:tcW w:type="dxa" w:w="3135"/>
          </w:tcPr>
          <w:p>
            <w:r/>
            <w:r>
              <w:rPr>
                <w:rFonts w:ascii="Calibri" w:hAnsi="Calibri"/>
                <w:sz w:val="20"/>
              </w:rPr>
              <w:t>Подписанный документ</w:t>
            </w:r>
          </w:p>
        </w:tc>
      </w:tr>
    </w:tbl>
    <w:p>
      <w:pPr>
        <w:pBdr>
          <w:bottom w:val="single" w:sz="6" w:space="1" w:color="auto"/>
        </w:pBdr>
        <w:spacing w:after="120"/>
      </w:pPr>
    </w:p>
    <w:p>
      <w:pPr>
        <w:spacing w:before="200" w:after="80"/>
      </w:pPr>
      <w:r>
        <w:rPr>
          <w:rFonts w:ascii="Calibri" w:hAnsi="Calibri"/>
          <w:b/>
          <w:sz w:val="28"/>
        </w:rPr>
        <w:t>3. Качество и эффективность внедрения</w:t>
      </w:r>
    </w:p>
    <w:p>
      <w:pPr>
        <w:spacing w:before="200" w:after="80"/>
      </w:pPr>
      <w:r>
        <w:rPr>
          <w:rFonts w:ascii="Calibri" w:hAnsi="Calibri"/>
          <w:b/>
          <w:sz w:val="24"/>
        </w:rPr>
        <w:t>3.1 План работы и ресурсы</w:t>
      </w:r>
    </w:p>
    <w:p>
      <w:pPr>
        <w:spacing w:before="200" w:after="80"/>
      </w:pPr>
      <w:r>
        <w:rPr>
          <w:rFonts w:ascii="Calibri" w:hAnsi="Calibri"/>
          <w:b/>
          <w:i/>
          <w:sz w:val="22"/>
        </w:rPr>
        <w:t>Таблица 3.1a: Список рабочих пакетов</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r/>
            <w:r>
              <w:rPr>
                <w:rFonts w:ascii="Calibri" w:hAnsi="Calibri"/>
                <w:b/>
                <w:sz w:val="20"/>
              </w:rPr>
              <w:t>WP</w:t>
            </w:r>
          </w:p>
        </w:tc>
        <w:tc>
          <w:tcPr>
            <w:tcW w:type="dxa" w:w="1568"/>
            <w:shd w:val="clear" w:color="auto" w:fill="D9E1F2"/>
          </w:tcPr>
          <w:p>
            <w:r/>
            <w:r>
              <w:rPr>
                <w:rFonts w:ascii="Calibri" w:hAnsi="Calibri"/>
                <w:b/>
                <w:sz w:val="20"/>
              </w:rPr>
              <w:t>Название</w:t>
            </w:r>
          </w:p>
        </w:tc>
        <w:tc>
          <w:tcPr>
            <w:tcW w:type="dxa" w:w="1568"/>
            <w:shd w:val="clear" w:color="auto" w:fill="D9E1F2"/>
          </w:tcPr>
          <w:p>
            <w:r/>
            <w:r>
              <w:rPr>
                <w:rFonts w:ascii="Calibri" w:hAnsi="Calibri"/>
                <w:b/>
                <w:sz w:val="20"/>
              </w:rPr>
              <w:t>Ведущий</w:t>
            </w:r>
          </w:p>
        </w:tc>
        <w:tc>
          <w:tcPr>
            <w:tcW w:type="dxa" w:w="1568"/>
            <w:shd w:val="clear" w:color="auto" w:fill="D9E1F2"/>
          </w:tcPr>
          <w:p>
            <w:r/>
            <w:r>
              <w:rPr>
                <w:rFonts w:ascii="Calibri" w:hAnsi="Calibri"/>
                <w:b/>
                <w:sz w:val="20"/>
              </w:rPr>
              <w:t>Начало</w:t>
            </w:r>
          </w:p>
        </w:tc>
        <w:tc>
          <w:tcPr>
            <w:tcW w:type="dxa" w:w="1568"/>
            <w:shd w:val="clear" w:color="auto" w:fill="D9E1F2"/>
          </w:tcPr>
          <w:p>
            <w:r/>
            <w:r>
              <w:rPr>
                <w:rFonts w:ascii="Calibri" w:hAnsi="Calibri"/>
                <w:b/>
                <w:sz w:val="20"/>
              </w:rPr>
              <w:t>Конец</w:t>
            </w:r>
          </w:p>
        </w:tc>
        <w:tc>
          <w:tcPr>
            <w:tcW w:type="dxa" w:w="1568"/>
            <w:shd w:val="clear" w:color="auto" w:fill="D9E1F2"/>
          </w:tcPr>
          <w:p>
            <w:r/>
            <w:r>
              <w:rPr>
                <w:rFonts w:ascii="Calibri" w:hAnsi="Calibri"/>
                <w:b/>
                <w:sz w:val="20"/>
              </w:rPr>
              <w:t>Бюджет (прямой)</w:t>
            </w:r>
          </w:p>
        </w:tc>
      </w:tr>
      <w:tr>
        <w:tc>
          <w:tcPr>
            <w:tcW w:type="dxa" w:w="1568"/>
          </w:tcPr>
          <w:p>
            <w:r/>
            <w:r>
              <w:rPr>
                <w:rFonts w:ascii="Calibri" w:hAnsi="Calibri"/>
                <w:sz w:val="20"/>
              </w:rPr>
              <w:t>WP1</w:t>
            </w:r>
          </w:p>
        </w:tc>
        <w:tc>
          <w:tcPr>
            <w:tcW w:type="dxa" w:w="1568"/>
          </w:tcPr>
          <w:p>
            <w:r/>
            <w:r>
              <w:rPr>
                <w:rFonts w:ascii="Calibri" w:hAnsi="Calibri"/>
                <w:sz w:val="20"/>
              </w:rPr>
              <w:t>Валидация повреждения центриолей in vitro</w:t>
            </w:r>
          </w:p>
        </w:tc>
        <w:tc>
          <w:tcPr>
            <w:tcW w:type="dxa" w:w="1568"/>
          </w:tcPr>
          <w:p>
            <w:r/>
            <w:r>
              <w:rPr>
                <w:rFonts w:ascii="Calibri" w:hAnsi="Calibri"/>
                <w:sz w:val="20"/>
              </w:rPr>
              <w:t>GTU</w:t>
            </w:r>
          </w:p>
        </w:tc>
        <w:tc>
          <w:tcPr>
            <w:tcW w:type="dxa" w:w="1568"/>
          </w:tcPr>
          <w:p>
            <w:r/>
            <w:r>
              <w:rPr>
                <w:rFonts w:ascii="Calibri" w:hAnsi="Calibri"/>
                <w:sz w:val="20"/>
              </w:rPr>
              <w:t>M1</w:t>
            </w:r>
          </w:p>
        </w:tc>
        <w:tc>
          <w:tcPr>
            <w:tcW w:type="dxa" w:w="1568"/>
          </w:tcPr>
          <w:p>
            <w:r/>
            <w:r>
              <w:rPr>
                <w:rFonts w:ascii="Calibri" w:hAnsi="Calibri"/>
                <w:sz w:val="20"/>
              </w:rPr>
              <w:t>M24</w:t>
            </w:r>
          </w:p>
        </w:tc>
        <w:tc>
          <w:tcPr>
            <w:tcW w:type="dxa" w:w="1568"/>
          </w:tcPr>
          <w:p>
            <w:r/>
            <w:r>
              <w:rPr>
                <w:rFonts w:ascii="Calibri" w:hAnsi="Calibri"/>
                <w:sz w:val="20"/>
              </w:rPr>
              <w:t>800 000 €</w:t>
            </w:r>
          </w:p>
        </w:tc>
      </w:tr>
      <w:tr>
        <w:tc>
          <w:tcPr>
            <w:tcW w:type="dxa" w:w="1568"/>
          </w:tcPr>
          <w:p>
            <w:r/>
            <w:r>
              <w:rPr>
                <w:rFonts w:ascii="Calibri" w:hAnsi="Calibri"/>
                <w:sz w:val="20"/>
              </w:rPr>
              <w:t>WP2</w:t>
            </w:r>
          </w:p>
        </w:tc>
        <w:tc>
          <w:tcPr>
            <w:tcW w:type="dxa" w:w="1568"/>
          </w:tcPr>
          <w:p>
            <w:r/>
            <w:r>
              <w:rPr>
                <w:rFonts w:ascii="Calibri" w:hAnsi="Calibri"/>
                <w:sz w:val="20"/>
              </w:rPr>
              <w:t>Продольное когортное исследование на людях</w:t>
            </w:r>
          </w:p>
        </w:tc>
        <w:tc>
          <w:tcPr>
            <w:tcW w:type="dxa" w:w="1568"/>
          </w:tcPr>
          <w:p>
            <w:r/>
            <w:r>
              <w:rPr>
                <w:rFonts w:ascii="Calibri" w:hAnsi="Calibri"/>
                <w:sz w:val="20"/>
              </w:rPr>
              <w:t>GTU</w:t>
            </w:r>
          </w:p>
        </w:tc>
        <w:tc>
          <w:tcPr>
            <w:tcW w:type="dxa" w:w="1568"/>
          </w:tcPr>
          <w:p>
            <w:r/>
            <w:r>
              <w:rPr>
                <w:rFonts w:ascii="Calibri" w:hAnsi="Calibri"/>
                <w:sz w:val="20"/>
              </w:rPr>
              <w:t>M3</w:t>
            </w:r>
          </w:p>
        </w:tc>
        <w:tc>
          <w:tcPr>
            <w:tcW w:type="dxa" w:w="1568"/>
          </w:tcPr>
          <w:p>
            <w:r/>
            <w:r>
              <w:rPr>
                <w:rFonts w:ascii="Calibri" w:hAnsi="Calibri"/>
                <w:sz w:val="20"/>
              </w:rPr>
              <w:t>M36</w:t>
            </w:r>
          </w:p>
        </w:tc>
        <w:tc>
          <w:tcPr>
            <w:tcW w:type="dxa" w:w="1568"/>
          </w:tcPr>
          <w:p>
            <w:r/>
            <w:r>
              <w:rPr>
                <w:rFonts w:ascii="Calibri" w:hAnsi="Calibri"/>
                <w:sz w:val="20"/>
              </w:rPr>
              <w:t>450 000 €</w:t>
            </w:r>
          </w:p>
        </w:tc>
      </w:tr>
      <w:tr>
        <w:tc>
          <w:tcPr>
            <w:tcW w:type="dxa" w:w="1568"/>
          </w:tcPr>
          <w:p>
            <w:r/>
            <w:r>
              <w:rPr>
                <w:rFonts w:ascii="Calibri" w:hAnsi="Calibri"/>
                <w:sz w:val="20"/>
              </w:rPr>
              <w:t>WP3</w:t>
            </w:r>
          </w:p>
        </w:tc>
        <w:tc>
          <w:tcPr>
            <w:tcW w:type="dxa" w:w="1568"/>
          </w:tcPr>
          <w:p>
            <w:r/>
            <w:r>
              <w:rPr>
                <w:rFonts w:ascii="Calibri" w:hAnsi="Calibri"/>
                <w:sz w:val="20"/>
              </w:rPr>
              <w:t>Интеграция и валидация цифрового двойника клетки</w:t>
            </w:r>
          </w:p>
        </w:tc>
        <w:tc>
          <w:tcPr>
            <w:tcW w:type="dxa" w:w="1568"/>
          </w:tcPr>
          <w:p>
            <w:r/>
            <w:r>
              <w:rPr>
                <w:rFonts w:ascii="Calibri" w:hAnsi="Calibri"/>
                <w:sz w:val="20"/>
              </w:rPr>
              <w:t>Phasis Academy</w:t>
            </w:r>
          </w:p>
        </w:tc>
        <w:tc>
          <w:tcPr>
            <w:tcW w:type="dxa" w:w="1568"/>
          </w:tcPr>
          <w:p>
            <w:r/>
            <w:r>
              <w:rPr>
                <w:rFonts w:ascii="Calibri" w:hAnsi="Calibri"/>
                <w:sz w:val="20"/>
              </w:rPr>
              <w:t>M6</w:t>
            </w:r>
          </w:p>
        </w:tc>
        <w:tc>
          <w:tcPr>
            <w:tcW w:type="dxa" w:w="1568"/>
          </w:tcPr>
          <w:p>
            <w:r/>
            <w:r>
              <w:rPr>
                <w:rFonts w:ascii="Calibri" w:hAnsi="Calibri"/>
                <w:sz w:val="20"/>
              </w:rPr>
              <w:t>M36</w:t>
            </w:r>
          </w:p>
        </w:tc>
        <w:tc>
          <w:tcPr>
            <w:tcW w:type="dxa" w:w="1568"/>
          </w:tcPr>
          <w:p>
            <w:r/>
            <w:r>
              <w:rPr>
                <w:rFonts w:ascii="Calibri" w:hAnsi="Calibri"/>
                <w:sz w:val="20"/>
              </w:rPr>
              <w:t>400 000 €</w:t>
            </w:r>
          </w:p>
        </w:tc>
      </w:tr>
      <w:tr>
        <w:tc>
          <w:tcPr>
            <w:tcW w:type="dxa" w:w="1568"/>
          </w:tcPr>
          <w:p>
            <w:r/>
            <w:r>
              <w:rPr>
                <w:rFonts w:ascii="Calibri" w:hAnsi="Calibri"/>
                <w:sz w:val="20"/>
              </w:rPr>
              <w:t>WP4</w:t>
            </w:r>
          </w:p>
        </w:tc>
        <w:tc>
          <w:tcPr>
            <w:tcW w:type="dxa" w:w="1568"/>
          </w:tcPr>
          <w:p>
            <w:r/>
            <w:r>
              <w:rPr>
                <w:rFonts w:ascii="Calibri" w:hAnsi="Calibri"/>
                <w:sz w:val="20"/>
              </w:rPr>
              <w:t>Терапевтический PoC и трансляция</w:t>
            </w:r>
          </w:p>
        </w:tc>
        <w:tc>
          <w:tcPr>
            <w:tcW w:type="dxa" w:w="1568"/>
          </w:tcPr>
          <w:p>
            <w:r/>
            <w:r>
              <w:rPr>
                <w:rFonts w:ascii="Calibri" w:hAnsi="Calibri"/>
                <w:sz w:val="20"/>
              </w:rPr>
              <w:t>Phasis Academy</w:t>
            </w:r>
          </w:p>
        </w:tc>
        <w:tc>
          <w:tcPr>
            <w:tcW w:type="dxa" w:w="1568"/>
          </w:tcPr>
          <w:p>
            <w:r/>
            <w:r>
              <w:rPr>
                <w:rFonts w:ascii="Calibri" w:hAnsi="Calibri"/>
                <w:sz w:val="20"/>
              </w:rPr>
              <w:t>M6</w:t>
            </w:r>
          </w:p>
        </w:tc>
        <w:tc>
          <w:tcPr>
            <w:tcW w:type="dxa" w:w="1568"/>
          </w:tcPr>
          <w:p>
            <w:r/>
            <w:r>
              <w:rPr>
                <w:rFonts w:ascii="Calibri" w:hAnsi="Calibri"/>
                <w:sz w:val="20"/>
              </w:rPr>
              <w:t>M36</w:t>
            </w:r>
          </w:p>
        </w:tc>
        <w:tc>
          <w:tcPr>
            <w:tcW w:type="dxa" w:w="1568"/>
          </w:tcPr>
          <w:p>
            <w:r/>
            <w:r>
              <w:rPr>
                <w:rFonts w:ascii="Calibri" w:hAnsi="Calibri"/>
                <w:sz w:val="20"/>
              </w:rPr>
              <w:t>350 000 €</w:t>
            </w:r>
          </w:p>
        </w:tc>
      </w:tr>
      <w:tr>
        <w:tc>
          <w:tcPr>
            <w:tcW w:type="dxa" w:w="1568"/>
          </w:tcPr>
          <w:p>
            <w:r/>
            <w:r>
              <w:rPr>
                <w:rFonts w:ascii="Calibri" w:hAnsi="Calibri"/>
                <w:sz w:val="20"/>
              </w:rPr>
              <w:t>Всего (прямой)</w:t>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t>2 000 000 €</w:t>
            </w:r>
          </w:p>
        </w:tc>
      </w:tr>
      <w:tr>
        <w:tc>
          <w:tcPr>
            <w:tcW w:type="dxa" w:w="1568"/>
          </w:tcPr>
          <w:p>
            <w:r/>
            <w:r>
              <w:rPr>
                <w:rFonts w:ascii="Calibri" w:hAnsi="Calibri"/>
                <w:sz w:val="20"/>
              </w:rPr>
              <w:t>Косвенные затраты (25%)</w:t>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t>500 000 €</w:t>
            </w:r>
          </w:p>
        </w:tc>
      </w:tr>
      <w:tr>
        <w:tc>
          <w:tcPr>
            <w:tcW w:type="dxa" w:w="1568"/>
          </w:tcPr>
          <w:p>
            <w:r/>
            <w:r>
              <w:rPr>
                <w:rFonts w:ascii="Calibri" w:hAnsi="Calibri"/>
                <w:sz w:val="20"/>
              </w:rPr>
              <w:t>Всего</w:t>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r>
          </w:p>
        </w:tc>
        <w:tc>
          <w:tcPr>
            <w:tcW w:type="dxa" w:w="1568"/>
          </w:tcPr>
          <w:p>
            <w:r/>
            <w:r>
              <w:rPr>
                <w:rFonts w:ascii="Calibri" w:hAnsi="Calibri"/>
                <w:sz w:val="20"/>
              </w:rPr>
              <w:t>2 500 000 €</w:t>
            </w:r>
          </w:p>
        </w:tc>
      </w:tr>
    </w:tbl>
    <w:p>
      <w:pPr>
        <w:spacing w:before="200" w:after="80"/>
      </w:pPr>
      <w:r>
        <w:rPr>
          <w:rFonts w:ascii="Calibri" w:hAnsi="Calibri"/>
          <w:b/>
          <w:i/>
          <w:sz w:val="22"/>
        </w:rPr>
        <w:t>Таблица 3.1b: Описания рабочих пакетов</w:t>
      </w:r>
    </w:p>
    <w:p>
      <w:pPr>
        <w:spacing w:after="80" w:line="253" w:lineRule="exact"/>
      </w:pPr>
      <w:r>
        <w:rPr>
          <w:rFonts w:ascii="Calibri" w:hAnsi="Calibri"/>
          <w:b/>
          <w:sz w:val="22"/>
        </w:rPr>
        <w:t>WP1 — Валидация повреждения центриолей *in vitro</w:t>
      </w:r>
      <w:r>
        <w:rPr>
          <w:rFonts w:ascii="Calibri" w:hAnsi="Calibri"/>
          <w:i/>
          <w:sz w:val="22"/>
        </w:rPr>
        <w:t xml:space="preserve"> (Руководитель: </w:t>
      </w:r>
      <w:r>
        <w:rPr>
          <w:rFonts w:ascii="Calibri" w:hAnsi="Calibri"/>
          <w:i/>
          <w:sz w:val="22"/>
        </w:rPr>
        <w:t>GTU</w:t>
      </w:r>
      <w:r>
        <w:rPr>
          <w:rFonts w:ascii="Calibri" w:hAnsi="Calibri"/>
          <w:sz w:val="22"/>
        </w:rPr>
        <w:t>*, M1–M24, 800 тыс. €)</w:t>
      </w:r>
    </w:p>
    <w:p>
      <w:pPr>
        <w:spacing w:after="80" w:line="253" w:lineRule="exact"/>
      </w:pPr>
      <w:r>
        <w:rPr>
          <w:rFonts w:ascii="Calibri" w:hAnsi="Calibri"/>
          <w:i/>
          <w:sz w:val="22"/>
        </w:rPr>
        <w:t>Цель:</w:t>
      </w:r>
      <w:r>
        <w:rPr>
          <w:rFonts w:ascii="Calibri" w:hAnsi="Calibri"/>
          <w:sz w:val="22"/>
        </w:rPr>
        <w:t xml:space="preserve"> Установить механистическую обоснованность </w:t>
      </w:r>
      <w:r>
        <w:rPr>
          <w:rFonts w:ascii="Calibri" w:hAnsi="Calibri"/>
          <w:b/>
          <w:sz w:val="22"/>
        </w:rPr>
        <w:t>CDATA</w:t>
      </w:r>
      <w:r>
        <w:rPr>
          <w:rFonts w:ascii="Calibri" w:hAnsi="Calibri"/>
          <w:sz w:val="22"/>
        </w:rPr>
        <w:t xml:space="preserve"> в моделях клеток человека; определить количественные зависимости «доза-ответ» между нагрузкой </w:t>
      </w:r>
      <w:r>
        <w:rPr>
          <w:rFonts w:ascii="Calibri" w:hAnsi="Calibri"/>
          <w:b/>
          <w:sz w:val="22"/>
        </w:rPr>
        <w:t>PTM</w:t>
      </w:r>
      <w:r>
        <w:rPr>
          <w:rFonts w:ascii="Calibri" w:hAnsi="Calibri"/>
          <w:sz w:val="22"/>
        </w:rPr>
        <w:t xml:space="preserve"> → </w:t>
      </w:r>
      <w:r>
        <w:rPr>
          <w:rFonts w:ascii="Calibri" w:hAnsi="Calibri"/>
          <w:b/>
          <w:sz w:val="22"/>
        </w:rPr>
        <w:t>CAII</w:t>
      </w:r>
      <w:r>
        <w:rPr>
          <w:rFonts w:ascii="Calibri" w:hAnsi="Calibri"/>
          <w:sz w:val="22"/>
        </w:rPr>
        <w:t xml:space="preserve"> → дисфункция ресничек/веретена деления для параметризации </w:t>
      </w:r>
      <w:r>
        <w:rPr>
          <w:rFonts w:ascii="Calibri" w:hAnsi="Calibri"/>
          <w:b/>
          <w:sz w:val="22"/>
        </w:rPr>
        <w:t>Cell-DT</w:t>
      </w:r>
      <w:r>
        <w:rPr>
          <w:rFonts w:ascii="Calibri" w:hAnsi="Calibri"/>
          <w:sz w:val="22"/>
        </w:rPr>
        <w:t>.</w:t>
      </w:r>
    </w:p>
    <w:p>
      <w:pPr>
        <w:spacing w:after="80" w:line="253" w:lineRule="exact"/>
      </w:pPr>
      <w:r>
        <w:rPr>
          <w:rFonts w:ascii="Calibri" w:hAnsi="Calibri"/>
          <w:i/>
          <w:sz w:val="22"/>
        </w:rPr>
        <w:t>Основные задачи:</w:t>
      </w:r>
    </w:p>
    <w:p>
      <w:pPr>
        <w:pStyle w:val="ListBullet"/>
      </w:pPr>
      <w:r>
        <w:rPr>
          <w:rFonts w:ascii="Calibri" w:hAnsi="Calibri"/>
          <w:b/>
          <w:sz w:val="22"/>
        </w:rPr>
        <w:t>T1.1 (M1–M6):</w:t>
      </w:r>
      <w:r>
        <w:rPr>
          <w:rFonts w:ascii="Calibri" w:hAnsi="Calibri"/>
          <w:sz w:val="22"/>
        </w:rPr>
        <w:t xml:space="preserve"> Создание панели клеточных моделей (</w:t>
      </w:r>
      <w:r>
        <w:rPr>
          <w:rFonts w:ascii="Calibri" w:hAnsi="Calibri"/>
          <w:b/>
          <w:sz w:val="22"/>
        </w:rPr>
        <w:t>HeLa</w:t>
      </w:r>
      <w:r>
        <w:rPr>
          <w:rFonts w:ascii="Calibri" w:hAnsi="Calibri"/>
          <w:sz w:val="22"/>
        </w:rPr>
        <w:t xml:space="preserve">, </w:t>
      </w:r>
      <w:r>
        <w:rPr>
          <w:rFonts w:ascii="Calibri" w:hAnsi="Calibri"/>
          <w:b/>
          <w:sz w:val="22"/>
        </w:rPr>
        <w:t>IMR90</w:t>
      </w:r>
      <w:r>
        <w:rPr>
          <w:rFonts w:ascii="Calibri" w:hAnsi="Calibri"/>
          <w:sz w:val="22"/>
        </w:rPr>
        <w:t xml:space="preserve">, выделение </w:t>
      </w:r>
      <w:r>
        <w:rPr>
          <w:rFonts w:ascii="Calibri" w:hAnsi="Calibri"/>
          <w:b/>
          <w:sz w:val="22"/>
        </w:rPr>
        <w:t>CD34⁺ EPC</w:t>
      </w:r>
      <w:r>
        <w:rPr>
          <w:rFonts w:ascii="Calibri" w:hAnsi="Calibri"/>
          <w:sz w:val="22"/>
        </w:rPr>
        <w:t xml:space="preserve"> от 30 согласных доноров). Разработка </w:t>
      </w:r>
      <w:r>
        <w:rPr>
          <w:rFonts w:ascii="Calibri" w:hAnsi="Calibri"/>
          <w:b/>
          <w:sz w:val="22"/>
        </w:rPr>
        <w:t>СОП</w:t>
      </w:r>
      <w:r>
        <w:rPr>
          <w:rFonts w:ascii="Calibri" w:hAnsi="Calibri"/>
          <w:sz w:val="22"/>
        </w:rPr>
        <w:t xml:space="preserve"> для оценки </w:t>
      </w:r>
      <w:r>
        <w:rPr>
          <w:rFonts w:ascii="Calibri" w:hAnsi="Calibri"/>
          <w:b/>
          <w:sz w:val="22"/>
        </w:rPr>
        <w:t>CAII</w:t>
      </w:r>
      <w:r>
        <w:rPr>
          <w:rFonts w:ascii="Calibri" w:hAnsi="Calibri"/>
          <w:sz w:val="22"/>
        </w:rPr>
        <w:t xml:space="preserve"> и </w:t>
      </w:r>
      <w:r>
        <w:rPr>
          <w:rFonts w:ascii="Calibri" w:hAnsi="Calibri"/>
          <w:b/>
          <w:sz w:val="22"/>
        </w:rPr>
        <w:t>U-ExM</w:t>
      </w:r>
      <w:r>
        <w:rPr>
          <w:rFonts w:ascii="Calibri" w:hAnsi="Calibri"/>
          <w:sz w:val="22"/>
        </w:rPr>
        <w:t>.</w:t>
      </w:r>
    </w:p>
    <w:p>
      <w:pPr>
        <w:pStyle w:val="ListBullet"/>
      </w:pPr>
      <w:r>
        <w:rPr>
          <w:rFonts w:ascii="Calibri" w:hAnsi="Calibri"/>
          <w:b/>
          <w:sz w:val="22"/>
        </w:rPr>
        <w:t>T1.2 (M3–M12):</w:t>
      </w:r>
      <w:r>
        <w:rPr>
          <w:rFonts w:ascii="Calibri" w:hAnsi="Calibri"/>
          <w:sz w:val="22"/>
        </w:rPr>
        <w:t xml:space="preserve"> Эксперименты по индукции дозы и ответа PTM (H₂O₂, OA, серия таксола; n = 6 повторов на условие). Первичные показатели: CAII, длина ресничек, точность веретена.</w:t>
      </w:r>
    </w:p>
    <w:p>
      <w:pPr>
        <w:pStyle w:val="ListBullet"/>
      </w:pPr>
      <w:r>
        <w:rPr>
          <w:rFonts w:ascii="Calibri" w:hAnsi="Calibri"/>
          <w:b/>
          <w:sz w:val="22"/>
        </w:rPr>
        <w:t>T1.3 (M6–M18):</w:t>
      </w:r>
      <w:r>
        <w:rPr>
          <w:rFonts w:ascii="Calibri" w:hAnsi="Calibri"/>
          <w:sz w:val="22"/>
        </w:rPr>
        <w:t xml:space="preserve"> STED-визуализация белков центриолярного придатка со сверхвысоким разрешением (CEP164, CEP89, Ninein, CEP170). Количественная нанотопология PTM-нагруженных и молодых центриолей.</w:t>
      </w:r>
    </w:p>
    <w:p>
      <w:pPr>
        <w:pStyle w:val="ListBullet"/>
      </w:pPr>
      <w:r>
        <w:rPr>
          <w:rFonts w:ascii="Calibri" w:hAnsi="Calibri"/>
          <w:b/>
          <w:sz w:val="22"/>
        </w:rPr>
        <w:t>T1.4 (M12–M24):</w:t>
      </w:r>
      <w:r>
        <w:rPr>
          <w:rFonts w:ascii="Calibri" w:hAnsi="Calibri"/>
          <w:sz w:val="22"/>
        </w:rPr>
        <w:t xml:space="preserve"> Выделение EPC, измерение CAII у молодых (25–35 лет) и пожилых (65–75 лет) доноров (n = 20 на группу). Первая проверка CAII на человеческих клетках </w:t>
      </w:r>
      <w:r>
        <w:rPr>
          <w:rFonts w:ascii="Calibri" w:hAnsi="Calibri"/>
          <w:i/>
          <w:sz w:val="22"/>
        </w:rPr>
        <w:t>ex vivo</w:t>
      </w:r>
      <w:r>
        <w:rPr>
          <w:rFonts w:ascii="Calibri" w:hAnsi="Calibri"/>
          <w:sz w:val="22"/>
        </w:rPr>
        <w:t>.</w:t>
      </w:r>
    </w:p>
    <w:p>
      <w:pPr>
        <w:pStyle w:val="ListBullet"/>
      </w:pPr>
      <w:r>
        <w:rPr>
          <w:rFonts w:ascii="Calibri" w:hAnsi="Calibri"/>
          <w:b/>
          <w:sz w:val="22"/>
        </w:rPr>
        <w:t>T1.5 (M18–M24):</w:t>
      </w:r>
      <w:r>
        <w:rPr>
          <w:rFonts w:ascii="Calibri" w:hAnsi="Calibri"/>
          <w:sz w:val="22"/>
        </w:rPr>
        <w:t xml:space="preserve"> Разработка и валидация анализа ELISA для CEP164 (для измерения CAII по крови в WP2).</w:t>
      </w:r>
    </w:p>
    <w:p>
      <w:pPr>
        <w:spacing w:after="80" w:line="253" w:lineRule="exact"/>
      </w:pPr>
      <w:r>
        <w:rPr>
          <w:rFonts w:ascii="Calibri" w:hAnsi="Calibri"/>
          <w:b/>
          <w:sz w:val="22"/>
        </w:rPr>
        <w:t>Основные результаты:</w:t>
      </w:r>
    </w:p>
    <w:p>
      <w:pPr>
        <w:pStyle w:val="ListBullet"/>
      </w:pPr>
      <w:r>
        <w:rPr>
          <w:rFonts w:ascii="Calibri" w:hAnsi="Calibri"/>
          <w:b/>
          <w:sz w:val="22"/>
        </w:rPr>
        <w:t>D1.1 (M6):</w:t>
      </w:r>
      <w:r>
        <w:rPr>
          <w:rFonts w:ascii="Calibri" w:hAnsi="Calibri"/>
          <w:sz w:val="22"/>
        </w:rPr>
        <w:t xml:space="preserve"> Установлена панель клеточных моделей; СОПы представлены в этический комитет GTU.</w:t>
      </w:r>
    </w:p>
    <w:p>
      <w:pPr>
        <w:pStyle w:val="ListBullet"/>
      </w:pPr>
      <w:r>
        <w:rPr>
          <w:rFonts w:ascii="Calibri" w:hAnsi="Calibri"/>
          <w:b/>
          <w:sz w:val="22"/>
        </w:rPr>
        <w:t>D1.2 (M12):</w:t>
      </w:r>
      <w:r>
        <w:rPr>
          <w:rFonts w:ascii="Calibri" w:hAnsi="Calibri"/>
          <w:sz w:val="22"/>
        </w:rPr>
        <w:t xml:space="preserve"> Набор данных PTM «доза-эффект» (открытые данные, Zenodo).</w:t>
      </w:r>
    </w:p>
    <w:p>
      <w:pPr>
        <w:pStyle w:val="ListBullet"/>
      </w:pPr>
      <w:r>
        <w:rPr>
          <w:rFonts w:ascii="Calibri" w:hAnsi="Calibri"/>
          <w:b/>
          <w:sz w:val="22"/>
        </w:rPr>
        <w:t>D1.3 (M18):</w:t>
      </w:r>
      <w:r>
        <w:rPr>
          <w:rFonts w:ascii="Calibri" w:hAnsi="Calibri"/>
          <w:sz w:val="22"/>
        </w:rPr>
        <w:t xml:space="preserve"> Набор данных STED-изображений; представлена статья по нанотопологии CAII.</w:t>
      </w:r>
    </w:p>
    <w:p>
      <w:pPr>
        <w:pStyle w:val="ListBullet"/>
      </w:pPr>
      <w:r>
        <w:rPr>
          <w:rFonts w:ascii="Calibri" w:hAnsi="Calibri"/>
          <w:b/>
          <w:sz w:val="22"/>
        </w:rPr>
        <w:t>D1.4 (M24):</w:t>
      </w:r>
      <w:r>
        <w:rPr>
          <w:rFonts w:ascii="Calibri" w:hAnsi="Calibri"/>
          <w:sz w:val="22"/>
        </w:rPr>
        <w:t xml:space="preserve"> Валидирован ELISA для CEP164; итоговый отчет по WP1.</w:t>
      </w:r>
    </w:p>
    <w:p>
      <w:pPr>
        <w:spacing w:after="80" w:line="253" w:lineRule="exact"/>
      </w:pPr>
      <w:r>
        <w:rPr>
          <w:rFonts w:ascii="Calibri" w:hAnsi="Calibri"/>
          <w:b/>
          <w:sz w:val="22"/>
        </w:rPr>
        <w:t>Оборудование:</w:t>
      </w:r>
      <w:r>
        <w:rPr>
          <w:rFonts w:ascii="Calibri" w:hAnsi="Calibri"/>
          <w:sz w:val="22"/>
        </w:rPr>
        <w:t xml:space="preserve"> Приобретение микроскопа Leica SP8 STED (120 тыс. €, новое оборудование для основной площадки GTU; существующий Zeiss LSM 700 продолжит использоваться для стандартной конфокальной микроскопии); система Miltenyi MACS EasySep (15 тыс. €); стандартные расходные материалы для клеточных культур (180 тыс. €); реагенты (120 тыс. €); оплата времени на конфокальном микроскопе открытого доступа (50 тыс. €).</w:t>
      </w:r>
    </w:p>
    <w:p>
      <w:pPr>
        <w:pBdr>
          <w:bottom w:val="single" w:sz="6" w:space="1" w:color="auto"/>
        </w:pBdr>
        <w:spacing w:after="120"/>
      </w:pPr>
    </w:p>
    <w:p>
      <w:pPr>
        <w:spacing w:before="200" w:after="80"/>
      </w:pPr>
      <w:r>
        <w:rPr>
          <w:rFonts w:ascii="Calibri" w:hAnsi="Calibri"/>
          <w:b/>
          <w:sz w:val="24"/>
        </w:rPr>
        <w:t>WP2 — Продольное когортное исследование на людях (Ведущий партнер: GTU, M3–M36, 450 тыс. €)</w:t>
      </w:r>
    </w:p>
    <w:p>
      <w:pPr>
        <w:spacing w:after="80" w:line="253" w:lineRule="exact"/>
      </w:pPr>
      <w:r>
        <w:rPr>
          <w:rFonts w:ascii="Calibri" w:hAnsi="Calibri"/>
          <w:b/>
          <w:sz w:val="22"/>
        </w:rPr>
        <w:t>Цель:</w:t>
      </w:r>
      <w:r>
        <w:rPr>
          <w:rFonts w:ascii="Calibri" w:hAnsi="Calibri"/>
          <w:sz w:val="22"/>
        </w:rPr>
        <w:t xml:space="preserve"> Сопоставить индекс CAII с клиническими фенотипами старения (хрупкость по Фриду, снижение когнитивных функций, иммунное старение) в когорте пожилых людей в Грузии (n = 288 участников, 240 человек подлежат оценке) на исходном уровне и через 2 года наблюдения.</w:t>
      </w:r>
    </w:p>
    <w:p>
      <w:pPr>
        <w:spacing w:after="80" w:line="253" w:lineRule="exact"/>
      </w:pPr>
      <w:r>
        <w:rPr>
          <w:rFonts w:ascii="Calibri" w:hAnsi="Calibri"/>
          <w:b/>
          <w:sz w:val="22"/>
        </w:rPr>
        <w:t>Основные задачи:</w:t>
      </w:r>
    </w:p>
    <w:p>
      <w:pPr>
        <w:pStyle w:val="ListBullet"/>
      </w:pPr>
      <w:r>
        <w:rPr>
          <w:rFonts w:ascii="Calibri" w:hAnsi="Calibri"/>
          <w:b/>
          <w:sz w:val="22"/>
        </w:rPr>
        <w:t>T2.1 (M3–M9):</w:t>
      </w:r>
      <w:r>
        <w:rPr>
          <w:rFonts w:ascii="Calibri" w:hAnsi="Calibri"/>
          <w:sz w:val="22"/>
        </w:rPr>
        <w:t xml:space="preserve"> Получение этического одобрения (этический комитет GTU + национальное одобрение), запуск набора участников (поликлиники Тбилиси, 12 центров), информированное согласие (двухэтапный скрининг Mini-Cog → письменное согласие).</w:t>
      </w:r>
    </w:p>
    <w:p>
      <w:pPr>
        <w:pStyle w:val="ListBullet"/>
      </w:pPr>
      <w:r>
        <w:rPr>
          <w:rFonts w:ascii="Calibri" w:hAnsi="Calibri"/>
          <w:b/>
          <w:sz w:val="22"/>
        </w:rPr>
        <w:t>T2.2 (M6–M18):</w:t>
      </w:r>
      <w:r>
        <w:rPr>
          <w:rFonts w:ascii="Calibri" w:hAnsi="Calibri"/>
          <w:sz w:val="22"/>
        </w:rPr>
        <w:t xml:space="preserve"> Исходная оценка (n = 288): CAII, CEP164, индекс ВСР, эпигенетический возраст, длина теломер, клиническое фенотипирование (хрупкость по Фриду, MMSE, захват). </w:t>
      </w:r>
      <w:r>
        <w:rPr>
          <w:rFonts w:ascii="Calibri" w:hAnsi="Calibri"/>
          <w:b/>
          <w:sz w:val="22"/>
        </w:rPr>
        <w:t>Все анализы биомаркеров проводятся вслепую относительно данных клинического фенотипирования; раскрытие данных произойдет только после блокировки исходного набора данных (M18).</w:t>
      </w:r>
    </w:p>
    <w:p>
      <w:pPr>
        <w:pStyle w:val="ListBullet"/>
      </w:pPr>
      <w:r>
        <w:rPr>
          <w:rFonts w:ascii="Calibri" w:hAnsi="Calibri"/>
          <w:b/>
          <w:sz w:val="22"/>
        </w:rPr>
        <w:t>T2.3 (M18–M36):</w:t>
      </w:r>
      <w:r>
        <w:rPr>
          <w:rFonts w:ascii="Calibri" w:hAnsi="Calibri"/>
          <w:sz w:val="22"/>
        </w:rPr>
        <w:t xml:space="preserve"> 2-летнее наблюдение: повторение всех биомаркеров; регистрация случаев хрупкости, госпитализаций, зарегистрированной смертности.</w:t>
      </w:r>
    </w:p>
    <w:p>
      <w:pPr>
        <w:pStyle w:val="ListBullet"/>
      </w:pPr>
      <w:r>
        <w:rPr>
          <w:rFonts w:ascii="Calibri" w:hAnsi="Calibri"/>
          <w:b/>
          <w:sz w:val="22"/>
        </w:rPr>
        <w:t>T2.4 (M24–M36):</w:t>
      </w:r>
      <w:r>
        <w:rPr>
          <w:rFonts w:ascii="Calibri" w:hAnsi="Calibri"/>
          <w:sz w:val="22"/>
        </w:rPr>
        <w:t xml:space="preserve"> Статистический анализ: логистическая регрессия (первичная конечная точка), корреляционный анализ (вторичные конечные точки), анализ выживаемости. </w:t>
      </w:r>
      <w:r>
        <w:rPr>
          <w:rFonts w:ascii="Calibri" w:hAnsi="Calibri"/>
          <w:b/>
          <w:sz w:val="22"/>
        </w:rPr>
        <w:t>Данные биомаркеров анализируются биостатистиком, не имеющим доступа к клиническим исходам; раскрытие данных произойдет только после блокировки итогового набора данных (M30).</w:t>
      </w:r>
    </w:p>
    <w:p>
      <w:pPr>
        <w:pStyle w:val="ListBullet"/>
      </w:pPr>
      <w:r>
        <w:rPr>
          <w:rFonts w:ascii="Calibri" w:hAnsi="Calibri"/>
          <w:b/>
          <w:sz w:val="22"/>
        </w:rPr>
        <w:t>T2.5 (M30–M36):</w:t>
      </w:r>
      <w:r>
        <w:rPr>
          <w:rFonts w:ascii="Calibri" w:hAnsi="Calibri"/>
          <w:sz w:val="22"/>
        </w:rPr>
        <w:t xml:space="preserve"> Формализация биобанка; согласие в соответствии с GDPR на будущее использование; передача в Национальный биобанк Грузии.</w:t>
      </w:r>
    </w:p>
    <w:p>
      <w:pPr>
        <w:spacing w:after="80" w:line="253" w:lineRule="exact"/>
      </w:pPr>
      <w:r>
        <w:rPr>
          <w:rFonts w:ascii="Calibri" w:hAnsi="Calibri"/>
          <w:b/>
          <w:sz w:val="22"/>
        </w:rPr>
        <w:t>Основные результаты:</w:t>
      </w:r>
    </w:p>
    <w:p>
      <w:pPr>
        <w:pStyle w:val="ListBullet"/>
      </w:pPr>
      <w:r>
        <w:rPr>
          <w:rFonts w:ascii="Calibri" w:hAnsi="Calibri"/>
          <w:b/>
          <w:sz w:val="22"/>
        </w:rPr>
        <w:t>D2.1 (M9):</w:t>
      </w:r>
      <w:r>
        <w:rPr>
          <w:rFonts w:ascii="Calibri" w:hAnsi="Calibri"/>
          <w:sz w:val="22"/>
        </w:rPr>
        <w:t xml:space="preserve"> Этическое одобрение + протокол набора участников.</w:t>
      </w:r>
    </w:p>
    <w:p>
      <w:pPr>
        <w:pStyle w:val="ListBullet"/>
      </w:pPr>
      <w:r>
        <w:rPr>
          <w:rFonts w:ascii="Calibri" w:hAnsi="Calibri"/>
          <w:b/>
          <w:sz w:val="22"/>
        </w:rPr>
        <w:t>D2.2 (M18):</w:t>
      </w:r>
      <w:r>
        <w:rPr>
          <w:rFonts w:ascii="Calibri" w:hAnsi="Calibri"/>
          <w:sz w:val="22"/>
        </w:rPr>
        <w:t xml:space="preserve"> Исходный набор данных, размещенный в Европейском пространстве данных здравоохранения (EHDS).</w:t>
      </w:r>
    </w:p>
    <w:p>
      <w:pPr>
        <w:pStyle w:val="ListBullet"/>
      </w:pPr>
      <w:r>
        <w:rPr>
          <w:rFonts w:ascii="Calibri" w:hAnsi="Calibri"/>
          <w:b/>
          <w:sz w:val="22"/>
        </w:rPr>
        <w:t>D2.3 (M36):</w:t>
      </w:r>
      <w:r>
        <w:rPr>
          <w:rFonts w:ascii="Calibri" w:hAnsi="Calibri"/>
          <w:sz w:val="22"/>
        </w:rPr>
        <w:t xml:space="preserve"> Анализ данных 2-летнего наблюдения; статья подана в </w:t>
      </w:r>
      <w:r>
        <w:rPr>
          <w:rFonts w:ascii="Calibri" w:hAnsi="Calibri"/>
          <w:i/>
          <w:sz w:val="22"/>
        </w:rPr>
        <w:t>npj Aging</w:t>
      </w:r>
      <w:r>
        <w:rPr>
          <w:rFonts w:ascii="Calibri" w:hAnsi="Calibri"/>
          <w:sz w:val="22"/>
        </w:rPr>
        <w:t>.</w:t>
      </w:r>
    </w:p>
    <w:p>
      <w:pPr>
        <w:spacing w:after="80" w:line="253" w:lineRule="exact"/>
      </w:pPr>
      <w:r>
        <w:rPr>
          <w:rFonts w:ascii="Calibri" w:hAnsi="Calibri"/>
          <w:b/>
          <w:sz w:val="22"/>
        </w:rPr>
        <w:t>Персонал:</w:t>
      </w:r>
      <w:r>
        <w:rPr>
          <w:rFonts w:ascii="Calibri" w:hAnsi="Calibri"/>
          <w:sz w:val="22"/>
        </w:rPr>
        <w:t xml:space="preserve"> 2 медсестры клинических исследований (полная ставка, M3–M36); 1 биостатистик (0,5 ЭПЗ, M18–M36); 1 лаборант (полная ставка, M3–M24).</w:t>
      </w:r>
    </w:p>
    <w:p>
      <w:pPr>
        <w:pBdr>
          <w:bottom w:val="single" w:sz="6" w:space="1" w:color="auto"/>
        </w:pBdr>
        <w:spacing w:after="120"/>
      </w:pPr>
    </w:p>
    <w:p>
      <w:pPr>
        <w:spacing w:before="200" w:after="80"/>
      </w:pPr>
      <w:r>
        <w:rPr>
          <w:rFonts w:ascii="Calibri" w:hAnsi="Calibri"/>
          <w:b/>
          <w:sz w:val="24"/>
        </w:rPr>
        <w:t>WP3 — Интеграция и валидация цифровых двойников клеток (Ведущий партнер: Phasis Academy, M6–M36, 400 тыс. €)</w:t>
      </w:r>
    </w:p>
    <w:p>
      <w:pPr>
        <w:spacing w:after="80" w:line="253" w:lineRule="exact"/>
      </w:pPr>
      <w:r>
        <w:rPr>
          <w:rFonts w:ascii="Calibri" w:hAnsi="Calibri"/>
          <w:b/>
          <w:sz w:val="22"/>
        </w:rPr>
        <w:t>Цель:</w:t>
      </w:r>
      <w:r>
        <w:rPr>
          <w:rFonts w:ascii="Calibri" w:hAnsi="Calibri"/>
          <w:sz w:val="22"/>
        </w:rPr>
        <w:t xml:space="preserve"> Интегрировать эмпирические данные WP1/WP2 в Cell-DT; создать валидированную персонализированную систему прогнозирования долголетия; выпустить Cell-DT v2.0 как программное обеспечение с открытым исходным кодом.</w:t>
      </w:r>
    </w:p>
    <w:p>
      <w:pPr>
        <w:spacing w:after="80" w:line="253" w:lineRule="exact"/>
      </w:pPr>
      <w:r>
        <w:rPr>
          <w:rFonts w:ascii="Calibri" w:hAnsi="Calibri"/>
          <w:b/>
          <w:sz w:val="22"/>
        </w:rPr>
        <w:t>Основные задачи:</w:t>
      </w:r>
    </w:p>
    <w:p>
      <w:pPr>
        <w:pStyle w:val="ListBullet"/>
      </w:pPr>
      <w:r>
        <w:rPr>
          <w:rFonts w:ascii="Calibri" w:hAnsi="Calibri"/>
          <w:b/>
          <w:sz w:val="22"/>
        </w:rPr>
        <w:t>T3.1 (M6–M18):</w:t>
      </w:r>
      <w:r>
        <w:rPr>
          <w:rFonts w:ascii="Calibri" w:hAnsi="Calibri"/>
          <w:sz w:val="22"/>
        </w:rPr>
        <w:t xml:space="preserve"> Байесовская оценка параметров с использованием данных зависимости «доза-эффект» из WP1; замена значений по умолчанию в Cell-DT на экспериментально полученные кинетические константы. Позиция инженера по Rust открыта в M1 через международный набор (открыта для кандидатов из ЕС и стран, ассоциированных с Horizon Europe).</w:t>
      </w:r>
    </w:p>
    <w:p>
      <w:pPr>
        <w:pStyle w:val="ListBullet"/>
      </w:pPr>
      <w:r>
        <w:rPr>
          <w:rFonts w:ascii="Calibri" w:hAnsi="Calibri"/>
          <w:b/>
          <w:sz w:val="22"/>
        </w:rPr>
        <w:t>T3.2 (M12–M24):</w:t>
      </w:r>
      <w:r>
        <w:rPr>
          <w:rFonts w:ascii="Calibri" w:hAnsi="Calibri"/>
          <w:sz w:val="22"/>
        </w:rPr>
        <w:t xml:space="preserve"> Внедрение модуля персонализированного биологического возраста (pBA): на основе индивидуального CAII и эпигенетического возраста → вывод параметров повреждения (DamageParams) с помощью апостериорной выборки (Stan).</w:t>
      </w:r>
    </w:p>
    <w:p>
      <w:pPr>
        <w:pStyle w:val="ListBullet"/>
      </w:pPr>
      <w:r>
        <w:rPr>
          <w:rFonts w:ascii="Calibri" w:hAnsi="Calibri"/>
          <w:b/>
          <w:sz w:val="22"/>
        </w:rPr>
        <w:t>T3.3 (M18–M30):</w:t>
      </w:r>
      <w:r>
        <w:rPr>
          <w:rFonts w:ascii="Calibri" w:hAnsi="Calibri"/>
          <w:sz w:val="22"/>
        </w:rPr>
        <w:t xml:space="preserve"> Валидация pBA на соответствие результатам WP2 (AUROC для прогрессирования хрупкости за 2 года; целевой AUROC &gt; 0,75).</w:t>
      </w:r>
    </w:p>
    <w:p>
      <w:pPr>
        <w:pStyle w:val="ListBullet"/>
      </w:pPr>
      <w:r>
        <w:rPr>
          <w:rFonts w:ascii="Calibri" w:hAnsi="Calibri"/>
          <w:b/>
          <w:sz w:val="22"/>
        </w:rPr>
        <w:t>T3.4 (M24–M36):</w:t>
      </w:r>
      <w:r>
        <w:rPr>
          <w:rFonts w:ascii="Calibri" w:hAnsi="Calibri"/>
          <w:sz w:val="22"/>
        </w:rPr>
        <w:t xml:space="preserve"> Реализация оставшихся элементов дорожной карты (модуль `asymmetric_cytoqc`, ось IGF-1, экспортер PTM в CSV).</w:t>
      </w:r>
    </w:p>
    <w:p>
      <w:pPr>
        <w:pStyle w:val="ListBullet"/>
      </w:pPr>
      <w:r>
        <w:rPr>
          <w:rFonts w:ascii="Calibri" w:hAnsi="Calibri"/>
          <w:b/>
          <w:sz w:val="22"/>
        </w:rPr>
        <w:t>T3.5 (M28–M36):</w:t>
      </w:r>
      <w:r>
        <w:rPr>
          <w:rFonts w:ascii="Calibri" w:hAnsi="Calibri"/>
          <w:sz w:val="22"/>
        </w:rPr>
        <w:t xml:space="preserve"> Выпуск Cell-DT v2.0 (GitHub + DOI на Zenodo); привязки Python через PyO3; документация; учебные пособия в Jupyter Notebook.</w:t>
      </w:r>
    </w:p>
    <w:p>
      <w:pPr>
        <w:spacing w:after="80" w:line="253" w:lineRule="exact"/>
      </w:pPr>
      <w:r>
        <w:rPr>
          <w:rFonts w:ascii="Calibri" w:hAnsi="Calibri"/>
          <w:b/>
          <w:sz w:val="22"/>
        </w:rPr>
        <w:t>Основные результаты:</w:t>
      </w:r>
    </w:p>
    <w:p>
      <w:pPr>
        <w:pStyle w:val="ListBullet"/>
      </w:pPr>
      <w:r>
        <w:rPr>
          <w:rFonts w:ascii="Calibri" w:hAnsi="Calibri"/>
          <w:b/>
          <w:sz w:val="22"/>
        </w:rPr>
        <w:t>D3.1 (M18):</w:t>
      </w:r>
      <w:r>
        <w:rPr>
          <w:rFonts w:ascii="Calibri" w:hAnsi="Calibri"/>
          <w:sz w:val="22"/>
        </w:rPr>
        <w:t xml:space="preserve"> Cell-DT v1.5 с экспериментальными параметрами (предварительный релиз на Zenodo).</w:t>
      </w:r>
    </w:p>
    <w:p>
      <w:pPr>
        <w:pStyle w:val="ListBullet"/>
      </w:pPr>
      <w:r>
        <w:rPr>
          <w:rFonts w:ascii="Calibri" w:hAnsi="Calibri"/>
          <w:b/>
          <w:sz w:val="22"/>
        </w:rPr>
        <w:t>D3.2 (M24):</w:t>
      </w:r>
      <w:r>
        <w:rPr>
          <w:rFonts w:ascii="Calibri" w:hAnsi="Calibri"/>
          <w:sz w:val="22"/>
        </w:rPr>
        <w:t xml:space="preserve"> Модуль pBA, валидированный на промежуточных данных WP2; подача статьи в </w:t>
      </w:r>
      <w:r>
        <w:rPr>
          <w:rFonts w:ascii="Calibri" w:hAnsi="Calibri"/>
          <w:i/>
          <w:sz w:val="22"/>
        </w:rPr>
        <w:t>PLOS Computational Biology</w:t>
      </w:r>
      <w:r>
        <w:rPr>
          <w:rFonts w:ascii="Calibri" w:hAnsi="Calibri"/>
          <w:sz w:val="22"/>
        </w:rPr>
        <w:t>.</w:t>
      </w:r>
    </w:p>
    <w:p>
      <w:pPr>
        <w:pStyle w:val="ListBullet"/>
      </w:pPr>
      <w:r>
        <w:rPr>
          <w:rFonts w:ascii="Calibri" w:hAnsi="Calibri"/>
          <w:b/>
          <w:sz w:val="22"/>
        </w:rPr>
        <w:t>D3.3 (M36):</w:t>
      </w:r>
      <w:r>
        <w:rPr>
          <w:rFonts w:ascii="Calibri" w:hAnsi="Calibri"/>
          <w:sz w:val="22"/>
        </w:rPr>
        <w:t xml:space="preserve"> Публичный релиз Cell-DT v2.0; Python-пакет на PyPI.</w:t>
      </w:r>
    </w:p>
    <w:p>
      <w:pPr>
        <w:spacing w:after="80" w:line="253" w:lineRule="exact"/>
      </w:pPr>
      <w:r>
        <w:rPr>
          <w:rFonts w:ascii="Calibri" w:hAnsi="Calibri"/>
          <w:i/>
          <w:sz w:val="22"/>
        </w:rPr>
        <w:t>Требования к программному обеспечению:</w:t>
      </w:r>
      <w:r>
        <w:rPr>
          <w:rFonts w:ascii="Calibri" w:hAnsi="Calibri"/>
          <w:sz w:val="22"/>
        </w:rPr>
        <w:t xml:space="preserve"> Rust 2021, hecs, Rayon, PyO3; Stan/PyMC для байесовской настройки; все изменения требуют прохождения набора регрессионных тестов (≥ 439 тестов + новые тесты для добавленных модулей).</w:t>
      </w:r>
    </w:p>
    <w:p>
      <w:pPr>
        <w:pBdr>
          <w:bottom w:val="single" w:sz="6" w:space="1" w:color="auto"/>
        </w:pBdr>
        <w:spacing w:after="120"/>
      </w:pPr>
    </w:p>
    <w:p>
      <w:pPr>
        <w:spacing w:after="80" w:line="253" w:lineRule="exact"/>
      </w:pPr>
      <w:r>
        <w:rPr>
          <w:rFonts w:ascii="Calibri" w:hAnsi="Calibri"/>
          <w:b/>
          <w:sz w:val="22"/>
        </w:rPr>
        <w:t>WP4 — Терапевтическое доказательство концепции и трансляция</w:t>
      </w:r>
      <w:r>
        <w:rPr>
          <w:rFonts w:ascii="Calibri" w:hAnsi="Calibri"/>
          <w:sz w:val="22"/>
        </w:rPr>
        <w:t xml:space="preserve"> (руководитель: Phasis Academy, M6–M36, 350 тыс. евро)</w:t>
      </w:r>
    </w:p>
    <w:p>
      <w:pPr>
        <w:spacing w:after="80" w:line="253" w:lineRule="exact"/>
      </w:pPr>
      <w:r>
        <w:rPr>
          <w:rFonts w:ascii="Calibri" w:hAnsi="Calibri"/>
          <w:i/>
          <w:sz w:val="22"/>
        </w:rPr>
        <w:t>Цель:</w:t>
      </w:r>
      <w:r>
        <w:rPr>
          <w:rFonts w:ascii="Calibri" w:hAnsi="Calibri"/>
          <w:sz w:val="22"/>
        </w:rPr>
        <w:t xml:space="preserve"> Тестирование предсказанных Cell-DT специфичных для CDATA вмешательств в моделях старения </w:t>
      </w:r>
      <w:r>
        <w:rPr>
          <w:rFonts w:ascii="Calibri" w:hAnsi="Calibri"/>
          <w:i/>
          <w:sz w:val="22"/>
        </w:rPr>
        <w:t>in vitro</w:t>
      </w:r>
      <w:r>
        <w:rPr>
          <w:rFonts w:ascii="Calibri" w:hAnsi="Calibri"/>
          <w:sz w:val="22"/>
        </w:rPr>
        <w:t>; подача патентных заявок; получение писем о намерениях (LoI) от индустриальных партнеров для лицензирования Cell-DT.</w:t>
      </w:r>
    </w:p>
    <w:p>
      <w:pPr>
        <w:spacing w:after="80" w:line="253" w:lineRule="exact"/>
      </w:pPr>
      <w:r>
        <w:rPr>
          <w:rFonts w:ascii="Calibri" w:hAnsi="Calibri"/>
          <w:i/>
          <w:sz w:val="22"/>
        </w:rPr>
        <w:t>Основные задачи:</w:t>
      </w:r>
    </w:p>
    <w:p>
      <w:pPr>
        <w:pStyle w:val="ListBullet"/>
      </w:pPr>
      <w:r>
        <w:rPr>
          <w:rFonts w:ascii="Calibri" w:hAnsi="Calibri"/>
          <w:b/>
          <w:sz w:val="22"/>
        </w:rPr>
        <w:t>T4.0 (M6–M18):</w:t>
      </w:r>
      <w:r>
        <w:rPr>
          <w:rFonts w:ascii="Calibri" w:hAnsi="Calibri"/>
          <w:sz w:val="22"/>
        </w:rPr>
        <w:t xml:space="preserve"> Подготовительный этап — подготовка клеточных линий, подбор доз для топ-3 вмешательств, разработка стандартных операционных процедур (СОП); первые результаты учитываются при разработке T4.2.</w:t>
      </w:r>
    </w:p>
    <w:p>
      <w:pPr>
        <w:pStyle w:val="ListBullet"/>
      </w:pPr>
      <w:r>
        <w:rPr>
          <w:rFonts w:ascii="Calibri" w:hAnsi="Calibri"/>
          <w:b/>
          <w:sz w:val="22"/>
        </w:rPr>
        <w:t>T4.1 (M1):</w:t>
      </w:r>
      <w:r>
        <w:rPr>
          <w:rFonts w:ascii="Calibri" w:hAnsi="Calibri"/>
          <w:sz w:val="22"/>
        </w:rPr>
        <w:t xml:space="preserve"> </w:t>
      </w:r>
      <w:r>
        <w:rPr>
          <w:rFonts w:ascii="Calibri" w:hAnsi="Calibri"/>
          <w:b/>
          <w:sz w:val="22"/>
        </w:rPr>
        <w:t>Подписание Соглашения о консорциуме</w:t>
      </w:r>
      <w:r>
        <w:rPr>
          <w:rFonts w:ascii="Calibri" w:hAnsi="Calibri"/>
          <w:sz w:val="22"/>
        </w:rPr>
        <w:t xml:space="preserve"> (Веха M1); Политика интеллектуальной собственности согласована в начале проекта.</w:t>
      </w:r>
    </w:p>
    <w:p>
      <w:pPr>
        <w:pStyle w:val="ListBullet"/>
      </w:pPr>
      <w:r>
        <w:rPr>
          <w:rFonts w:ascii="Calibri" w:hAnsi="Calibri"/>
          <w:b/>
          <w:sz w:val="22"/>
        </w:rPr>
        <w:t>T4.2 (M18–M30):</w:t>
      </w:r>
      <w:r>
        <w:rPr>
          <w:rFonts w:ascii="Calibri" w:hAnsi="Calibri"/>
          <w:sz w:val="22"/>
        </w:rPr>
        <w:t xml:space="preserve"> Тестирование </w:t>
      </w:r>
      <w:r>
        <w:rPr>
          <w:rFonts w:ascii="Calibri" w:hAnsi="Calibri"/>
          <w:i/>
          <w:sz w:val="22"/>
        </w:rPr>
        <w:t>in vitro</w:t>
      </w:r>
      <w:r>
        <w:rPr>
          <w:rFonts w:ascii="Calibri" w:hAnsi="Calibri"/>
          <w:sz w:val="22"/>
        </w:rPr>
        <w:t xml:space="preserve"> топ-3 вмешательств, предсказанных Cell-DT (CentrosomeTransplant, CafdRetainer, Senolytics) на высокопроизводительных моделях IMR90 и CD34⁺ EPC; конечные точки: CAII, SA-β-Gal, EdU, длина ресничек.</w:t>
      </w:r>
    </w:p>
    <w:p>
      <w:pPr>
        <w:pStyle w:val="ListBullet"/>
      </w:pPr>
      <w:r>
        <w:rPr>
          <w:rFonts w:ascii="Calibri" w:hAnsi="Calibri"/>
          <w:b/>
          <w:sz w:val="22"/>
        </w:rPr>
        <w:t>T4.3 (M24–M30):</w:t>
      </w:r>
      <w:r>
        <w:rPr>
          <w:rFonts w:ascii="Calibri" w:hAnsi="Calibri"/>
          <w:sz w:val="22"/>
        </w:rPr>
        <w:t xml:space="preserve"> Сравнение предсказаний Cell-DT с экспериментальными данными (коэффициент корреляции Пирсона r); уточнение параметров вмешательства </w:t>
      </w:r>
      <w:r>
        <w:rPr>
          <w:rFonts w:ascii="Calibri" w:hAnsi="Calibri"/>
          <w:i/>
          <w:sz w:val="22"/>
        </w:rPr>
        <w:t>in silico</w:t>
      </w:r>
      <w:r>
        <w:rPr>
          <w:rFonts w:ascii="Calibri" w:hAnsi="Calibri"/>
          <w:sz w:val="22"/>
        </w:rPr>
        <w:t xml:space="preserve"> с использованием обратной связи от WP4.</w:t>
      </w:r>
    </w:p>
    <w:p>
      <w:pPr>
        <w:pStyle w:val="ListBullet"/>
      </w:pPr>
      <w:r>
        <w:rPr>
          <w:rFonts w:ascii="Calibri" w:hAnsi="Calibri"/>
          <w:b/>
          <w:sz w:val="22"/>
        </w:rPr>
        <w:t>T4.4 (M24–M30):</w:t>
      </w:r>
      <w:r>
        <w:rPr>
          <w:rFonts w:ascii="Calibri" w:hAnsi="Calibri"/>
          <w:sz w:val="22"/>
        </w:rPr>
        <w:t xml:space="preserve"> Подача патентной заявки (анализ CAII + ELISA на CEP164); предварительная подача в Грузии + международная заявка по процедуре PCT.</w:t>
      </w:r>
    </w:p>
    <w:p>
      <w:pPr>
        <w:pStyle w:val="ListBullet"/>
      </w:pPr>
      <w:r>
        <w:rPr>
          <w:rFonts w:ascii="Calibri" w:hAnsi="Calibri"/>
          <w:b/>
          <w:sz w:val="22"/>
        </w:rPr>
        <w:t>T4.5 (M30–M36):</w:t>
      </w:r>
      <w:r>
        <w:rPr>
          <w:rFonts w:ascii="Calibri" w:hAnsi="Calibri"/>
          <w:sz w:val="22"/>
        </w:rPr>
        <w:t xml:space="preserve"> Работа с индустрией (биотехнологии долголетия, фармацевтические CRO); подготовка концептуальной записки для перехода на стадию EIC.</w:t>
      </w:r>
    </w:p>
    <w:p>
      <w:pPr>
        <w:pStyle w:val="ListBullet"/>
      </w:pPr>
      <w:r>
        <w:rPr>
          <w:rFonts w:ascii="Calibri" w:hAnsi="Calibri"/>
          <w:b/>
          <w:sz w:val="22"/>
        </w:rPr>
        <w:t>T4.6 (M36):</w:t>
      </w:r>
      <w:r>
        <w:rPr>
          <w:rFonts w:ascii="Calibri" w:hAnsi="Calibri"/>
          <w:sz w:val="22"/>
        </w:rPr>
        <w:t xml:space="preserve"> Заключительная конференция по распространению результатов (Тбилиси; приглашены докладчики из ЕС); использование сети FORGE-AI для повышения видимости проекта в ЕС.</w:t>
      </w:r>
    </w:p>
    <w:p>
      <w:pPr>
        <w:spacing w:after="80" w:line="253" w:lineRule="exact"/>
      </w:pPr>
      <w:r>
        <w:rPr>
          <w:rFonts w:ascii="Calibri" w:hAnsi="Calibri"/>
          <w:i/>
          <w:sz w:val="22"/>
        </w:rPr>
        <w:t>Основные результаты:</w:t>
      </w:r>
    </w:p>
    <w:p>
      <w:pPr>
        <w:pStyle w:val="ListBullet"/>
      </w:pPr>
      <w:r>
        <w:rPr>
          <w:rFonts w:ascii="Calibri" w:hAnsi="Calibri"/>
          <w:b/>
          <w:sz w:val="22"/>
        </w:rPr>
        <w:t>D4.1 (M1):</w:t>
      </w:r>
      <w:r>
        <w:rPr>
          <w:rFonts w:ascii="Calibri" w:hAnsi="Calibri"/>
          <w:sz w:val="22"/>
        </w:rPr>
        <w:t xml:space="preserve"> Подписанное соглашение о консорциуме (веха M1).</w:t>
      </w:r>
    </w:p>
    <w:p>
      <w:pPr>
        <w:pStyle w:val="ListBullet"/>
      </w:pPr>
      <w:r>
        <w:rPr>
          <w:rFonts w:ascii="Calibri" w:hAnsi="Calibri"/>
          <w:b/>
          <w:sz w:val="22"/>
        </w:rPr>
        <w:t>D4.2 (M30):</w:t>
      </w:r>
      <w:r>
        <w:rPr>
          <w:rFonts w:ascii="Calibri" w:hAnsi="Calibri"/>
          <w:sz w:val="22"/>
        </w:rPr>
        <w:t xml:space="preserve"> Отчет о терапевтическом доказательстве концепции (PoC) по WP4; квитанция о подаче патентной заявки.</w:t>
      </w:r>
    </w:p>
    <w:p>
      <w:pPr>
        <w:pStyle w:val="ListBullet"/>
      </w:pPr>
      <w:r>
        <w:rPr>
          <w:rFonts w:ascii="Calibri" w:hAnsi="Calibri"/>
          <w:b/>
          <w:sz w:val="22"/>
        </w:rPr>
        <w:t>D4.3 (M30):</w:t>
      </w:r>
      <w:r>
        <w:rPr>
          <w:rFonts w:ascii="Calibri" w:hAnsi="Calibri"/>
          <w:sz w:val="22"/>
        </w:rPr>
        <w:t xml:space="preserve"> Письмо о намерениях (LoI) от индустриального партнера (≥1 подписано).</w:t>
      </w:r>
    </w:p>
    <w:p>
      <w:pPr>
        <w:pStyle w:val="ListBullet"/>
      </w:pPr>
      <w:r>
        <w:rPr>
          <w:rFonts w:ascii="Calibri" w:hAnsi="Calibri"/>
          <w:b/>
          <w:sz w:val="22"/>
        </w:rPr>
        <w:t>D4.4 (M36):</w:t>
      </w:r>
      <w:r>
        <w:rPr>
          <w:rFonts w:ascii="Calibri" w:hAnsi="Calibri"/>
          <w:sz w:val="22"/>
        </w:rPr>
        <w:t xml:space="preserve"> Заключительный отчет по проекту; концептуальная записка о переходе на стадию EIC.</w:t>
      </w:r>
    </w:p>
    <w:p>
      <w:pPr>
        <w:pBdr>
          <w:bottom w:val="single" w:sz="6" w:space="1" w:color="auto"/>
        </w:pBdr>
        <w:spacing w:after="120"/>
      </w:pPr>
    </w:p>
    <w:p>
      <w:pPr>
        <w:spacing w:before="200" w:after="80"/>
      </w:pPr>
      <w:r>
        <w:rPr>
          <w:rFonts w:ascii="Calibri" w:hAnsi="Calibri"/>
          <w:b/>
          <w:i/>
          <w:sz w:val="22"/>
        </w:rPr>
        <w:t>Таблица 3.1c: Список результатов</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9E1F2"/>
          </w:tcPr>
          <w:p>
            <w:r/>
            <w:r>
              <w:rPr>
                <w:rFonts w:ascii="Calibri" w:hAnsi="Calibri"/>
                <w:b/>
                <w:sz w:val="20"/>
              </w:rPr>
              <w:t>Д#</w:t>
            </w:r>
          </w:p>
        </w:tc>
        <w:tc>
          <w:tcPr>
            <w:tcW w:type="dxa" w:w="1881"/>
            <w:shd w:val="clear" w:color="auto" w:fill="D9E1F2"/>
          </w:tcPr>
          <w:p>
            <w:r/>
            <w:r>
              <w:rPr>
                <w:rFonts w:ascii="Calibri" w:hAnsi="Calibri"/>
                <w:b/>
                <w:sz w:val="20"/>
              </w:rPr>
              <w:t>Название</w:t>
            </w:r>
          </w:p>
        </w:tc>
        <w:tc>
          <w:tcPr>
            <w:tcW w:type="dxa" w:w="1881"/>
            <w:shd w:val="clear" w:color="auto" w:fill="D9E1F2"/>
          </w:tcPr>
          <w:p>
            <w:r/>
            <w:r>
              <w:rPr>
                <w:rFonts w:ascii="Calibri" w:hAnsi="Calibri"/>
                <w:b/>
                <w:sz w:val="20"/>
              </w:rPr>
              <w:t>WP</w:t>
            </w:r>
          </w:p>
        </w:tc>
        <w:tc>
          <w:tcPr>
            <w:tcW w:type="dxa" w:w="1881"/>
            <w:shd w:val="clear" w:color="auto" w:fill="D9E1F2"/>
          </w:tcPr>
          <w:p>
            <w:r/>
            <w:r>
              <w:rPr>
                <w:rFonts w:ascii="Calibri" w:hAnsi="Calibri"/>
                <w:b/>
                <w:sz w:val="20"/>
              </w:rPr>
              <w:t>Тип</w:t>
            </w:r>
          </w:p>
        </w:tc>
        <w:tc>
          <w:tcPr>
            <w:tcW w:type="dxa" w:w="1881"/>
            <w:shd w:val="clear" w:color="auto" w:fill="D9E1F2"/>
          </w:tcPr>
          <w:p>
            <w:r/>
            <w:r>
              <w:rPr>
                <w:rFonts w:ascii="Calibri" w:hAnsi="Calibri"/>
                <w:b/>
                <w:sz w:val="20"/>
              </w:rPr>
              <w:t>Срок</w:t>
            </w:r>
          </w:p>
        </w:tc>
      </w:tr>
      <w:tr>
        <w:tc>
          <w:tcPr>
            <w:tcW w:type="dxa" w:w="1881"/>
          </w:tcPr>
          <w:p>
            <w:r/>
            <w:r>
              <w:rPr>
                <w:rFonts w:ascii="Calibri" w:hAnsi="Calibri"/>
                <w:sz w:val="20"/>
              </w:rPr>
              <w:t>Д1.1</w:t>
            </w:r>
          </w:p>
        </w:tc>
        <w:tc>
          <w:tcPr>
            <w:tcW w:type="dxa" w:w="1881"/>
          </w:tcPr>
          <w:p>
            <w:r/>
            <w:r>
              <w:rPr>
                <w:rFonts w:ascii="Calibri" w:hAnsi="Calibri"/>
                <w:sz w:val="20"/>
              </w:rPr>
              <w:t>Панель клеточных моделей + СОП</w:t>
            </w:r>
          </w:p>
        </w:tc>
        <w:tc>
          <w:tcPr>
            <w:tcW w:type="dxa" w:w="1881"/>
          </w:tcPr>
          <w:p>
            <w:r/>
            <w:r>
              <w:rPr>
                <w:rFonts w:ascii="Calibri" w:hAnsi="Calibri"/>
                <w:sz w:val="20"/>
              </w:rPr>
              <w:t>WP1</w:t>
            </w:r>
          </w:p>
        </w:tc>
        <w:tc>
          <w:tcPr>
            <w:tcW w:type="dxa" w:w="1881"/>
          </w:tcPr>
          <w:p>
            <w:r/>
            <w:r>
              <w:rPr>
                <w:rFonts w:ascii="Calibri" w:hAnsi="Calibri"/>
                <w:sz w:val="20"/>
              </w:rPr>
              <w:t>Отчет</w:t>
            </w:r>
          </w:p>
        </w:tc>
        <w:tc>
          <w:tcPr>
            <w:tcW w:type="dxa" w:w="1881"/>
          </w:tcPr>
          <w:p>
            <w:r/>
            <w:r>
              <w:rPr>
                <w:rFonts w:ascii="Calibri" w:hAnsi="Calibri"/>
                <w:sz w:val="20"/>
              </w:rPr>
              <w:t>М6</w:t>
            </w:r>
          </w:p>
        </w:tc>
      </w:tr>
      <w:tr>
        <w:tc>
          <w:tcPr>
            <w:tcW w:type="dxa" w:w="1881"/>
          </w:tcPr>
          <w:p>
            <w:r/>
            <w:r>
              <w:rPr>
                <w:rFonts w:ascii="Calibri" w:hAnsi="Calibri"/>
                <w:sz w:val="20"/>
              </w:rPr>
              <w:t>Д1.2</w:t>
            </w:r>
          </w:p>
        </w:tc>
        <w:tc>
          <w:tcPr>
            <w:tcW w:type="dxa" w:w="1881"/>
          </w:tcPr>
          <w:p>
            <w:r/>
            <w:r>
              <w:rPr>
                <w:rFonts w:ascii="Calibri" w:hAnsi="Calibri"/>
                <w:sz w:val="20"/>
              </w:rPr>
              <w:t>Набор данных PTM «доза-эффект»</w:t>
            </w:r>
          </w:p>
        </w:tc>
        <w:tc>
          <w:tcPr>
            <w:tcW w:type="dxa" w:w="1881"/>
          </w:tcPr>
          <w:p>
            <w:r/>
            <w:r>
              <w:rPr>
                <w:rFonts w:ascii="Calibri" w:hAnsi="Calibri"/>
                <w:sz w:val="20"/>
              </w:rPr>
              <w:t>WP1</w:t>
            </w:r>
          </w:p>
        </w:tc>
        <w:tc>
          <w:tcPr>
            <w:tcW w:type="dxa" w:w="1881"/>
          </w:tcPr>
          <w:p>
            <w:r/>
            <w:r>
              <w:rPr>
                <w:rFonts w:ascii="Calibri" w:hAnsi="Calibri"/>
                <w:sz w:val="20"/>
              </w:rPr>
              <w:t>Открытые данные</w:t>
            </w:r>
          </w:p>
        </w:tc>
        <w:tc>
          <w:tcPr>
            <w:tcW w:type="dxa" w:w="1881"/>
          </w:tcPr>
          <w:p>
            <w:r/>
            <w:r>
              <w:rPr>
                <w:rFonts w:ascii="Calibri" w:hAnsi="Calibri"/>
                <w:sz w:val="20"/>
              </w:rPr>
              <w:t>М12</w:t>
            </w:r>
          </w:p>
        </w:tc>
      </w:tr>
      <w:tr>
        <w:tc>
          <w:tcPr>
            <w:tcW w:type="dxa" w:w="1881"/>
          </w:tcPr>
          <w:p>
            <w:r/>
            <w:r>
              <w:rPr>
                <w:rFonts w:ascii="Calibri" w:hAnsi="Calibri"/>
                <w:sz w:val="20"/>
              </w:rPr>
              <w:t>Д1.3</w:t>
            </w:r>
          </w:p>
        </w:tc>
        <w:tc>
          <w:tcPr>
            <w:tcW w:type="dxa" w:w="1881"/>
          </w:tcPr>
          <w:p>
            <w:r/>
            <w:r>
              <w:rPr>
                <w:rFonts w:ascii="Calibri" w:hAnsi="Calibri"/>
                <w:sz w:val="20"/>
              </w:rPr>
              <w:t>Набор данных изображений STED + представленная статья</w:t>
            </w:r>
          </w:p>
        </w:tc>
        <w:tc>
          <w:tcPr>
            <w:tcW w:type="dxa" w:w="1881"/>
          </w:tcPr>
          <w:p>
            <w:r/>
            <w:r>
              <w:rPr>
                <w:rFonts w:ascii="Calibri" w:hAnsi="Calibri"/>
                <w:sz w:val="20"/>
              </w:rPr>
              <w:t>WP1</w:t>
            </w:r>
          </w:p>
        </w:tc>
        <w:tc>
          <w:tcPr>
            <w:tcW w:type="dxa" w:w="1881"/>
          </w:tcPr>
          <w:p>
            <w:r/>
            <w:r>
              <w:rPr>
                <w:rFonts w:ascii="Calibri" w:hAnsi="Calibri"/>
                <w:sz w:val="20"/>
              </w:rPr>
              <w:t>Публикация</w:t>
            </w:r>
          </w:p>
        </w:tc>
        <w:tc>
          <w:tcPr>
            <w:tcW w:type="dxa" w:w="1881"/>
          </w:tcPr>
          <w:p>
            <w:r/>
            <w:r>
              <w:rPr>
                <w:rFonts w:ascii="Calibri" w:hAnsi="Calibri"/>
                <w:sz w:val="20"/>
              </w:rPr>
              <w:t>М18</w:t>
            </w:r>
          </w:p>
        </w:tc>
      </w:tr>
      <w:tr>
        <w:tc>
          <w:tcPr>
            <w:tcW w:type="dxa" w:w="1881"/>
          </w:tcPr>
          <w:p>
            <w:r/>
            <w:r>
              <w:rPr>
                <w:rFonts w:ascii="Calibri" w:hAnsi="Calibri"/>
                <w:sz w:val="20"/>
              </w:rPr>
              <w:t>Д1.4</w:t>
            </w:r>
          </w:p>
        </w:tc>
        <w:tc>
          <w:tcPr>
            <w:tcW w:type="dxa" w:w="1881"/>
          </w:tcPr>
          <w:p>
            <w:r/>
            <w:r>
              <w:rPr>
                <w:rFonts w:ascii="Calibri" w:hAnsi="Calibri"/>
                <w:sz w:val="20"/>
              </w:rPr>
              <w:t>CEP164 подтвержден методом ELISA + итоговый отчет WP1</w:t>
            </w:r>
          </w:p>
        </w:tc>
        <w:tc>
          <w:tcPr>
            <w:tcW w:type="dxa" w:w="1881"/>
          </w:tcPr>
          <w:p>
            <w:r/>
            <w:r>
              <w:rPr>
                <w:rFonts w:ascii="Calibri" w:hAnsi="Calibri"/>
                <w:sz w:val="20"/>
              </w:rPr>
              <w:t>WP1</w:t>
            </w:r>
          </w:p>
        </w:tc>
        <w:tc>
          <w:tcPr>
            <w:tcW w:type="dxa" w:w="1881"/>
          </w:tcPr>
          <w:p>
            <w:r/>
            <w:r>
              <w:rPr>
                <w:rFonts w:ascii="Calibri" w:hAnsi="Calibri"/>
                <w:sz w:val="20"/>
              </w:rPr>
              <w:t>Отчет</w:t>
            </w:r>
          </w:p>
        </w:tc>
        <w:tc>
          <w:tcPr>
            <w:tcW w:type="dxa" w:w="1881"/>
          </w:tcPr>
          <w:p>
            <w:r/>
            <w:r>
              <w:rPr>
                <w:rFonts w:ascii="Calibri" w:hAnsi="Calibri"/>
                <w:sz w:val="20"/>
              </w:rPr>
              <w:t>М24</w:t>
            </w:r>
          </w:p>
        </w:tc>
      </w:tr>
      <w:tr>
        <w:tc>
          <w:tcPr>
            <w:tcW w:type="dxa" w:w="1881"/>
          </w:tcPr>
          <w:p>
            <w:r/>
            <w:r>
              <w:rPr>
                <w:rFonts w:ascii="Calibri" w:hAnsi="Calibri"/>
                <w:sz w:val="20"/>
              </w:rPr>
              <w:t>Д2.1</w:t>
            </w:r>
          </w:p>
        </w:tc>
        <w:tc>
          <w:tcPr>
            <w:tcW w:type="dxa" w:w="1881"/>
          </w:tcPr>
          <w:p>
            <w:r/>
            <w:r>
              <w:rPr>
                <w:rFonts w:ascii="Calibri" w:hAnsi="Calibri"/>
                <w:sz w:val="20"/>
              </w:rPr>
              <w:t>Одобрение этического комитета + протокол набора участников</w:t>
            </w:r>
          </w:p>
        </w:tc>
        <w:tc>
          <w:tcPr>
            <w:tcW w:type="dxa" w:w="1881"/>
          </w:tcPr>
          <w:p>
            <w:r/>
            <w:r>
              <w:rPr>
                <w:rFonts w:ascii="Calibri" w:hAnsi="Calibri"/>
                <w:sz w:val="20"/>
              </w:rPr>
              <w:t>WP2</w:t>
            </w:r>
          </w:p>
        </w:tc>
        <w:tc>
          <w:tcPr>
            <w:tcW w:type="dxa" w:w="1881"/>
          </w:tcPr>
          <w:p>
            <w:r/>
            <w:r>
              <w:rPr>
                <w:rFonts w:ascii="Calibri" w:hAnsi="Calibri"/>
                <w:sz w:val="20"/>
              </w:rPr>
              <w:t>Отчет</w:t>
            </w:r>
          </w:p>
        </w:tc>
        <w:tc>
          <w:tcPr>
            <w:tcW w:type="dxa" w:w="1881"/>
          </w:tcPr>
          <w:p>
            <w:r/>
            <w:r>
              <w:rPr>
                <w:rFonts w:ascii="Calibri" w:hAnsi="Calibri"/>
                <w:sz w:val="20"/>
              </w:rPr>
              <w:t>М9</w:t>
            </w:r>
          </w:p>
        </w:tc>
      </w:tr>
      <w:tr>
        <w:tc>
          <w:tcPr>
            <w:tcW w:type="dxa" w:w="1881"/>
          </w:tcPr>
          <w:p>
            <w:r/>
            <w:r>
              <w:rPr>
                <w:rFonts w:ascii="Calibri" w:hAnsi="Calibri"/>
                <w:sz w:val="20"/>
              </w:rPr>
              <w:t>Д2.2</w:t>
            </w:r>
          </w:p>
        </w:tc>
        <w:tc>
          <w:tcPr>
            <w:tcW w:type="dxa" w:w="1881"/>
          </w:tcPr>
          <w:p>
            <w:r/>
            <w:r>
              <w:rPr>
                <w:rFonts w:ascii="Calibri" w:hAnsi="Calibri"/>
                <w:sz w:val="20"/>
              </w:rPr>
              <w:t>Базовый набор данных (EHDS)</w:t>
            </w:r>
          </w:p>
        </w:tc>
        <w:tc>
          <w:tcPr>
            <w:tcW w:type="dxa" w:w="1881"/>
          </w:tcPr>
          <w:p>
            <w:r/>
            <w:r>
              <w:rPr>
                <w:rFonts w:ascii="Calibri" w:hAnsi="Calibri"/>
                <w:sz w:val="20"/>
              </w:rPr>
              <w:t>WP2</w:t>
            </w:r>
          </w:p>
        </w:tc>
        <w:tc>
          <w:tcPr>
            <w:tcW w:type="dxa" w:w="1881"/>
          </w:tcPr>
          <w:p>
            <w:r/>
            <w:r>
              <w:rPr>
                <w:rFonts w:ascii="Calibri" w:hAnsi="Calibri"/>
                <w:sz w:val="20"/>
              </w:rPr>
              <w:t>Набор данных</w:t>
            </w:r>
          </w:p>
        </w:tc>
        <w:tc>
          <w:tcPr>
            <w:tcW w:type="dxa" w:w="1881"/>
          </w:tcPr>
          <w:p>
            <w:r/>
            <w:r>
              <w:rPr>
                <w:rFonts w:ascii="Calibri" w:hAnsi="Calibri"/>
                <w:sz w:val="20"/>
              </w:rPr>
              <w:t>М18</w:t>
            </w:r>
          </w:p>
        </w:tc>
      </w:tr>
      <w:tr>
        <w:tc>
          <w:tcPr>
            <w:tcW w:type="dxa" w:w="1881"/>
          </w:tcPr>
          <w:p>
            <w:r/>
            <w:r>
              <w:rPr>
                <w:rFonts w:ascii="Calibri" w:hAnsi="Calibri"/>
                <w:sz w:val="20"/>
              </w:rPr>
              <w:t>Д2.3</w:t>
            </w:r>
          </w:p>
        </w:tc>
        <w:tc>
          <w:tcPr>
            <w:tcW w:type="dxa" w:w="1881"/>
          </w:tcPr>
          <w:p>
            <w:r/>
            <w:r>
              <w:rPr>
                <w:rFonts w:ascii="Calibri" w:hAnsi="Calibri"/>
                <w:sz w:val="20"/>
              </w:rPr>
              <w:t>Последующий анализ через 2 года + статья</w:t>
            </w:r>
          </w:p>
        </w:tc>
        <w:tc>
          <w:tcPr>
            <w:tcW w:type="dxa" w:w="1881"/>
          </w:tcPr>
          <w:p>
            <w:r/>
            <w:r>
              <w:rPr>
                <w:rFonts w:ascii="Calibri" w:hAnsi="Calibri"/>
                <w:sz w:val="20"/>
              </w:rPr>
              <w:t>WP2</w:t>
            </w:r>
          </w:p>
        </w:tc>
        <w:tc>
          <w:tcPr>
            <w:tcW w:type="dxa" w:w="1881"/>
          </w:tcPr>
          <w:p>
            <w:r/>
            <w:r>
              <w:rPr>
                <w:rFonts w:ascii="Calibri" w:hAnsi="Calibri"/>
                <w:sz w:val="20"/>
              </w:rPr>
              <w:t>Публикация</w:t>
            </w:r>
          </w:p>
        </w:tc>
        <w:tc>
          <w:tcPr>
            <w:tcW w:type="dxa" w:w="1881"/>
          </w:tcPr>
          <w:p>
            <w:r/>
            <w:r>
              <w:rPr>
                <w:rFonts w:ascii="Calibri" w:hAnsi="Calibri"/>
                <w:sz w:val="20"/>
              </w:rPr>
              <w:t>М36</w:t>
            </w:r>
          </w:p>
        </w:tc>
      </w:tr>
      <w:tr>
        <w:tc>
          <w:tcPr>
            <w:tcW w:type="dxa" w:w="1881"/>
          </w:tcPr>
          <w:p>
            <w:r/>
            <w:r>
              <w:rPr>
                <w:rFonts w:ascii="Calibri" w:hAnsi="Calibri"/>
                <w:sz w:val="20"/>
              </w:rPr>
              <w:t>Д3.1</w:t>
            </w:r>
          </w:p>
        </w:tc>
        <w:tc>
          <w:tcPr>
            <w:tcW w:type="dxa" w:w="1881"/>
          </w:tcPr>
          <w:p>
            <w:r/>
            <w:r>
              <w:rPr>
                <w:rFonts w:ascii="Calibri" w:hAnsi="Calibri"/>
                <w:sz w:val="20"/>
              </w:rPr>
              <w:t>Параметры эксперимента Cell-DT v1.5</w:t>
            </w:r>
          </w:p>
        </w:tc>
        <w:tc>
          <w:tcPr>
            <w:tcW w:type="dxa" w:w="1881"/>
          </w:tcPr>
          <w:p>
            <w:r/>
            <w:r>
              <w:rPr>
                <w:rFonts w:ascii="Calibri" w:hAnsi="Calibri"/>
                <w:sz w:val="20"/>
              </w:rPr>
              <w:t>WP3</w:t>
            </w:r>
          </w:p>
        </w:tc>
        <w:tc>
          <w:tcPr>
            <w:tcW w:type="dxa" w:w="1881"/>
          </w:tcPr>
          <w:p>
            <w:r/>
            <w:r>
              <w:rPr>
                <w:rFonts w:ascii="Calibri" w:hAnsi="Calibri"/>
                <w:sz w:val="20"/>
              </w:rPr>
              <w:t>Программное обеспечение</w:t>
            </w:r>
          </w:p>
        </w:tc>
        <w:tc>
          <w:tcPr>
            <w:tcW w:type="dxa" w:w="1881"/>
          </w:tcPr>
          <w:p>
            <w:r/>
            <w:r>
              <w:rPr>
                <w:rFonts w:ascii="Calibri" w:hAnsi="Calibri"/>
                <w:sz w:val="20"/>
              </w:rPr>
              <w:t>М18</w:t>
            </w:r>
          </w:p>
        </w:tc>
      </w:tr>
      <w:tr>
        <w:tc>
          <w:tcPr>
            <w:tcW w:type="dxa" w:w="1881"/>
          </w:tcPr>
          <w:p>
            <w:r/>
            <w:r>
              <w:rPr>
                <w:rFonts w:ascii="Calibri" w:hAnsi="Calibri"/>
                <w:sz w:val="20"/>
              </w:rPr>
              <w:t>Д3.2</w:t>
            </w:r>
          </w:p>
        </w:tc>
        <w:tc>
          <w:tcPr>
            <w:tcW w:type="dxa" w:w="1881"/>
          </w:tcPr>
          <w:p>
            <w:r/>
            <w:r>
              <w:rPr>
                <w:rFonts w:ascii="Calibri" w:hAnsi="Calibri"/>
                <w:sz w:val="20"/>
              </w:rPr>
              <w:t>Модуль pBA проверен + статья отправлена</w:t>
            </w:r>
          </w:p>
        </w:tc>
        <w:tc>
          <w:tcPr>
            <w:tcW w:type="dxa" w:w="1881"/>
          </w:tcPr>
          <w:p>
            <w:r/>
            <w:r>
              <w:rPr>
                <w:rFonts w:ascii="Calibri" w:hAnsi="Calibri"/>
                <w:sz w:val="20"/>
              </w:rPr>
              <w:t>WP3</w:t>
            </w:r>
          </w:p>
        </w:tc>
        <w:tc>
          <w:tcPr>
            <w:tcW w:type="dxa" w:w="1881"/>
          </w:tcPr>
          <w:p>
            <w:r/>
            <w:r>
              <w:rPr>
                <w:rFonts w:ascii="Calibri" w:hAnsi="Calibri"/>
                <w:sz w:val="20"/>
              </w:rPr>
              <w:t>Публикация</w:t>
            </w:r>
          </w:p>
        </w:tc>
        <w:tc>
          <w:tcPr>
            <w:tcW w:type="dxa" w:w="1881"/>
          </w:tcPr>
          <w:p>
            <w:r/>
            <w:r>
              <w:rPr>
                <w:rFonts w:ascii="Calibri" w:hAnsi="Calibri"/>
                <w:sz w:val="20"/>
              </w:rPr>
              <w:t>М24</w:t>
            </w:r>
          </w:p>
        </w:tc>
      </w:tr>
      <w:tr>
        <w:tc>
          <w:tcPr>
            <w:tcW w:type="dxa" w:w="1881"/>
          </w:tcPr>
          <w:p>
            <w:r/>
            <w:r>
              <w:rPr>
                <w:rFonts w:ascii="Calibri" w:hAnsi="Calibri"/>
                <w:sz w:val="20"/>
              </w:rPr>
              <w:t>Д3.3</w:t>
            </w:r>
          </w:p>
        </w:tc>
        <w:tc>
          <w:tcPr>
            <w:tcW w:type="dxa" w:w="1881"/>
          </w:tcPr>
          <w:p>
            <w:r/>
            <w:r>
              <w:rPr>
                <w:rFonts w:ascii="Calibri" w:hAnsi="Calibri"/>
                <w:sz w:val="20"/>
              </w:rPr>
              <w:t>Публичный релиз Cell-DT v2.0</w:t>
            </w:r>
          </w:p>
        </w:tc>
        <w:tc>
          <w:tcPr>
            <w:tcW w:type="dxa" w:w="1881"/>
          </w:tcPr>
          <w:p>
            <w:r/>
            <w:r>
              <w:rPr>
                <w:rFonts w:ascii="Calibri" w:hAnsi="Calibri"/>
                <w:sz w:val="20"/>
              </w:rPr>
              <w:t>WP3</w:t>
            </w:r>
          </w:p>
        </w:tc>
        <w:tc>
          <w:tcPr>
            <w:tcW w:type="dxa" w:w="1881"/>
          </w:tcPr>
          <w:p>
            <w:r/>
            <w:r>
              <w:rPr>
                <w:rFonts w:ascii="Calibri" w:hAnsi="Calibri"/>
                <w:sz w:val="20"/>
              </w:rPr>
              <w:t>Программное обеспечение</w:t>
            </w:r>
          </w:p>
        </w:tc>
        <w:tc>
          <w:tcPr>
            <w:tcW w:type="dxa" w:w="1881"/>
          </w:tcPr>
          <w:p>
            <w:r/>
            <w:r>
              <w:rPr>
                <w:rFonts w:ascii="Calibri" w:hAnsi="Calibri"/>
                <w:sz w:val="20"/>
              </w:rPr>
              <w:t>М36</w:t>
            </w:r>
          </w:p>
        </w:tc>
      </w:tr>
      <w:tr>
        <w:tc>
          <w:tcPr>
            <w:tcW w:type="dxa" w:w="1881"/>
          </w:tcPr>
          <w:p>
            <w:r/>
            <w:r>
              <w:rPr>
                <w:rFonts w:ascii="Calibri" w:hAnsi="Calibri"/>
                <w:sz w:val="20"/>
              </w:rPr>
              <w:t>Д4.1</w:t>
            </w:r>
          </w:p>
        </w:tc>
        <w:tc>
          <w:tcPr>
            <w:tcW w:type="dxa" w:w="1881"/>
          </w:tcPr>
          <w:p>
            <w:r/>
            <w:r>
              <w:rPr>
                <w:rFonts w:ascii="Calibri" w:hAnsi="Calibri"/>
                <w:sz w:val="20"/>
              </w:rPr>
              <w:t>Соглашение о консорциуме</w:t>
            </w:r>
          </w:p>
        </w:tc>
        <w:tc>
          <w:tcPr>
            <w:tcW w:type="dxa" w:w="1881"/>
          </w:tcPr>
          <w:p>
            <w:r/>
            <w:r>
              <w:rPr>
                <w:rFonts w:ascii="Calibri" w:hAnsi="Calibri"/>
                <w:sz w:val="20"/>
              </w:rPr>
              <w:t>WP4</w:t>
            </w:r>
          </w:p>
        </w:tc>
        <w:tc>
          <w:tcPr>
            <w:tcW w:type="dxa" w:w="1881"/>
          </w:tcPr>
          <w:p>
            <w:r/>
            <w:r>
              <w:rPr>
                <w:rFonts w:ascii="Calibri" w:hAnsi="Calibri"/>
                <w:sz w:val="20"/>
              </w:rPr>
              <w:t>Админ.</w:t>
            </w:r>
          </w:p>
        </w:tc>
        <w:tc>
          <w:tcPr>
            <w:tcW w:type="dxa" w:w="1881"/>
          </w:tcPr>
          <w:p>
            <w:r/>
            <w:r>
              <w:rPr>
                <w:rFonts w:ascii="Calibri" w:hAnsi="Calibri"/>
                <w:sz w:val="20"/>
              </w:rPr>
              <w:t>М1</w:t>
            </w:r>
          </w:p>
        </w:tc>
      </w:tr>
      <w:tr>
        <w:tc>
          <w:tcPr>
            <w:tcW w:type="dxa" w:w="1881"/>
          </w:tcPr>
          <w:p>
            <w:r/>
            <w:r>
              <w:rPr>
                <w:rFonts w:ascii="Calibri" w:hAnsi="Calibri"/>
                <w:sz w:val="20"/>
              </w:rPr>
              <w:t>Д4.2</w:t>
            </w:r>
          </w:p>
        </w:tc>
        <w:tc>
          <w:tcPr>
            <w:tcW w:type="dxa" w:w="1881"/>
          </w:tcPr>
          <w:p>
            <w:r/>
            <w:r>
              <w:rPr>
                <w:rFonts w:ascii="Calibri" w:hAnsi="Calibri"/>
                <w:sz w:val="20"/>
              </w:rPr>
              <w:t>Отчет о терапевтическом PoC + подача патентной заявки</w:t>
            </w:r>
          </w:p>
        </w:tc>
        <w:tc>
          <w:tcPr>
            <w:tcW w:type="dxa" w:w="1881"/>
          </w:tcPr>
          <w:p>
            <w:r/>
            <w:r>
              <w:rPr>
                <w:rFonts w:ascii="Calibri" w:hAnsi="Calibri"/>
                <w:sz w:val="20"/>
              </w:rPr>
              <w:t>WP4</w:t>
            </w:r>
          </w:p>
        </w:tc>
        <w:tc>
          <w:tcPr>
            <w:tcW w:type="dxa" w:w="1881"/>
          </w:tcPr>
          <w:p>
            <w:r/>
            <w:r>
              <w:rPr>
                <w:rFonts w:ascii="Calibri" w:hAnsi="Calibri"/>
                <w:sz w:val="20"/>
              </w:rPr>
              <w:t>Отчет/IP</w:t>
            </w:r>
          </w:p>
        </w:tc>
        <w:tc>
          <w:tcPr>
            <w:tcW w:type="dxa" w:w="1881"/>
          </w:tcPr>
          <w:p>
            <w:r/>
            <w:r>
              <w:rPr>
                <w:rFonts w:ascii="Calibri" w:hAnsi="Calibri"/>
                <w:sz w:val="20"/>
              </w:rPr>
              <w:t>М30</w:t>
            </w:r>
          </w:p>
        </w:tc>
      </w:tr>
      <w:tr>
        <w:tc>
          <w:tcPr>
            <w:tcW w:type="dxa" w:w="1881"/>
          </w:tcPr>
          <w:p>
            <w:r/>
            <w:r>
              <w:rPr>
                <w:rFonts w:ascii="Calibri" w:hAnsi="Calibri"/>
                <w:sz w:val="20"/>
              </w:rPr>
              <w:t>Д4.3</w:t>
            </w:r>
          </w:p>
        </w:tc>
        <w:tc>
          <w:tcPr>
            <w:tcW w:type="dxa" w:w="1881"/>
          </w:tcPr>
          <w:p>
            <w:r/>
            <w:r>
              <w:rPr>
                <w:rFonts w:ascii="Calibri" w:hAnsi="Calibri"/>
                <w:sz w:val="20"/>
              </w:rPr>
              <w:t>Письмо о намерениях от индустрии</w:t>
            </w:r>
          </w:p>
        </w:tc>
        <w:tc>
          <w:tcPr>
            <w:tcW w:type="dxa" w:w="1881"/>
          </w:tcPr>
          <w:p>
            <w:r/>
            <w:r>
              <w:rPr>
                <w:rFonts w:ascii="Calibri" w:hAnsi="Calibri"/>
                <w:sz w:val="20"/>
              </w:rPr>
              <w:t>WP4</w:t>
            </w:r>
          </w:p>
        </w:tc>
        <w:tc>
          <w:tcPr>
            <w:tcW w:type="dxa" w:w="1881"/>
          </w:tcPr>
          <w:p>
            <w:r/>
            <w:r>
              <w:rPr>
                <w:rFonts w:ascii="Calibri" w:hAnsi="Calibri"/>
                <w:sz w:val="20"/>
              </w:rPr>
              <w:t>Админ.</w:t>
            </w:r>
          </w:p>
        </w:tc>
        <w:tc>
          <w:tcPr>
            <w:tcW w:type="dxa" w:w="1881"/>
          </w:tcPr>
          <w:p>
            <w:r/>
            <w:r>
              <w:rPr>
                <w:rFonts w:ascii="Calibri" w:hAnsi="Calibri"/>
                <w:sz w:val="20"/>
              </w:rPr>
              <w:t>М30</w:t>
            </w:r>
          </w:p>
        </w:tc>
      </w:tr>
      <w:tr>
        <w:tc>
          <w:tcPr>
            <w:tcW w:type="dxa" w:w="1881"/>
          </w:tcPr>
          <w:p>
            <w:r/>
            <w:r>
              <w:rPr>
                <w:rFonts w:ascii="Calibri" w:hAnsi="Calibri"/>
                <w:sz w:val="20"/>
              </w:rPr>
              <w:t>Д4.4</w:t>
            </w:r>
          </w:p>
        </w:tc>
        <w:tc>
          <w:tcPr>
            <w:tcW w:type="dxa" w:w="1881"/>
          </w:tcPr>
          <w:p>
            <w:r/>
            <w:r>
              <w:rPr>
                <w:rFonts w:ascii="Calibri" w:hAnsi="Calibri"/>
                <w:sz w:val="20"/>
              </w:rPr>
              <w:t>Итоговый отчет + концептуальная записка по переходу к EIC</w:t>
            </w:r>
          </w:p>
        </w:tc>
        <w:tc>
          <w:tcPr>
            <w:tcW w:type="dxa" w:w="1881"/>
          </w:tcPr>
          <w:p>
            <w:r/>
            <w:r>
              <w:rPr>
                <w:rFonts w:ascii="Calibri" w:hAnsi="Calibri"/>
                <w:sz w:val="20"/>
              </w:rPr>
              <w:t>WP4</w:t>
            </w:r>
          </w:p>
        </w:tc>
        <w:tc>
          <w:tcPr>
            <w:tcW w:type="dxa" w:w="1881"/>
          </w:tcPr>
          <w:p>
            <w:r/>
            <w:r>
              <w:rPr>
                <w:rFonts w:ascii="Calibri" w:hAnsi="Calibri"/>
                <w:sz w:val="20"/>
              </w:rPr>
              <w:t>Отчет</w:t>
            </w:r>
          </w:p>
        </w:tc>
        <w:tc>
          <w:tcPr>
            <w:tcW w:type="dxa" w:w="1881"/>
          </w:tcPr>
          <w:p>
            <w:r/>
            <w:r>
              <w:rPr>
                <w:rFonts w:ascii="Calibri" w:hAnsi="Calibri"/>
                <w:sz w:val="20"/>
              </w:rPr>
              <w:t>М36</w:t>
            </w:r>
          </w:p>
        </w:tc>
      </w:tr>
    </w:tbl>
    <w:p>
      <w:pPr>
        <w:spacing w:before="200" w:after="80"/>
      </w:pPr>
      <w:r>
        <w:rPr>
          <w:rFonts w:ascii="Calibri" w:hAnsi="Calibri"/>
          <w:b/>
          <w:i/>
          <w:sz w:val="22"/>
        </w:rPr>
        <w:t>Таблица 3.1d: Список вех</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9E1F2"/>
          </w:tcPr>
          <w:p>
            <w:r/>
            <w:r>
              <w:rPr>
                <w:rFonts w:ascii="Calibri" w:hAnsi="Calibri"/>
                <w:b/>
                <w:sz w:val="20"/>
              </w:rPr>
              <w:t>М#</w:t>
            </w:r>
          </w:p>
        </w:tc>
        <w:tc>
          <w:tcPr>
            <w:tcW w:type="dxa" w:w="1881"/>
            <w:shd w:val="clear" w:color="auto" w:fill="D9E1F2"/>
          </w:tcPr>
          <w:p>
            <w:r/>
            <w:r>
              <w:rPr>
                <w:rFonts w:ascii="Calibri" w:hAnsi="Calibri"/>
                <w:b/>
                <w:sz w:val="20"/>
              </w:rPr>
              <w:t>Веха</w:t>
            </w:r>
          </w:p>
        </w:tc>
        <w:tc>
          <w:tcPr>
            <w:tcW w:type="dxa" w:w="1881"/>
            <w:shd w:val="clear" w:color="auto" w:fill="D9E1F2"/>
          </w:tcPr>
          <w:p>
            <w:r/>
            <w:r>
              <w:rPr>
                <w:rFonts w:ascii="Calibri" w:hAnsi="Calibri"/>
                <w:b/>
                <w:sz w:val="20"/>
              </w:rPr>
              <w:t>WP</w:t>
            </w:r>
          </w:p>
        </w:tc>
        <w:tc>
          <w:tcPr>
            <w:tcW w:type="dxa" w:w="1881"/>
            <w:shd w:val="clear" w:color="auto" w:fill="D9E1F2"/>
          </w:tcPr>
          <w:p>
            <w:r/>
            <w:r>
              <w:rPr>
                <w:rFonts w:ascii="Calibri" w:hAnsi="Calibri"/>
                <w:b/>
                <w:sz w:val="20"/>
              </w:rPr>
              <w:t>Срок</w:t>
            </w:r>
          </w:p>
        </w:tc>
        <w:tc>
          <w:tcPr>
            <w:tcW w:type="dxa" w:w="1881"/>
            <w:shd w:val="clear" w:color="auto" w:fill="D9E1F2"/>
          </w:tcPr>
          <w:p>
            <w:r/>
            <w:r>
              <w:rPr>
                <w:rFonts w:ascii="Calibri" w:hAnsi="Calibri"/>
                <w:b/>
                <w:sz w:val="20"/>
              </w:rPr>
              <w:t>Критерий проверки</w:t>
            </w:r>
          </w:p>
        </w:tc>
      </w:tr>
      <w:tr>
        <w:tc>
          <w:tcPr>
            <w:tcW w:type="dxa" w:w="1881"/>
          </w:tcPr>
          <w:p>
            <w:r/>
            <w:r>
              <w:rPr>
                <w:rFonts w:ascii="Calibri" w:hAnsi="Calibri"/>
                <w:sz w:val="20"/>
              </w:rPr>
              <w:t>М1</w:t>
            </w:r>
          </w:p>
        </w:tc>
        <w:tc>
          <w:tcPr>
            <w:tcW w:type="dxa" w:w="1881"/>
          </w:tcPr>
          <w:p>
            <w:r/>
            <w:r>
              <w:rPr>
                <w:rFonts w:ascii="Calibri" w:hAnsi="Calibri"/>
                <w:sz w:val="20"/>
              </w:rPr>
              <w:t>Подписано соглашение о консорциуме</w:t>
            </w:r>
          </w:p>
        </w:tc>
        <w:tc>
          <w:tcPr>
            <w:tcW w:type="dxa" w:w="1881"/>
          </w:tcPr>
          <w:p>
            <w:r/>
            <w:r>
              <w:rPr>
                <w:rFonts w:ascii="Calibri" w:hAnsi="Calibri"/>
                <w:sz w:val="20"/>
              </w:rPr>
              <w:t>WP4</w:t>
            </w:r>
          </w:p>
        </w:tc>
        <w:tc>
          <w:tcPr>
            <w:tcW w:type="dxa" w:w="1881"/>
          </w:tcPr>
          <w:p>
            <w:r/>
            <w:r>
              <w:rPr>
                <w:rFonts w:ascii="Calibri" w:hAnsi="Calibri"/>
                <w:sz w:val="20"/>
              </w:rPr>
              <w:t>М1</w:t>
            </w:r>
          </w:p>
        </w:tc>
        <w:tc>
          <w:tcPr>
            <w:tcW w:type="dxa" w:w="1881"/>
          </w:tcPr>
          <w:p>
            <w:r/>
            <w:r>
              <w:rPr>
                <w:rFonts w:ascii="Calibri" w:hAnsi="Calibri"/>
                <w:sz w:val="20"/>
              </w:rPr>
              <w:t>Подписанный документ</w:t>
            </w:r>
          </w:p>
        </w:tc>
      </w:tr>
      <w:tr>
        <w:tc>
          <w:tcPr>
            <w:tcW w:type="dxa" w:w="1881"/>
          </w:tcPr>
          <w:p>
            <w:r/>
            <w:r>
              <w:rPr>
                <w:rFonts w:ascii="Calibri" w:hAnsi="Calibri"/>
                <w:sz w:val="20"/>
              </w:rPr>
              <w:t>М2</w:t>
            </w:r>
          </w:p>
        </w:tc>
        <w:tc>
          <w:tcPr>
            <w:tcW w:type="dxa" w:w="1881"/>
          </w:tcPr>
          <w:p>
            <w:r/>
            <w:r>
              <w:rPr>
                <w:rFonts w:ascii="Calibri" w:hAnsi="Calibri"/>
                <w:sz w:val="20"/>
              </w:rPr>
              <w:t>Получено этическое одобрение (WP2)</w:t>
            </w:r>
          </w:p>
        </w:tc>
        <w:tc>
          <w:tcPr>
            <w:tcW w:type="dxa" w:w="1881"/>
          </w:tcPr>
          <w:p>
            <w:r/>
            <w:r>
              <w:rPr>
                <w:rFonts w:ascii="Calibri" w:hAnsi="Calibri"/>
                <w:sz w:val="20"/>
              </w:rPr>
              <w:t>WP2</w:t>
            </w:r>
          </w:p>
        </w:tc>
        <w:tc>
          <w:tcPr>
            <w:tcW w:type="dxa" w:w="1881"/>
          </w:tcPr>
          <w:p>
            <w:r/>
            <w:r>
              <w:rPr>
                <w:rFonts w:ascii="Calibri" w:hAnsi="Calibri"/>
                <w:sz w:val="20"/>
              </w:rPr>
              <w:t>М9</w:t>
            </w:r>
          </w:p>
        </w:tc>
        <w:tc>
          <w:tcPr>
            <w:tcW w:type="dxa" w:w="1881"/>
          </w:tcPr>
          <w:p>
            <w:r/>
            <w:r>
              <w:rPr>
                <w:rFonts w:ascii="Calibri" w:hAnsi="Calibri"/>
                <w:sz w:val="20"/>
              </w:rPr>
              <w:t>Письмо IRB</w:t>
            </w:r>
          </w:p>
        </w:tc>
      </w:tr>
      <w:tr>
        <w:tc>
          <w:tcPr>
            <w:tcW w:type="dxa" w:w="1881"/>
          </w:tcPr>
          <w:p>
            <w:r/>
            <w:r>
              <w:rPr>
                <w:rFonts w:ascii="Calibri" w:hAnsi="Calibri"/>
                <w:sz w:val="20"/>
              </w:rPr>
              <w:t>М3</w:t>
            </w:r>
          </w:p>
        </w:tc>
        <w:tc>
          <w:tcPr>
            <w:tcW w:type="dxa" w:w="1881"/>
          </w:tcPr>
          <w:p>
            <w:r/>
            <w:r>
              <w:rPr>
                <w:rFonts w:ascii="Calibri" w:hAnsi="Calibri"/>
                <w:sz w:val="20"/>
              </w:rPr>
              <w:t>Панель клеточных моделей + валидация SOP для CAII</w:t>
            </w:r>
          </w:p>
        </w:tc>
        <w:tc>
          <w:tcPr>
            <w:tcW w:type="dxa" w:w="1881"/>
          </w:tcPr>
          <w:p>
            <w:r/>
            <w:r>
              <w:rPr>
                <w:rFonts w:ascii="Calibri" w:hAnsi="Calibri"/>
                <w:sz w:val="20"/>
              </w:rPr>
              <w:t>WP1</w:t>
            </w:r>
          </w:p>
        </w:tc>
        <w:tc>
          <w:tcPr>
            <w:tcW w:type="dxa" w:w="1881"/>
          </w:tcPr>
          <w:p>
            <w:r/>
            <w:r>
              <w:rPr>
                <w:rFonts w:ascii="Calibri" w:hAnsi="Calibri"/>
                <w:sz w:val="20"/>
              </w:rPr>
              <w:t>М6</w:t>
            </w:r>
          </w:p>
        </w:tc>
        <w:tc>
          <w:tcPr>
            <w:tcW w:type="dxa" w:w="1881"/>
          </w:tcPr>
          <w:p>
            <w:r/>
            <w:r>
              <w:rPr>
                <w:rFonts w:ascii="Calibri" w:hAnsi="Calibri"/>
                <w:sz w:val="20"/>
              </w:rPr>
              <w:t>Отчет о контроле качества</w:t>
            </w:r>
          </w:p>
        </w:tc>
      </w:tr>
      <w:tr>
        <w:tc>
          <w:tcPr>
            <w:tcW w:type="dxa" w:w="1881"/>
          </w:tcPr>
          <w:p>
            <w:r/>
            <w:r>
              <w:rPr>
                <w:rFonts w:ascii="Calibri" w:hAnsi="Calibri"/>
                <w:sz w:val="20"/>
              </w:rPr>
              <w:t>М4</w:t>
            </w:r>
          </w:p>
        </w:tc>
        <w:tc>
          <w:tcPr>
            <w:tcW w:type="dxa" w:w="1881"/>
          </w:tcPr>
          <w:p>
            <w:r/>
            <w:r>
              <w:rPr>
                <w:rFonts w:ascii="Calibri" w:hAnsi="Calibri"/>
                <w:sz w:val="20"/>
              </w:rPr>
              <w:t>Завершен набор данных «доза-эффект» для PTM</w:t>
            </w:r>
          </w:p>
        </w:tc>
        <w:tc>
          <w:tcPr>
            <w:tcW w:type="dxa" w:w="1881"/>
          </w:tcPr>
          <w:p>
            <w:r/>
            <w:r>
              <w:rPr>
                <w:rFonts w:ascii="Calibri" w:hAnsi="Calibri"/>
                <w:sz w:val="20"/>
              </w:rPr>
              <w:t>WP1</w:t>
            </w:r>
          </w:p>
        </w:tc>
        <w:tc>
          <w:tcPr>
            <w:tcW w:type="dxa" w:w="1881"/>
          </w:tcPr>
          <w:p>
            <w:r/>
            <w:r>
              <w:rPr>
                <w:rFonts w:ascii="Calibri" w:hAnsi="Calibri"/>
                <w:sz w:val="20"/>
              </w:rPr>
              <w:t>М12</w:t>
            </w:r>
          </w:p>
        </w:tc>
        <w:tc>
          <w:tcPr>
            <w:tcW w:type="dxa" w:w="1881"/>
          </w:tcPr>
          <w:p>
            <w:r/>
            <w:r>
              <w:rPr>
                <w:rFonts w:ascii="Calibri" w:hAnsi="Calibri"/>
                <w:sz w:val="20"/>
              </w:rPr>
              <w:t>Загрузка в Zenodo</w:t>
            </w:r>
          </w:p>
        </w:tc>
      </w:tr>
      <w:tr>
        <w:tc>
          <w:tcPr>
            <w:tcW w:type="dxa" w:w="1881"/>
          </w:tcPr>
          <w:p>
            <w:r/>
            <w:r>
              <w:rPr>
                <w:rFonts w:ascii="Calibri" w:hAnsi="Calibri"/>
                <w:sz w:val="20"/>
              </w:rPr>
              <w:t>М5</w:t>
            </w:r>
          </w:p>
        </w:tc>
        <w:tc>
          <w:tcPr>
            <w:tcW w:type="dxa" w:w="1881"/>
          </w:tcPr>
          <w:p>
            <w:r/>
            <w:r>
              <w:rPr>
                <w:rFonts w:ascii="Calibri" w:hAnsi="Calibri"/>
                <w:sz w:val="20"/>
              </w:rPr>
              <w:t>Полная базовая когорта участников WP2 (n=288)</w:t>
            </w:r>
          </w:p>
        </w:tc>
        <w:tc>
          <w:tcPr>
            <w:tcW w:type="dxa" w:w="1881"/>
          </w:tcPr>
          <w:p>
            <w:r/>
            <w:r>
              <w:rPr>
                <w:rFonts w:ascii="Calibri" w:hAnsi="Calibri"/>
                <w:sz w:val="20"/>
              </w:rPr>
              <w:t>WP2</w:t>
            </w:r>
          </w:p>
        </w:tc>
        <w:tc>
          <w:tcPr>
            <w:tcW w:type="dxa" w:w="1881"/>
          </w:tcPr>
          <w:p>
            <w:r/>
            <w:r>
              <w:rPr>
                <w:rFonts w:ascii="Calibri" w:hAnsi="Calibri"/>
                <w:sz w:val="20"/>
              </w:rPr>
              <w:t>М18</w:t>
            </w:r>
          </w:p>
        </w:tc>
        <w:tc>
          <w:tcPr>
            <w:tcW w:type="dxa" w:w="1881"/>
          </w:tcPr>
          <w:p>
            <w:r/>
            <w:r>
              <w:rPr>
                <w:rFonts w:ascii="Calibri" w:hAnsi="Calibri"/>
                <w:sz w:val="20"/>
              </w:rPr>
              <w:t>Отчет CTMS</w:t>
            </w:r>
          </w:p>
        </w:tc>
      </w:tr>
      <w:tr>
        <w:tc>
          <w:tcPr>
            <w:tcW w:type="dxa" w:w="1881"/>
          </w:tcPr>
          <w:p>
            <w:r/>
            <w:r>
              <w:rPr>
                <w:rFonts w:ascii="Calibri" w:hAnsi="Calibri"/>
                <w:sz w:val="20"/>
              </w:rPr>
              <w:t>М6</w:t>
            </w:r>
          </w:p>
        </w:tc>
        <w:tc>
          <w:tcPr>
            <w:tcW w:type="dxa" w:w="1881"/>
          </w:tcPr>
          <w:p>
            <w:r/>
            <w:r>
              <w:rPr>
                <w:rFonts w:ascii="Calibri" w:hAnsi="Calibri"/>
                <w:sz w:val="20"/>
              </w:rPr>
              <w:t>Экспериментальная параметризация Cell-DT</w:t>
            </w:r>
          </w:p>
        </w:tc>
        <w:tc>
          <w:tcPr>
            <w:tcW w:type="dxa" w:w="1881"/>
          </w:tcPr>
          <w:p>
            <w:r/>
            <w:r>
              <w:rPr>
                <w:rFonts w:ascii="Calibri" w:hAnsi="Calibri"/>
                <w:sz w:val="20"/>
              </w:rPr>
              <w:t>WP3</w:t>
            </w:r>
          </w:p>
        </w:tc>
        <w:tc>
          <w:tcPr>
            <w:tcW w:type="dxa" w:w="1881"/>
          </w:tcPr>
          <w:p>
            <w:r/>
            <w:r>
              <w:rPr>
                <w:rFonts w:ascii="Calibri" w:hAnsi="Calibri"/>
                <w:sz w:val="20"/>
              </w:rPr>
              <w:t>М18</w:t>
            </w:r>
          </w:p>
        </w:tc>
        <w:tc>
          <w:tcPr>
            <w:tcW w:type="dxa" w:w="1881"/>
          </w:tcPr>
          <w:p>
            <w:r/>
            <w:r>
              <w:rPr>
                <w:rFonts w:ascii="Calibri" w:hAnsi="Calibri"/>
                <w:sz w:val="20"/>
              </w:rPr>
              <w:t>Релиз программного обеспечения</w:t>
            </w:r>
          </w:p>
        </w:tc>
      </w:tr>
      <w:tr>
        <w:tc>
          <w:tcPr>
            <w:tcW w:type="dxa" w:w="1881"/>
          </w:tcPr>
          <w:p>
            <w:r/>
            <w:r>
              <w:rPr>
                <w:rFonts w:ascii="Calibri" w:hAnsi="Calibri"/>
                <w:sz w:val="20"/>
              </w:rPr>
              <w:t>М7</w:t>
            </w:r>
          </w:p>
        </w:tc>
        <w:tc>
          <w:tcPr>
            <w:tcW w:type="dxa" w:w="1881"/>
          </w:tcPr>
          <w:p>
            <w:r/>
            <w:r>
              <w:rPr>
                <w:rFonts w:ascii="Calibri" w:hAnsi="Calibri"/>
                <w:sz w:val="20"/>
              </w:rPr>
              <w:t>Связь CAII со слабостью подтверждена (первичная конечная точка)</w:t>
            </w:r>
          </w:p>
        </w:tc>
        <w:tc>
          <w:tcPr>
            <w:tcW w:type="dxa" w:w="1881"/>
          </w:tcPr>
          <w:p>
            <w:r/>
            <w:r>
              <w:rPr>
                <w:rFonts w:ascii="Calibri" w:hAnsi="Calibri"/>
                <w:sz w:val="20"/>
              </w:rPr>
              <w:t>WP2</w:t>
            </w:r>
          </w:p>
        </w:tc>
        <w:tc>
          <w:tcPr>
            <w:tcW w:type="dxa" w:w="1881"/>
          </w:tcPr>
          <w:p>
            <w:r/>
            <w:r>
              <w:rPr>
                <w:rFonts w:ascii="Calibri" w:hAnsi="Calibri"/>
                <w:sz w:val="20"/>
              </w:rPr>
              <w:t>М30</w:t>
            </w:r>
          </w:p>
        </w:tc>
        <w:tc>
          <w:tcPr>
            <w:tcW w:type="dxa" w:w="1881"/>
          </w:tcPr>
          <w:p>
            <w:r/>
            <w:r>
              <w:rPr>
                <w:rFonts w:ascii="Calibri" w:hAnsi="Calibri"/>
                <w:sz w:val="20"/>
              </w:rPr>
              <w:t>Статистический отчет</w:t>
            </w:r>
          </w:p>
        </w:tc>
      </w:tr>
      <w:tr>
        <w:tc>
          <w:tcPr>
            <w:tcW w:type="dxa" w:w="1881"/>
          </w:tcPr>
          <w:p>
            <w:r/>
            <w:r>
              <w:rPr>
                <w:rFonts w:ascii="Calibri" w:hAnsi="Calibri"/>
                <w:sz w:val="20"/>
              </w:rPr>
              <w:t>М8</w:t>
            </w:r>
          </w:p>
        </w:tc>
        <w:tc>
          <w:tcPr>
            <w:tcW w:type="dxa" w:w="1881"/>
          </w:tcPr>
          <w:p>
            <w:r/>
            <w:r>
              <w:rPr>
                <w:rFonts w:ascii="Calibri" w:hAnsi="Calibri"/>
                <w:sz w:val="20"/>
              </w:rPr>
              <w:t>Поданы патентные заявки</w:t>
            </w:r>
          </w:p>
        </w:tc>
        <w:tc>
          <w:tcPr>
            <w:tcW w:type="dxa" w:w="1881"/>
          </w:tcPr>
          <w:p>
            <w:r/>
            <w:r>
              <w:rPr>
                <w:rFonts w:ascii="Calibri" w:hAnsi="Calibri"/>
                <w:sz w:val="20"/>
              </w:rPr>
              <w:t>WP4</w:t>
            </w:r>
          </w:p>
        </w:tc>
        <w:tc>
          <w:tcPr>
            <w:tcW w:type="dxa" w:w="1881"/>
          </w:tcPr>
          <w:p>
            <w:r/>
            <w:r>
              <w:rPr>
                <w:rFonts w:ascii="Calibri" w:hAnsi="Calibri"/>
                <w:sz w:val="20"/>
              </w:rPr>
              <w:t>М30</w:t>
            </w:r>
          </w:p>
        </w:tc>
        <w:tc>
          <w:tcPr>
            <w:tcW w:type="dxa" w:w="1881"/>
          </w:tcPr>
          <w:p>
            <w:r/>
            <w:r>
              <w:rPr>
                <w:rFonts w:ascii="Calibri" w:hAnsi="Calibri"/>
                <w:sz w:val="20"/>
              </w:rPr>
              <w:t>Квитанция о подаче</w:t>
            </w:r>
          </w:p>
        </w:tc>
      </w:tr>
      <w:tr>
        <w:tc>
          <w:tcPr>
            <w:tcW w:type="dxa" w:w="1881"/>
          </w:tcPr>
          <w:p>
            <w:r/>
            <w:r>
              <w:rPr>
                <w:rFonts w:ascii="Calibri" w:hAnsi="Calibri"/>
                <w:sz w:val="20"/>
              </w:rPr>
              <w:t>М9</w:t>
            </w:r>
          </w:p>
        </w:tc>
        <w:tc>
          <w:tcPr>
            <w:tcW w:type="dxa" w:w="1881"/>
          </w:tcPr>
          <w:p>
            <w:r/>
            <w:r>
              <w:rPr>
                <w:rFonts w:ascii="Calibri" w:hAnsi="Calibri"/>
                <w:sz w:val="20"/>
              </w:rPr>
              <w:t>Открытый релиз Cell-DT v2.0</w:t>
            </w:r>
          </w:p>
        </w:tc>
        <w:tc>
          <w:tcPr>
            <w:tcW w:type="dxa" w:w="1881"/>
          </w:tcPr>
          <w:p>
            <w:r/>
            <w:r>
              <w:rPr>
                <w:rFonts w:ascii="Calibri" w:hAnsi="Calibri"/>
                <w:sz w:val="20"/>
              </w:rPr>
              <w:t>WP3</w:t>
            </w:r>
          </w:p>
        </w:tc>
        <w:tc>
          <w:tcPr>
            <w:tcW w:type="dxa" w:w="1881"/>
          </w:tcPr>
          <w:p>
            <w:r/>
            <w:r>
              <w:rPr>
                <w:rFonts w:ascii="Calibri" w:hAnsi="Calibri"/>
                <w:sz w:val="20"/>
              </w:rPr>
              <w:t>М36</w:t>
            </w:r>
          </w:p>
        </w:tc>
        <w:tc>
          <w:tcPr>
            <w:tcW w:type="dxa" w:w="1881"/>
          </w:tcPr>
          <w:p>
            <w:r/>
            <w:r>
              <w:rPr>
                <w:rFonts w:ascii="Calibri" w:hAnsi="Calibri"/>
                <w:sz w:val="20"/>
              </w:rPr>
              <w:t>GitHub + Zenodo</w:t>
            </w:r>
          </w:p>
        </w:tc>
      </w:tr>
    </w:tbl>
    <w:p>
      <w:pPr>
        <w:spacing w:before="200" w:after="80"/>
      </w:pPr>
      <w:r>
        <w:rPr>
          <w:rFonts w:ascii="Calibri" w:hAnsi="Calibri"/>
          <w:b/>
          <w:i/>
          <w:sz w:val="22"/>
        </w:rPr>
        <w:t>Таблица 3.1e: Диаграмма Ганта</w:t>
      </w:r>
    </w:p>
    <w:p>
      <w:r>
        <w:rPr>
          <w:rFonts w:ascii="Courier New" w:hAnsi="Courier New"/>
          <w:sz w:val="16"/>
        </w:rPr>
        <w:t>WP/Task M01 M02 M03 M04 M05 M06 M07 M08 M09 M10 M11 M12 M13 M14 M15 M16 M17 M18 M19 M20 M21 M22 M23 M24 M25 M26 M27 M28 M29 M30 M31 M32 M33 M34 M35 M36</w:t>
        <w:br/>
        <w:t>WP1-T1.1 ████████████</w:t>
        <w:br/>
        <w:t>WP1-T1.2 ████████████████████████</w:t>
        <w:br/>
        <w:t>WP1-T1.3 ████████████████████████████████</w:t>
        <w:br/>
        <w:t>WP1-T1.4 ████████████████████████</w:t>
        <w:br/>
        <w:t>WP1-T1.5 ████████████████</w:t>
        <w:br/>
        <w:t>WP2-T2.1 ████████████████████</w:t>
        <w:br/>
        <w:t>WP2-T2.2 ████████████████████████████████</w:t>
        <w:br/>
        <w:t>WP2-T2.3 █████████████████████████████████</w:t>
        <w:br/>
        <w:t>WP2-T2.4 ████████████████████████</w:t>
        <w:br/>
        <w:t>WP3-T3.1 ██████████████████████████████████████</w:t>
        <w:br/>
        <w:t>WP3-T3.2 ██████████████████████████████████████</w:t>
        <w:br/>
        <w:t>WP3-T3.3 ████████████████████████████████</w:t>
        <w:br/>
        <w:t>WP3-T3.4 ████████████████████████████</w:t>
        <w:br/>
        <w:t>WP3-T3.5 ████████████████████</w:t>
        <w:br/>
        <w:t>WP4-T4.0 ██████████████████████████████████████</w:t>
        <w:br/>
        <w:t>WP4-T4.1 ██ (M1)</w:t>
        <w:br/>
        <w:t>WP4-T4.2 ██████████████████████████████████████████</w:t>
        <w:br/>
        <w:t>WP4-T4.3 ████████████████████████████</w:t>
        <w:br/>
        <w:t>WP4-T4.4 ████████████████████████</w:t>
        <w:br/>
        <w:t>WP4-T4.5 ████████████████████</w:t>
        <w:br/>
        <w:t>WP4-T4.6 ██████████</w:t>
        <w:br/>
        <w:t>─────────────────────────────────────────────────────────────────────────────────────────</w:t>
        <w:br/>
        <w:t>Вехи ▼M1 ▼M3 ▼M2 ▼M4 ▼M5,M6 ▼M7 ▼M8 ▼M9</w:t>
        <w:br/>
        <w:t>(хронологический) М1 М6 М9 М12 М18 М30 М30 М36</w:t>
      </w:r>
    </w:p>
    <w:p>
      <w:pPr>
        <w:spacing w:before="200" w:after="80"/>
      </w:pPr>
      <w:r>
        <w:rPr>
          <w:rFonts w:ascii="Calibri" w:hAnsi="Calibri"/>
          <w:b/>
          <w:i/>
          <w:sz w:val="22"/>
        </w:rPr>
        <w:t>Таблица 3.1f: Сводная информация о трудозатратах персонала (человеко-месяцы)</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D9E1F2"/>
          </w:tcPr>
          <w:p>
            <w:r/>
            <w:r>
              <w:rPr>
                <w:rFonts w:ascii="Calibri" w:hAnsi="Calibri"/>
                <w:b/>
                <w:sz w:val="20"/>
              </w:rPr>
              <w:t>Роль</w:t>
            </w:r>
          </w:p>
        </w:tc>
        <w:tc>
          <w:tcPr>
            <w:tcW w:type="dxa" w:w="1344"/>
            <w:shd w:val="clear" w:color="auto" w:fill="D9E1F2"/>
          </w:tcPr>
          <w:p>
            <w:r/>
            <w:r>
              <w:rPr>
                <w:rFonts w:ascii="Calibri" w:hAnsi="Calibri"/>
                <w:b/>
                <w:sz w:val="20"/>
              </w:rPr>
              <w:t>Учреждение</w:t>
            </w:r>
          </w:p>
        </w:tc>
        <w:tc>
          <w:tcPr>
            <w:tcW w:type="dxa" w:w="1344"/>
            <w:shd w:val="clear" w:color="auto" w:fill="D9E1F2"/>
          </w:tcPr>
          <w:p>
            <w:r/>
            <w:r>
              <w:rPr>
                <w:rFonts w:ascii="Calibri" w:hAnsi="Calibri"/>
                <w:b/>
                <w:sz w:val="20"/>
              </w:rPr>
              <w:t>WP1</w:t>
            </w:r>
          </w:p>
        </w:tc>
        <w:tc>
          <w:tcPr>
            <w:tcW w:type="dxa" w:w="1344"/>
            <w:shd w:val="clear" w:color="auto" w:fill="D9E1F2"/>
          </w:tcPr>
          <w:p>
            <w:r/>
            <w:r>
              <w:rPr>
                <w:rFonts w:ascii="Calibri" w:hAnsi="Calibri"/>
                <w:b/>
                <w:sz w:val="20"/>
              </w:rPr>
              <w:t>WP2</w:t>
            </w:r>
          </w:p>
        </w:tc>
        <w:tc>
          <w:tcPr>
            <w:tcW w:type="dxa" w:w="1344"/>
            <w:shd w:val="clear" w:color="auto" w:fill="D9E1F2"/>
          </w:tcPr>
          <w:p>
            <w:r/>
            <w:r>
              <w:rPr>
                <w:rFonts w:ascii="Calibri" w:hAnsi="Calibri"/>
                <w:b/>
                <w:sz w:val="20"/>
              </w:rPr>
              <w:t>WP3</w:t>
            </w:r>
          </w:p>
        </w:tc>
        <w:tc>
          <w:tcPr>
            <w:tcW w:type="dxa" w:w="1344"/>
            <w:shd w:val="clear" w:color="auto" w:fill="D9E1F2"/>
          </w:tcPr>
          <w:p>
            <w:r/>
            <w:r>
              <w:rPr>
                <w:rFonts w:ascii="Calibri" w:hAnsi="Calibri"/>
                <w:b/>
                <w:sz w:val="20"/>
              </w:rPr>
              <w:t>WP4</w:t>
            </w:r>
          </w:p>
        </w:tc>
        <w:tc>
          <w:tcPr>
            <w:tcW w:type="dxa" w:w="1344"/>
            <w:shd w:val="clear" w:color="auto" w:fill="D9E1F2"/>
          </w:tcPr>
          <w:p>
            <w:r/>
            <w:r>
              <w:rPr>
                <w:rFonts w:ascii="Calibri" w:hAnsi="Calibri"/>
                <w:b/>
                <w:sz w:val="20"/>
              </w:rPr>
              <w:t>Всего ПМ</w:t>
            </w:r>
          </w:p>
        </w:tc>
      </w:tr>
      <w:tr>
        <w:tc>
          <w:tcPr>
            <w:tcW w:type="dxa" w:w="1344"/>
          </w:tcPr>
          <w:p>
            <w:r/>
            <w:r>
              <w:rPr>
                <w:rFonts w:ascii="Calibri" w:hAnsi="Calibri"/>
                <w:sz w:val="20"/>
              </w:rPr>
              <w:t>П.И. (Ткемаладзе, д.м.н.)</w:t>
            </w:r>
          </w:p>
        </w:tc>
        <w:tc>
          <w:tcPr>
            <w:tcW w:type="dxa" w:w="1344"/>
          </w:tcPr>
          <w:p>
            <w:r/>
            <w:r>
              <w:rPr>
                <w:rFonts w:ascii="Calibri" w:hAnsi="Calibri"/>
                <w:sz w:val="20"/>
              </w:rPr>
              <w:t>Академия Фазис</w:t>
            </w:r>
          </w:p>
        </w:tc>
        <w:tc>
          <w:tcPr>
            <w:tcW w:type="dxa" w:w="1344"/>
          </w:tcPr>
          <w:p>
            <w:r/>
            <w:r>
              <w:rPr>
                <w:rFonts w:ascii="Calibri" w:hAnsi="Calibri"/>
                <w:sz w:val="20"/>
              </w:rPr>
              <w:t>6</w:t>
            </w:r>
          </w:p>
        </w:tc>
        <w:tc>
          <w:tcPr>
            <w:tcW w:type="dxa" w:w="1344"/>
          </w:tcPr>
          <w:p>
            <w:r/>
            <w:r>
              <w:rPr>
                <w:rFonts w:ascii="Calibri" w:hAnsi="Calibri"/>
                <w:sz w:val="20"/>
              </w:rPr>
              <w:t>6</w:t>
            </w:r>
          </w:p>
        </w:tc>
        <w:tc>
          <w:tcPr>
            <w:tcW w:type="dxa" w:w="1344"/>
          </w:tcPr>
          <w:p>
            <w:r/>
            <w:r>
              <w:rPr>
                <w:rFonts w:ascii="Calibri" w:hAnsi="Calibri"/>
                <w:sz w:val="20"/>
              </w:rPr>
              <w:t>18</w:t>
            </w:r>
          </w:p>
        </w:tc>
        <w:tc>
          <w:tcPr>
            <w:tcW w:type="dxa" w:w="1344"/>
          </w:tcPr>
          <w:p>
            <w:r/>
            <w:r>
              <w:rPr>
                <w:rFonts w:ascii="Calibri" w:hAnsi="Calibri"/>
                <w:sz w:val="20"/>
              </w:rPr>
              <w:t>12</w:t>
            </w:r>
          </w:p>
        </w:tc>
        <w:tc>
          <w:tcPr>
            <w:tcW w:type="dxa" w:w="1344"/>
          </w:tcPr>
          <w:p>
            <w:r/>
            <w:r>
              <w:rPr>
                <w:rFonts w:ascii="Calibri" w:hAnsi="Calibri"/>
                <w:sz w:val="20"/>
              </w:rPr>
              <w:t>42</w:t>
            </w:r>
          </w:p>
        </w:tc>
      </w:tr>
      <w:tr>
        <w:tc>
          <w:tcPr>
            <w:tcW w:type="dxa" w:w="1344"/>
          </w:tcPr>
          <w:p>
            <w:r/>
            <w:r>
              <w:rPr>
                <w:rFonts w:ascii="Calibri" w:hAnsi="Calibri"/>
                <w:sz w:val="20"/>
              </w:rPr>
              <w:t>со-ПИ (проф. Батони Гела)</w:t>
            </w:r>
          </w:p>
        </w:tc>
        <w:tc>
          <w:tcPr>
            <w:tcW w:type="dxa" w:w="1344"/>
          </w:tcPr>
          <w:p>
            <w:r/>
            <w:r>
              <w:rPr>
                <w:rFonts w:ascii="Calibri" w:hAnsi="Calibri"/>
                <w:sz w:val="20"/>
              </w:rPr>
              <w:t>ГТУ</w:t>
            </w:r>
          </w:p>
        </w:tc>
        <w:tc>
          <w:tcPr>
            <w:tcW w:type="dxa" w:w="1344"/>
          </w:tcPr>
          <w:p>
            <w:r/>
            <w:r>
              <w:rPr>
                <w:rFonts w:ascii="Calibri" w:hAnsi="Calibri"/>
                <w:sz w:val="20"/>
              </w:rPr>
              <w:t>12</w:t>
            </w:r>
          </w:p>
        </w:tc>
        <w:tc>
          <w:tcPr>
            <w:tcW w:type="dxa" w:w="1344"/>
          </w:tcPr>
          <w:p>
            <w:r/>
            <w:r>
              <w:rPr>
                <w:rFonts w:ascii="Calibri" w:hAnsi="Calibri"/>
                <w:sz w:val="20"/>
              </w:rPr>
              <w:t>12</w:t>
            </w:r>
          </w:p>
        </w:tc>
        <w:tc>
          <w:tcPr>
            <w:tcW w:type="dxa" w:w="1344"/>
          </w:tcPr>
          <w:p>
            <w:r/>
            <w:r>
              <w:rPr>
                <w:rFonts w:ascii="Calibri" w:hAnsi="Calibri"/>
                <w:sz w:val="20"/>
              </w:rPr>
              <w:t>6</w:t>
            </w:r>
          </w:p>
        </w:tc>
        <w:tc>
          <w:tcPr>
            <w:tcW w:type="dxa" w:w="1344"/>
          </w:tcPr>
          <w:p>
            <w:r/>
            <w:r>
              <w:rPr>
                <w:rFonts w:ascii="Calibri" w:hAnsi="Calibri"/>
                <w:sz w:val="20"/>
              </w:rPr>
              <w:t>4</w:t>
            </w:r>
          </w:p>
        </w:tc>
        <w:tc>
          <w:tcPr>
            <w:tcW w:type="dxa" w:w="1344"/>
          </w:tcPr>
          <w:p>
            <w:r/>
            <w:r>
              <w:rPr>
                <w:rFonts w:ascii="Calibri" w:hAnsi="Calibri"/>
                <w:sz w:val="20"/>
              </w:rPr>
              <w:t>34</w:t>
            </w:r>
          </w:p>
        </w:tc>
      </w:tr>
      <w:tr>
        <w:tc>
          <w:tcPr>
            <w:tcW w:type="dxa" w:w="1344"/>
          </w:tcPr>
          <w:p>
            <w:r/>
            <w:r>
              <w:rPr>
                <w:rFonts w:ascii="Calibri" w:hAnsi="Calibri"/>
                <w:sz w:val="20"/>
              </w:rPr>
              <w:t>Постдок — клеточная биология</w:t>
            </w:r>
          </w:p>
        </w:tc>
        <w:tc>
          <w:tcPr>
            <w:tcW w:type="dxa" w:w="1344"/>
          </w:tcPr>
          <w:p>
            <w:r/>
            <w:r>
              <w:rPr>
                <w:rFonts w:ascii="Calibri" w:hAnsi="Calibri"/>
                <w:sz w:val="20"/>
              </w:rPr>
              <w:t>ГТУ</w:t>
            </w:r>
          </w:p>
        </w:tc>
        <w:tc>
          <w:tcPr>
            <w:tcW w:type="dxa" w:w="1344"/>
          </w:tcPr>
          <w:p>
            <w:r/>
            <w:r>
              <w:rPr>
                <w:rFonts w:ascii="Calibri" w:hAnsi="Calibri"/>
                <w:sz w:val="20"/>
              </w:rPr>
              <w:t>18</w:t>
            </w:r>
          </w:p>
        </w:tc>
        <w:tc>
          <w:tcPr>
            <w:tcW w:type="dxa" w:w="1344"/>
          </w:tcPr>
          <w:p>
            <w:r/>
            <w:r>
              <w:rPr>
                <w:rFonts w:ascii="Calibri" w:hAnsi="Calibri"/>
                <w:sz w:val="20"/>
              </w:rPr>
              <w:t>6</w:t>
            </w:r>
          </w:p>
        </w:tc>
        <w:tc>
          <w:tcPr>
            <w:tcW w:type="dxa" w:w="1344"/>
          </w:tcPr>
          <w:p>
            <w:r/>
            <w:r>
              <w:rPr>
                <w:rFonts w:ascii="Calibri" w:hAnsi="Calibri"/>
                <w:sz w:val="20"/>
              </w:rPr>
              <w:t>6</w:t>
            </w:r>
          </w:p>
        </w:tc>
        <w:tc>
          <w:tcPr>
            <w:tcW w:type="dxa" w:w="1344"/>
          </w:tcPr>
          <w:p>
            <w:r/>
            <w:r>
              <w:rPr>
                <w:rFonts w:ascii="Calibri" w:hAnsi="Calibri"/>
                <w:sz w:val="20"/>
              </w:rPr>
              <w:t>6</w:t>
            </w:r>
          </w:p>
        </w:tc>
        <w:tc>
          <w:tcPr>
            <w:tcW w:type="dxa" w:w="1344"/>
          </w:tcPr>
          <w:p>
            <w:r/>
            <w:r>
              <w:rPr>
                <w:rFonts w:ascii="Calibri" w:hAnsi="Calibri"/>
                <w:sz w:val="20"/>
              </w:rPr>
              <w:t>36</w:t>
            </w:r>
          </w:p>
        </w:tc>
      </w:tr>
      <w:tr>
        <w:tc>
          <w:tcPr>
            <w:tcW w:type="dxa" w:w="1344"/>
          </w:tcPr>
          <w:p>
            <w:r/>
            <w:r>
              <w:rPr>
                <w:rFonts w:ascii="Calibri" w:hAnsi="Calibri"/>
                <w:sz w:val="20"/>
              </w:rPr>
              <w:t>Постдок — биоинформатика</w:t>
            </w:r>
          </w:p>
        </w:tc>
        <w:tc>
          <w:tcPr>
            <w:tcW w:type="dxa" w:w="1344"/>
          </w:tcPr>
          <w:p>
            <w:r/>
            <w:r>
              <w:rPr>
                <w:rFonts w:ascii="Calibri" w:hAnsi="Calibri"/>
                <w:sz w:val="20"/>
              </w:rPr>
              <w:t>Академия Фазис</w:t>
            </w:r>
          </w:p>
        </w:tc>
        <w:tc>
          <w:tcPr>
            <w:tcW w:type="dxa" w:w="1344"/>
          </w:tcPr>
          <w:p>
            <w:r/>
            <w:r>
              <w:rPr>
                <w:rFonts w:ascii="Calibri" w:hAnsi="Calibri"/>
                <w:sz w:val="20"/>
              </w:rPr>
              <w:t>—</w:t>
            </w:r>
          </w:p>
        </w:tc>
        <w:tc>
          <w:tcPr>
            <w:tcW w:type="dxa" w:w="1344"/>
          </w:tcPr>
          <w:p>
            <w:r/>
            <w:r>
              <w:rPr>
                <w:rFonts w:ascii="Calibri" w:hAnsi="Calibri"/>
                <w:sz w:val="20"/>
              </w:rPr>
              <w:t>6</w:t>
            </w:r>
          </w:p>
        </w:tc>
        <w:tc>
          <w:tcPr>
            <w:tcW w:type="dxa" w:w="1344"/>
          </w:tcPr>
          <w:p>
            <w:r/>
            <w:r>
              <w:rPr>
                <w:rFonts w:ascii="Calibri" w:hAnsi="Calibri"/>
                <w:sz w:val="20"/>
              </w:rPr>
              <w:t>24</w:t>
            </w:r>
          </w:p>
        </w:tc>
        <w:tc>
          <w:tcPr>
            <w:tcW w:type="dxa" w:w="1344"/>
          </w:tcPr>
          <w:p>
            <w:r/>
            <w:r>
              <w:rPr>
                <w:rFonts w:ascii="Calibri" w:hAnsi="Calibri"/>
                <w:sz w:val="20"/>
              </w:rPr>
              <w:t>6</w:t>
            </w:r>
          </w:p>
        </w:tc>
        <w:tc>
          <w:tcPr>
            <w:tcW w:type="dxa" w:w="1344"/>
          </w:tcPr>
          <w:p>
            <w:r/>
            <w:r>
              <w:rPr>
                <w:rFonts w:ascii="Calibri" w:hAnsi="Calibri"/>
                <w:sz w:val="20"/>
              </w:rPr>
              <w:t>36</w:t>
            </w:r>
          </w:p>
        </w:tc>
      </w:tr>
      <w:tr>
        <w:tc>
          <w:tcPr>
            <w:tcW w:type="dxa" w:w="1344"/>
          </w:tcPr>
          <w:p>
            <w:r/>
            <w:r>
              <w:rPr>
                <w:rFonts w:ascii="Calibri" w:hAnsi="Calibri"/>
                <w:sz w:val="20"/>
              </w:rPr>
              <w:t>Аспирант 1</w:t>
            </w:r>
          </w:p>
        </w:tc>
        <w:tc>
          <w:tcPr>
            <w:tcW w:type="dxa" w:w="1344"/>
          </w:tcPr>
          <w:p>
            <w:r/>
            <w:r>
              <w:rPr>
                <w:rFonts w:ascii="Calibri" w:hAnsi="Calibri"/>
                <w:sz w:val="20"/>
              </w:rPr>
              <w:t>ГТУ</w:t>
            </w:r>
          </w:p>
        </w:tc>
        <w:tc>
          <w:tcPr>
            <w:tcW w:type="dxa" w:w="1344"/>
          </w:tcPr>
          <w:p>
            <w:r/>
            <w:r>
              <w:rPr>
                <w:rFonts w:ascii="Calibri" w:hAnsi="Calibri"/>
                <w:sz w:val="20"/>
              </w:rPr>
              <w:t>24</w:t>
            </w:r>
          </w:p>
        </w:tc>
        <w:tc>
          <w:tcPr>
            <w:tcW w:type="dxa" w:w="1344"/>
          </w:tcPr>
          <w:p>
            <w:r/>
            <w:r>
              <w:rPr>
                <w:rFonts w:ascii="Calibri" w:hAnsi="Calibri"/>
                <w:sz w:val="20"/>
              </w:rPr>
              <w:t>12</w:t>
            </w:r>
          </w:p>
        </w:tc>
        <w:tc>
          <w:tcPr>
            <w:tcW w:type="dxa" w:w="1344"/>
          </w:tcPr>
          <w:p>
            <w:r/>
            <w:r>
              <w:rPr>
                <w:rFonts w:ascii="Calibri" w:hAnsi="Calibri"/>
                <w:sz w:val="20"/>
              </w:rPr>
              <w:t>—</w:t>
            </w:r>
          </w:p>
        </w:tc>
        <w:tc>
          <w:tcPr>
            <w:tcW w:type="dxa" w:w="1344"/>
          </w:tcPr>
          <w:p>
            <w:r/>
            <w:r>
              <w:rPr>
                <w:rFonts w:ascii="Calibri" w:hAnsi="Calibri"/>
                <w:sz w:val="20"/>
              </w:rPr>
              <w:t>6</w:t>
            </w:r>
          </w:p>
        </w:tc>
        <w:tc>
          <w:tcPr>
            <w:tcW w:type="dxa" w:w="1344"/>
          </w:tcPr>
          <w:p>
            <w:r/>
            <w:r>
              <w:rPr>
                <w:rFonts w:ascii="Calibri" w:hAnsi="Calibri"/>
                <w:sz w:val="20"/>
              </w:rPr>
              <w:t>42</w:t>
            </w:r>
          </w:p>
        </w:tc>
      </w:tr>
      <w:tr>
        <w:tc>
          <w:tcPr>
            <w:tcW w:type="dxa" w:w="1344"/>
          </w:tcPr>
          <w:p>
            <w:r/>
            <w:r>
              <w:rPr>
                <w:rFonts w:ascii="Calibri" w:hAnsi="Calibri"/>
                <w:sz w:val="20"/>
              </w:rPr>
              <w:t>Аспирант 2</w:t>
            </w:r>
          </w:p>
        </w:tc>
        <w:tc>
          <w:tcPr>
            <w:tcW w:type="dxa" w:w="1344"/>
          </w:tcPr>
          <w:p>
            <w:r/>
            <w:r>
              <w:rPr>
                <w:rFonts w:ascii="Calibri" w:hAnsi="Calibri"/>
                <w:sz w:val="20"/>
              </w:rPr>
              <w:t>ГТУ</w:t>
            </w:r>
          </w:p>
        </w:tc>
        <w:tc>
          <w:tcPr>
            <w:tcW w:type="dxa" w:w="1344"/>
          </w:tcPr>
          <w:p>
            <w:r/>
            <w:r>
              <w:rPr>
                <w:rFonts w:ascii="Calibri" w:hAnsi="Calibri"/>
                <w:sz w:val="20"/>
              </w:rPr>
              <w:t>—</w:t>
            </w:r>
          </w:p>
        </w:tc>
        <w:tc>
          <w:tcPr>
            <w:tcW w:type="dxa" w:w="1344"/>
          </w:tcPr>
          <w:p>
            <w:r/>
            <w:r>
              <w:rPr>
                <w:rFonts w:ascii="Calibri" w:hAnsi="Calibri"/>
                <w:sz w:val="20"/>
              </w:rPr>
              <w:t>24</w:t>
            </w:r>
          </w:p>
        </w:tc>
        <w:tc>
          <w:tcPr>
            <w:tcW w:type="dxa" w:w="1344"/>
          </w:tcPr>
          <w:p>
            <w:r/>
            <w:r>
              <w:rPr>
                <w:rFonts w:ascii="Calibri" w:hAnsi="Calibri"/>
                <w:sz w:val="20"/>
              </w:rPr>
              <w:t>—</w:t>
            </w:r>
          </w:p>
        </w:tc>
        <w:tc>
          <w:tcPr>
            <w:tcW w:type="dxa" w:w="1344"/>
          </w:tcPr>
          <w:p>
            <w:r/>
            <w:r>
              <w:rPr>
                <w:rFonts w:ascii="Calibri" w:hAnsi="Calibri"/>
                <w:sz w:val="20"/>
              </w:rPr>
              <w:t>12</w:t>
            </w:r>
          </w:p>
        </w:tc>
        <w:tc>
          <w:tcPr>
            <w:tcW w:type="dxa" w:w="1344"/>
          </w:tcPr>
          <w:p>
            <w:r/>
            <w:r>
              <w:rPr>
                <w:rFonts w:ascii="Calibri" w:hAnsi="Calibri"/>
                <w:sz w:val="20"/>
              </w:rPr>
              <w:t>36</w:t>
            </w:r>
          </w:p>
        </w:tc>
      </w:tr>
      <w:tr>
        <w:tc>
          <w:tcPr>
            <w:tcW w:type="dxa" w:w="1344"/>
          </w:tcPr>
          <w:p>
            <w:r/>
            <w:r>
              <w:rPr>
                <w:rFonts w:ascii="Calibri" w:hAnsi="Calibri"/>
                <w:sz w:val="20"/>
              </w:rPr>
              <w:t>Медсестра клинических исследований ×2</w:t>
            </w:r>
          </w:p>
        </w:tc>
        <w:tc>
          <w:tcPr>
            <w:tcW w:type="dxa" w:w="1344"/>
          </w:tcPr>
          <w:p>
            <w:r/>
            <w:r>
              <w:rPr>
                <w:rFonts w:ascii="Calibri" w:hAnsi="Calibri"/>
                <w:sz w:val="20"/>
              </w:rPr>
              <w:t>ГТУ</w:t>
            </w:r>
          </w:p>
        </w:tc>
        <w:tc>
          <w:tcPr>
            <w:tcW w:type="dxa" w:w="1344"/>
          </w:tcPr>
          <w:p>
            <w:r/>
            <w:r>
              <w:rPr>
                <w:rFonts w:ascii="Calibri" w:hAnsi="Calibri"/>
                <w:sz w:val="20"/>
              </w:rPr>
              <w:t>—</w:t>
            </w:r>
          </w:p>
        </w:tc>
        <w:tc>
          <w:tcPr>
            <w:tcW w:type="dxa" w:w="1344"/>
          </w:tcPr>
          <w:p>
            <w:r/>
            <w:r>
              <w:rPr>
                <w:rFonts w:ascii="Calibri" w:hAnsi="Calibri"/>
                <w:sz w:val="20"/>
              </w:rPr>
              <w:t>72</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72</w:t>
            </w:r>
          </w:p>
        </w:tc>
      </w:tr>
      <w:tr>
        <w:tc>
          <w:tcPr>
            <w:tcW w:type="dxa" w:w="1344"/>
          </w:tcPr>
          <w:p>
            <w:r/>
            <w:r>
              <w:rPr>
                <w:rFonts w:ascii="Calibri" w:hAnsi="Calibri"/>
                <w:sz w:val="20"/>
              </w:rPr>
              <w:t>Должность</w:t>
            </w:r>
          </w:p>
        </w:tc>
        <w:tc>
          <w:tcPr>
            <w:tcW w:type="dxa" w:w="1344"/>
          </w:tcPr>
          <w:p>
            <w:r/>
            <w:r>
              <w:rPr>
                <w:rFonts w:ascii="Calibri" w:hAnsi="Calibri"/>
                <w:sz w:val="20"/>
              </w:rPr>
              <w:t>ГТУ</w:t>
            </w:r>
          </w:p>
        </w:tc>
        <w:tc>
          <w:tcPr>
            <w:tcW w:type="dxa" w:w="1344"/>
          </w:tcPr>
          <w:p>
            <w:r/>
            <w:r>
              <w:rPr>
                <w:rFonts w:ascii="Calibri" w:hAnsi="Calibri"/>
                <w:sz w:val="20"/>
              </w:rPr>
              <w:t>M1–M12</w:t>
            </w:r>
          </w:p>
        </w:tc>
        <w:tc>
          <w:tcPr>
            <w:tcW w:type="dxa" w:w="1344"/>
          </w:tcPr>
          <w:p>
            <w:r/>
            <w:r>
              <w:rPr>
                <w:rFonts w:ascii="Calibri" w:hAnsi="Calibri"/>
                <w:sz w:val="20"/>
              </w:rPr>
              <w:t>M13–M24</w:t>
            </w:r>
          </w:p>
        </w:tc>
        <w:tc>
          <w:tcPr>
            <w:tcW w:type="dxa" w:w="1344"/>
          </w:tcPr>
          <w:p>
            <w:r/>
            <w:r>
              <w:rPr>
                <w:rFonts w:ascii="Calibri" w:hAnsi="Calibri"/>
                <w:sz w:val="20"/>
              </w:rPr>
              <w:t>M25–M30</w:t>
            </w:r>
          </w:p>
        </w:tc>
        <w:tc>
          <w:tcPr>
            <w:tcW w:type="dxa" w:w="1344"/>
          </w:tcPr>
          <w:p>
            <w:r/>
            <w:r>
              <w:rPr>
                <w:rFonts w:ascii="Calibri" w:hAnsi="Calibri"/>
                <w:sz w:val="20"/>
              </w:rPr>
              <w:t>M31–M36</w:t>
            </w:r>
          </w:p>
        </w:tc>
        <w:tc>
          <w:tcPr>
            <w:tcW w:type="dxa" w:w="1344"/>
          </w:tcPr>
          <w:p>
            <w:r/>
            <w:r>
              <w:rPr>
                <w:rFonts w:ascii="Calibri" w:hAnsi="Calibri"/>
                <w:sz w:val="20"/>
              </w:rPr>
              <w:t>Всего</w:t>
            </w:r>
          </w:p>
        </w:tc>
      </w:tr>
      <w:tr>
        <w:tc>
          <w:tcPr>
            <w:tcW w:type="dxa" w:w="1344"/>
          </w:tcPr>
          <w:p>
            <w:r/>
            <w:r>
              <w:rPr>
                <w:rFonts w:ascii="Calibri" w:hAnsi="Calibri"/>
                <w:sz w:val="20"/>
              </w:rPr>
              <w:t>Лаборант</w:t>
            </w:r>
          </w:p>
        </w:tc>
        <w:tc>
          <w:tcPr>
            <w:tcW w:type="dxa" w:w="1344"/>
          </w:tcPr>
          <w:p>
            <w:r/>
            <w:r>
              <w:rPr>
                <w:rFonts w:ascii="Calibri" w:hAnsi="Calibri"/>
                <w:sz w:val="20"/>
              </w:rPr>
              <w:t>ГТУ</w:t>
            </w:r>
          </w:p>
        </w:tc>
        <w:tc>
          <w:tcPr>
            <w:tcW w:type="dxa" w:w="1344"/>
          </w:tcPr>
          <w:p>
            <w:r/>
            <w:r>
              <w:rPr>
                <w:rFonts w:ascii="Calibri" w:hAnsi="Calibri"/>
                <w:sz w:val="20"/>
              </w:rPr>
              <w:t>24</w:t>
            </w:r>
          </w:p>
        </w:tc>
        <w:tc>
          <w:tcPr>
            <w:tcW w:type="dxa" w:w="1344"/>
          </w:tcPr>
          <w:p>
            <w:r/>
            <w:r>
              <w:rPr>
                <w:rFonts w:ascii="Calibri" w:hAnsi="Calibri"/>
                <w:sz w:val="20"/>
              </w:rPr>
              <w:t>12</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36</w:t>
            </w:r>
          </w:p>
        </w:tc>
      </w:tr>
      <w:tr>
        <w:tc>
          <w:tcPr>
            <w:tcW w:type="dxa" w:w="1344"/>
          </w:tcPr>
          <w:p>
            <w:r/>
            <w:r>
              <w:rPr>
                <w:rFonts w:ascii="Calibri" w:hAnsi="Calibri"/>
                <w:sz w:val="20"/>
              </w:rPr>
              <w:t>Биостатистик (0.5 FTE)</w:t>
            </w:r>
          </w:p>
        </w:tc>
        <w:tc>
          <w:tcPr>
            <w:tcW w:type="dxa" w:w="1344"/>
          </w:tcPr>
          <w:p>
            <w:r/>
            <w:r>
              <w:rPr>
                <w:rFonts w:ascii="Calibri" w:hAnsi="Calibri"/>
                <w:sz w:val="20"/>
              </w:rPr>
              <w:t>ГТУ</w:t>
            </w:r>
          </w:p>
        </w:tc>
        <w:tc>
          <w:tcPr>
            <w:tcW w:type="dxa" w:w="1344"/>
          </w:tcPr>
          <w:p>
            <w:r/>
            <w:r>
              <w:rPr>
                <w:rFonts w:ascii="Calibri" w:hAnsi="Calibri"/>
                <w:sz w:val="20"/>
              </w:rPr>
              <w:t>—</w:t>
            </w:r>
          </w:p>
        </w:tc>
        <w:tc>
          <w:tcPr>
            <w:tcW w:type="dxa" w:w="1344"/>
          </w:tcPr>
          <w:p>
            <w:r/>
            <w:r>
              <w:rPr>
                <w:rFonts w:ascii="Calibri" w:hAnsi="Calibri"/>
                <w:sz w:val="20"/>
              </w:rPr>
              <w:t>18</w:t>
            </w:r>
          </w:p>
        </w:tc>
        <w:tc>
          <w:tcPr>
            <w:tcW w:type="dxa" w:w="1344"/>
          </w:tcPr>
          <w:p>
            <w:r/>
            <w:r>
              <w:rPr>
                <w:rFonts w:ascii="Calibri" w:hAnsi="Calibri"/>
                <w:sz w:val="20"/>
              </w:rPr>
              <w:t>6</w:t>
            </w:r>
          </w:p>
        </w:tc>
        <w:tc>
          <w:tcPr>
            <w:tcW w:type="dxa" w:w="1344"/>
          </w:tcPr>
          <w:p>
            <w:r/>
            <w:r>
              <w:rPr>
                <w:rFonts w:ascii="Calibri" w:hAnsi="Calibri"/>
                <w:sz w:val="20"/>
              </w:rPr>
              <w:t>3</w:t>
            </w:r>
          </w:p>
        </w:tc>
        <w:tc>
          <w:tcPr>
            <w:tcW w:type="dxa" w:w="1344"/>
          </w:tcPr>
          <w:p>
            <w:r/>
            <w:r>
              <w:rPr>
                <w:rFonts w:ascii="Calibri" w:hAnsi="Calibri"/>
                <w:sz w:val="20"/>
              </w:rPr>
              <w:t>27</w:t>
            </w:r>
          </w:p>
        </w:tc>
      </w:tr>
      <w:tr>
        <w:tc>
          <w:tcPr>
            <w:tcW w:type="dxa" w:w="1344"/>
          </w:tcPr>
          <w:p>
            <w:r/>
            <w:r>
              <w:rPr>
                <w:rFonts w:ascii="Calibri" w:hAnsi="Calibri"/>
                <w:sz w:val="20"/>
              </w:rPr>
              <w:t>Инженер по ПО</w:t>
            </w:r>
          </w:p>
        </w:tc>
        <w:tc>
          <w:tcPr>
            <w:tcW w:type="dxa" w:w="1344"/>
          </w:tcPr>
          <w:p>
            <w:r/>
            <w:r>
              <w:rPr>
                <w:rFonts w:ascii="Calibri" w:hAnsi="Calibri"/>
                <w:sz w:val="20"/>
              </w:rPr>
              <w:t>Академия Фазис</w:t>
            </w:r>
          </w:p>
        </w:tc>
        <w:tc>
          <w:tcPr>
            <w:tcW w:type="dxa" w:w="1344"/>
          </w:tcPr>
          <w:p>
            <w:r/>
            <w:r>
              <w:rPr>
                <w:rFonts w:ascii="Calibri" w:hAnsi="Calibri"/>
                <w:sz w:val="20"/>
              </w:rPr>
              <w:t>—</w:t>
            </w:r>
          </w:p>
        </w:tc>
        <w:tc>
          <w:tcPr>
            <w:tcW w:type="dxa" w:w="1344"/>
          </w:tcPr>
          <w:p>
            <w:r/>
            <w:r>
              <w:rPr>
                <w:rFonts w:ascii="Calibri" w:hAnsi="Calibri"/>
                <w:sz w:val="20"/>
              </w:rPr>
              <w:t>—</w:t>
            </w:r>
          </w:p>
        </w:tc>
        <w:tc>
          <w:tcPr>
            <w:tcW w:type="dxa" w:w="1344"/>
          </w:tcPr>
          <w:p>
            <w:r/>
            <w:r>
              <w:rPr>
                <w:rFonts w:ascii="Calibri" w:hAnsi="Calibri"/>
                <w:sz w:val="20"/>
              </w:rPr>
              <w:t>30</w:t>
            </w:r>
          </w:p>
        </w:tc>
        <w:tc>
          <w:tcPr>
            <w:tcW w:type="dxa" w:w="1344"/>
          </w:tcPr>
          <w:p>
            <w:r/>
            <w:r>
              <w:rPr>
                <w:rFonts w:ascii="Calibri" w:hAnsi="Calibri"/>
                <w:sz w:val="20"/>
              </w:rPr>
              <w:t>6</w:t>
            </w:r>
          </w:p>
        </w:tc>
        <w:tc>
          <w:tcPr>
            <w:tcW w:type="dxa" w:w="1344"/>
          </w:tcPr>
          <w:p>
            <w:r/>
            <w:r>
              <w:rPr>
                <w:rFonts w:ascii="Calibri" w:hAnsi="Calibri"/>
                <w:sz w:val="20"/>
              </w:rPr>
              <w:t>36</w:t>
            </w:r>
          </w:p>
        </w:tc>
      </w:tr>
      <w:tr>
        <w:tc>
          <w:tcPr>
            <w:tcW w:type="dxa" w:w="1344"/>
          </w:tcPr>
          <w:p>
            <w:r/>
            <w:r>
              <w:rPr>
                <w:rFonts w:ascii="Calibri" w:hAnsi="Calibri"/>
                <w:sz w:val="20"/>
              </w:rPr>
              <w:t>Всего</w:t>
            </w:r>
          </w:p>
        </w:tc>
        <w:tc>
          <w:tcPr>
            <w:tcW w:type="dxa" w:w="1344"/>
          </w:tcPr>
          <w:p>
            <w:r/>
            <w:r>
              <w:rPr>
                <w:rFonts w:ascii="Calibri" w:hAnsi="Calibri"/>
                <w:sz w:val="20"/>
              </w:rPr>
            </w:r>
          </w:p>
        </w:tc>
        <w:tc>
          <w:tcPr>
            <w:tcW w:type="dxa" w:w="1344"/>
          </w:tcPr>
          <w:p>
            <w:r/>
            <w:r>
              <w:rPr>
                <w:rFonts w:ascii="Calibri" w:hAnsi="Calibri"/>
                <w:sz w:val="20"/>
              </w:rPr>
              <w:t>24</w:t>
            </w:r>
          </w:p>
        </w:tc>
        <w:tc>
          <w:tcPr>
            <w:tcW w:type="dxa" w:w="1344"/>
          </w:tcPr>
          <w:p>
            <w:r/>
            <w:r>
              <w:rPr>
                <w:rFonts w:ascii="Calibri" w:hAnsi="Calibri"/>
                <w:sz w:val="20"/>
              </w:rPr>
              <w:t>30</w:t>
            </w:r>
          </w:p>
        </w:tc>
        <w:tc>
          <w:tcPr>
            <w:tcW w:type="dxa" w:w="1344"/>
          </w:tcPr>
          <w:p>
            <w:r/>
            <w:r>
              <w:rPr>
                <w:rFonts w:ascii="Calibri" w:hAnsi="Calibri"/>
                <w:sz w:val="20"/>
              </w:rPr>
              <w:t>36</w:t>
            </w:r>
          </w:p>
        </w:tc>
        <w:tc>
          <w:tcPr>
            <w:tcW w:type="dxa" w:w="1344"/>
          </w:tcPr>
          <w:p>
            <w:r/>
            <w:r>
              <w:rPr>
                <w:rFonts w:ascii="Calibri" w:hAnsi="Calibri"/>
                <w:sz w:val="20"/>
              </w:rPr>
              <w:t>9</w:t>
            </w:r>
          </w:p>
        </w:tc>
        <w:tc>
          <w:tcPr>
            <w:tcW w:type="dxa" w:w="1344"/>
          </w:tcPr>
          <w:p>
            <w:r/>
            <w:r>
              <w:rPr>
                <w:rFonts w:ascii="Calibri" w:hAnsi="Calibri"/>
                <w:sz w:val="20"/>
              </w:rPr>
              <w:t>99</w:t>
            </w:r>
          </w:p>
        </w:tc>
      </w:tr>
    </w:tbl>
    <w:p>
      <w:pPr>
        <w:pBdr>
          <w:bottom w:val="single" w:sz="6" w:space="1" w:color="auto"/>
        </w:pBdr>
        <w:spacing w:after="120"/>
      </w:pPr>
    </w:p>
    <w:p>
      <w:pPr>
        <w:spacing w:before="200" w:after="80"/>
      </w:pPr>
      <w:r>
        <w:rPr>
          <w:rFonts w:ascii="Calibri" w:hAnsi="Calibri"/>
          <w:b/>
          <w:sz w:val="24"/>
        </w:rPr>
        <w:t>3.2 Возможности участников и консорциума</w:t>
      </w:r>
    </w:p>
    <w:p>
      <w:pPr>
        <w:spacing w:before="200" w:after="80"/>
      </w:pPr>
      <w:r>
        <w:rPr>
          <w:rFonts w:ascii="Calibri" w:hAnsi="Calibri"/>
          <w:b/>
          <w:i/>
          <w:sz w:val="22"/>
        </w:rPr>
        <w:t>3.2.1 Академия Фазис (Ведущий бенефициар)</w:t>
      </w:r>
    </w:p>
    <w:p>
      <w:pPr>
        <w:spacing w:after="80" w:line="253" w:lineRule="exact"/>
      </w:pPr>
      <w:r>
        <w:rPr>
          <w:rFonts w:ascii="Calibri" w:hAnsi="Calibri"/>
          <w:b/>
          <w:sz w:val="22"/>
        </w:rPr>
        <w:t>Юридический статус:</w:t>
      </w:r>
      <w:r>
        <w:rPr>
          <w:rFonts w:ascii="Calibri" w:hAnsi="Calibri"/>
          <w:sz w:val="22"/>
        </w:rPr>
        <w:t xml:space="preserve"> Некоммерческая научно-исследовательская организация, зарегистрированная в Грузии (регистрационный номер [подлежит подтверждению]; основана в 1974 году, Поти, Грузия). Академия Фазис действует в соответствии с Законом Грузии о непредпринимательских (некоммерческих) юридических лицах и имеет право проводить научные исследования и получать международное грантовое финансирование.</w:t>
      </w:r>
    </w:p>
    <w:p>
      <w:pPr>
        <w:spacing w:after="80" w:line="253" w:lineRule="exact"/>
      </w:pPr>
      <w:r>
        <w:rPr>
          <w:rFonts w:ascii="Calibri" w:hAnsi="Calibri"/>
          <w:b/>
          <w:sz w:val="22"/>
        </w:rPr>
        <w:t>Исследовательский опыт:</w:t>
      </w:r>
      <w:r>
        <w:rPr>
          <w:rFonts w:ascii="Calibri" w:hAnsi="Calibri"/>
          <w:sz w:val="22"/>
        </w:rPr>
        <w:t xml:space="preserve"> Академия Фазис ведёт междисциплинарные исследования в области естественных и гуманитарных наук уже более 50 лет. В учреждении реализуются проекты в области сравнительной биологии, экологии и теоретической биологии. Для данного проекта ключевое значение имеет направление исследований Академии в области вычислительной биологии старения (программа CDATA, запущена в 2022 году), которое располагает специально созданной исследовательской инфраструктурой.</w:t>
      </w:r>
    </w:p>
    <w:p>
      <w:pPr>
        <w:spacing w:after="80" w:line="253" w:lineRule="exact"/>
      </w:pPr>
      <w:r>
        <w:rPr>
          <w:rFonts w:ascii="Calibri" w:hAnsi="Calibri"/>
          <w:b/>
          <w:sz w:val="22"/>
        </w:rPr>
        <w:t>Административный потенциал:</w:t>
      </w:r>
      <w:r>
        <w:rPr>
          <w:rFonts w:ascii="Calibri" w:hAnsi="Calibri"/>
          <w:sz w:val="22"/>
        </w:rPr>
        <w:t xml:space="preserve"> В Академии Фазис имеется специализированное подразделение финансового администрирования, способное предоставлять отчётность по стандартам ЕС (бухгалтерский учёт, совместимый с SAP; ежегодный аудит сертифицированным грузинским аудитором). Письмо поддержки от президента Академии Фазис, подтверждающее выделение исследовательского пространства, серверной инфраструктуры для вычислений Cell-DT и административного персонала, прилагается.</w:t>
      </w:r>
    </w:p>
    <w:p>
      <w:pPr>
        <w:spacing w:after="80" w:line="253" w:lineRule="exact"/>
      </w:pPr>
      <w:r>
        <w:rPr>
          <w:rFonts w:ascii="Calibri" w:hAnsi="Calibri"/>
          <w:b/>
          <w:sz w:val="22"/>
        </w:rPr>
        <w:t>Доктор Джаба Ткемаладзе, PhD — Главный исследователь</w:t>
      </w:r>
    </w:p>
    <w:p>
      <w:pPr>
        <w:pStyle w:val="ListBullet"/>
      </w:pPr>
      <w:r>
        <w:rPr>
          <w:rFonts w:ascii="Calibri" w:hAnsi="Calibri"/>
          <w:sz w:val="22"/>
        </w:rPr>
        <w:t>Более 20 лет клинического и исследовательского опыта в области интегративной медицины и клеточной геронтологии.</w:t>
      </w:r>
    </w:p>
    <w:p>
      <w:pPr>
        <w:pStyle w:val="ListBullet"/>
      </w:pPr>
      <w:r>
        <w:rPr>
          <w:rFonts w:ascii="Calibri" w:hAnsi="Calibri"/>
          <w:b/>
          <w:sz w:val="22"/>
        </w:rPr>
        <w:t>Публикации:</w:t>
      </w:r>
      <w:r>
        <w:rPr>
          <w:rFonts w:ascii="Calibri" w:hAnsi="Calibri"/>
          <w:sz w:val="22"/>
        </w:rPr>
        <w:t xml:space="preserve"> 2 рецензируемые публикации по CDATA (PMID 36583780; DOI 10.65649/yx9sn772).</w:t>
      </w:r>
    </w:p>
    <w:p>
      <w:pPr>
        <w:pStyle w:val="ListBullet"/>
      </w:pPr>
      <w:r>
        <w:rPr>
          <w:rFonts w:ascii="Calibri" w:hAnsi="Calibri"/>
          <w:b/>
          <w:sz w:val="22"/>
        </w:rPr>
        <w:t>Программное обеспечение:</w:t>
      </w:r>
      <w:r>
        <w:rPr>
          <w:rFonts w:ascii="Calibri" w:hAnsi="Calibri"/>
          <w:sz w:val="22"/>
        </w:rPr>
        <w:t xml:space="preserve"> Автор Cell-DT (14-модульная платформа на Rust; ≥439 тестов; репозиторий djabbat/CDATA-Longevity на GitHub).</w:t>
      </w:r>
    </w:p>
    <w:p>
      <w:pPr>
        <w:pStyle w:val="ListBullet"/>
      </w:pPr>
      <w:r>
        <w:rPr>
          <w:rFonts w:ascii="Calibri" w:hAnsi="Calibri"/>
          <w:b/>
          <w:sz w:val="22"/>
        </w:rPr>
        <w:t>Многоязычность:</w:t>
      </w:r>
      <w:r>
        <w:rPr>
          <w:rFonts w:ascii="Calibri" w:hAnsi="Calibri"/>
          <w:sz w:val="22"/>
        </w:rPr>
        <w:t xml:space="preserve"> Публикации и клиническая практика на русском, грузинском, английском, казахском языках.</w:t>
      </w:r>
    </w:p>
    <w:p>
      <w:pPr>
        <w:pStyle w:val="ListBullet"/>
      </w:pPr>
      <w:r>
        <w:rPr>
          <w:rFonts w:ascii="Calibri" w:hAnsi="Calibri"/>
          <w:b/>
          <w:sz w:val="22"/>
        </w:rPr>
        <w:t>Инфраструктура:</w:t>
      </w:r>
      <w:r>
        <w:rPr>
          <w:rFonts w:ascii="Calibri" w:hAnsi="Calibri"/>
          <w:sz w:val="22"/>
        </w:rPr>
        <w:t xml:space="preserve"> Доступ к высокопроизводительным вычислениям (HPC) (GTU HPC через со-руководителя); среда разработки Cell-DT; клиническая платформа с искусственным интеллектом drjaba.com (4 языка, активная база данных пациентов).</w:t>
      </w:r>
    </w:p>
    <w:p>
      <w:pPr>
        <w:pStyle w:val="ListBullet"/>
      </w:pPr>
      <w:r>
        <w:rPr>
          <w:rFonts w:ascii="Calibri" w:hAnsi="Calibri"/>
          <w:b/>
          <w:sz w:val="22"/>
        </w:rPr>
        <w:t>Роль в проекте:</w:t>
      </w:r>
      <w:r>
        <w:rPr>
          <w:rFonts w:ascii="Calibri" w:hAnsi="Calibri"/>
          <w:sz w:val="22"/>
        </w:rPr>
        <w:t xml:space="preserve"> Научное руководство, теоретическая разработка CDATA, архитектура Cell-DT, руководство WP3 и WP4.</w:t>
      </w:r>
    </w:p>
    <w:p>
      <w:pPr>
        <w:spacing w:before="200" w:after="80"/>
      </w:pPr>
      <w:r>
        <w:rPr>
          <w:rFonts w:ascii="Calibri" w:hAnsi="Calibri"/>
          <w:b/>
          <w:i/>
          <w:sz w:val="22"/>
        </w:rPr>
        <w:t>3.2.2 Грузинский технический университет — ABET BME (Бенефициар 2)</w:t>
      </w:r>
    </w:p>
    <w:p>
      <w:pPr>
        <w:spacing w:after="80" w:line="253" w:lineRule="exact"/>
      </w:pPr>
      <w:r>
        <w:rPr>
          <w:rFonts w:ascii="Calibri" w:hAnsi="Calibri"/>
          <w:b/>
          <w:sz w:val="22"/>
        </w:rPr>
        <w:t>PIC:</w:t>
      </w:r>
      <w:r>
        <w:rPr>
          <w:rFonts w:ascii="Calibri" w:hAnsi="Calibri"/>
          <w:sz w:val="22"/>
        </w:rPr>
        <w:t xml:space="preserve"> 983636358</w:t>
      </w:r>
    </w:p>
    <w:p>
      <w:pPr>
        <w:spacing w:after="80" w:line="253" w:lineRule="exact"/>
      </w:pPr>
      <w:r>
        <w:rPr>
          <w:rFonts w:ascii="Calibri" w:hAnsi="Calibri"/>
          <w:b/>
          <w:sz w:val="22"/>
        </w:rPr>
        <w:t>Факультет:</w:t>
      </w:r>
      <w:r>
        <w:rPr>
          <w:rFonts w:ascii="Calibri" w:hAnsi="Calibri"/>
          <w:sz w:val="22"/>
        </w:rPr>
        <w:t xml:space="preserve"> ABET (архитектура, градостроительство, дизайн и инженерия); Кафедра биомедицинской инженерии.</w:t>
      </w:r>
    </w:p>
    <w:p>
      <w:pPr>
        <w:spacing w:after="80" w:line="253" w:lineRule="exact"/>
      </w:pPr>
      <w:r>
        <w:rPr>
          <w:rFonts w:ascii="Calibri" w:hAnsi="Calibri"/>
          <w:b/>
          <w:sz w:val="22"/>
        </w:rPr>
        <w:t>Основные ресурсы:</w:t>
      </w:r>
    </w:p>
    <w:p>
      <w:pPr>
        <w:pStyle w:val="ListBullet"/>
      </w:pPr>
      <w:r>
        <w:rPr>
          <w:rFonts w:ascii="Calibri" w:hAnsi="Calibri"/>
          <w:sz w:val="22"/>
        </w:rPr>
        <w:t>Конфокальный микроскоп Zeiss LSM 700 (функционирует, используется для стандартной конфокальной визуализации в WP1).</w:t>
      </w:r>
    </w:p>
    <w:p>
      <w:pPr>
        <w:pStyle w:val="ListBullet"/>
      </w:pPr>
      <w:r>
        <w:rPr>
          <w:rFonts w:ascii="Calibri" w:hAnsi="Calibri"/>
          <w:sz w:val="22"/>
        </w:rPr>
        <w:t>Приобретение нового микроскопа Leica SP8 STED запланировано в бюджете WP1 (120 тыс. евро). Существующий Zeiss LSM 700 будет использоваться для стандартной конфокальной визуализации.</w:t>
      </w:r>
    </w:p>
    <w:p>
      <w:pPr>
        <w:pStyle w:val="ListBullet"/>
      </w:pPr>
      <w:r>
        <w:rPr>
          <w:rFonts w:ascii="Calibri" w:hAnsi="Calibri"/>
          <w:sz w:val="22"/>
        </w:rPr>
        <w:t>Лаборатория для культивирования клеток (BSL-2; 3 ламинарных бокса; 2 инкубатора CO₂).</w:t>
      </w:r>
    </w:p>
    <w:p>
      <w:pPr>
        <w:pStyle w:val="ListBullet"/>
      </w:pPr>
      <w:r>
        <w:rPr>
          <w:rFonts w:ascii="Calibri" w:hAnsi="Calibri"/>
          <w:sz w:val="22"/>
        </w:rPr>
        <w:t>Проточный цитометр (BD FACSCanto II).</w:t>
      </w:r>
    </w:p>
    <w:p>
      <w:pPr>
        <w:pStyle w:val="ListBullet"/>
      </w:pPr>
      <w:r>
        <w:rPr>
          <w:rFonts w:ascii="Calibri" w:hAnsi="Calibri"/>
          <w:sz w:val="22"/>
        </w:rPr>
        <w:t>Система для ПЦР в реальном времени (Applied Biosystems 7900HT).</w:t>
      </w:r>
    </w:p>
    <w:p>
      <w:pPr>
        <w:pStyle w:val="ListBullet"/>
      </w:pPr>
      <w:r>
        <w:rPr>
          <w:rFonts w:ascii="Calibri" w:hAnsi="Calibri"/>
          <w:sz w:val="22"/>
        </w:rPr>
        <w:t>Биобанк: хранение при -80°C (4 морозильника ULT).</w:t>
      </w:r>
    </w:p>
    <w:p>
      <w:pPr>
        <w:spacing w:after="80" w:line="253" w:lineRule="exact"/>
      </w:pPr>
      <w:r>
        <w:rPr>
          <w:rFonts w:ascii="Calibri" w:hAnsi="Calibri"/>
          <w:b/>
          <w:sz w:val="22"/>
        </w:rPr>
        <w:t>Опыт участия в программе Horizon:</w:t>
      </w:r>
      <w:r>
        <w:rPr>
          <w:rFonts w:ascii="Calibri" w:hAnsi="Calibri"/>
          <w:sz w:val="22"/>
        </w:rPr>
        <w:t xml:space="preserve"> Проект FORGE-AI (HORIZON-MSCA-2024-SE-01, срок реализации 2025–2028 гг., GA № 101216703) — подтверждает способность ГТУ управлять проектами, финансируемыми ЕС, соблюдать международные стандарты отчётности и финансового управления при бюджетах свыше 2 миллионов евро.</w:t>
      </w:r>
    </w:p>
    <w:p>
      <w:pPr>
        <w:spacing w:after="80" w:line="253" w:lineRule="exact"/>
      </w:pPr>
      <w:r>
        <w:rPr>
          <w:rFonts w:ascii="Calibri" w:hAnsi="Calibri"/>
          <w:b/>
          <w:sz w:val="22"/>
        </w:rPr>
        <w:t>Со-руководитель — Профессор Батони Гела, PhD — ГТУ ABET BME</w:t>
      </w:r>
    </w:p>
    <w:p>
      <w:pPr>
        <w:pStyle w:val="ListBullet"/>
      </w:pPr>
      <w:r>
        <w:rPr>
          <w:rFonts w:ascii="Calibri" w:hAnsi="Calibri"/>
          <w:sz w:val="22"/>
        </w:rPr>
        <w:t>Профессор биомедицинской инженерии Грузинского технического университета (ABET).</w:t>
      </w:r>
    </w:p>
    <w:p>
      <w:pPr>
        <w:pStyle w:val="ListBullet"/>
      </w:pPr>
      <w:r>
        <w:rPr>
          <w:rFonts w:ascii="Calibri" w:hAnsi="Calibri"/>
          <w:sz w:val="22"/>
        </w:rPr>
        <w:t>Участник консорциума проекта Horizon Europe FORGE-AI (GA № 101216703, 2025–2028); подтверждённый опыт управления проектами ЕС и международной отчётности.</w:t>
      </w:r>
    </w:p>
    <w:p>
      <w:pPr>
        <w:pStyle w:val="ListBullet"/>
      </w:pPr>
      <w:r>
        <w:rPr>
          <w:rFonts w:ascii="Calibri" w:hAnsi="Calibri"/>
          <w:b/>
          <w:sz w:val="22"/>
        </w:rPr>
        <w:t>Роль в CDATA:</w:t>
      </w:r>
      <w:r>
        <w:rPr>
          <w:rFonts w:ascii="Calibri" w:hAnsi="Calibri"/>
          <w:sz w:val="22"/>
        </w:rPr>
        <w:t xml:space="preserve"> Надзор за экспериментами WP1 </w:t>
      </w:r>
      <w:r>
        <w:rPr>
          <w:rFonts w:ascii="Calibri" w:hAnsi="Calibri"/>
          <w:i/>
          <w:sz w:val="22"/>
        </w:rPr>
        <w:t>in vitro</w:t>
      </w:r>
      <w:r>
        <w:rPr>
          <w:rFonts w:ascii="Calibri" w:hAnsi="Calibri"/>
          <w:sz w:val="22"/>
        </w:rPr>
        <w:t>, проведение когортного исследования WP2 и контроль качества изображений с микроскопа Leica SP8 STED; ответственное лицо за все результаты, полученные в ГТУ.</w:t>
      </w:r>
    </w:p>
    <w:p>
      <w:pPr>
        <w:pStyle w:val="ListBullet"/>
      </w:pPr>
      <w:r>
        <w:rPr>
          <w:rFonts w:ascii="Calibri" w:hAnsi="Calibri"/>
          <w:sz w:val="22"/>
        </w:rPr>
        <w:t>Резюме предоставляется по запросу; прилагается к Части А.</w:t>
      </w:r>
    </w:p>
    <w:p>
      <w:pPr>
        <w:spacing w:before="200" w:after="80"/>
      </w:pPr>
      <w:r>
        <w:rPr>
          <w:rFonts w:ascii="Calibri" w:hAnsi="Calibri"/>
          <w:b/>
          <w:i/>
          <w:sz w:val="22"/>
        </w:rPr>
        <w:t>3.2.3 Обоснование консорциума</w:t>
      </w:r>
    </w:p>
    <w:p>
      <w:pPr>
        <w:spacing w:after="80" w:line="253" w:lineRule="exact"/>
      </w:pPr>
      <w:r>
        <w:rPr>
          <w:rFonts w:ascii="Calibri" w:hAnsi="Calibri"/>
          <w:sz w:val="22"/>
        </w:rPr>
        <w:t>Консорциум из двух институтов отражает целенаправленный научный охват (TRL 1–4), соответствующий программе EIC Pathfinder:</w:t>
      </w:r>
    </w:p>
    <w:p>
      <w:pPr>
        <w:pStyle w:val="ListBullet"/>
      </w:pPr>
      <w:r>
        <w:rPr>
          <w:rFonts w:ascii="Calibri" w:hAnsi="Calibri"/>
          <w:b/>
          <w:sz w:val="22"/>
        </w:rPr>
        <w:t>Академия Фазис:</w:t>
      </w:r>
      <w:r>
        <w:rPr>
          <w:rFonts w:ascii="Calibri" w:hAnsi="Calibri"/>
          <w:sz w:val="22"/>
        </w:rPr>
        <w:t xml:space="preserve"> Разработка теории CDATA, вычислительная разработка Cell-DT, руководство WP3 и WP4.</w:t>
      </w:r>
    </w:p>
    <w:p>
      <w:pPr>
        <w:pStyle w:val="ListBullet"/>
      </w:pPr>
      <w:r>
        <w:rPr>
          <w:rFonts w:ascii="Calibri" w:hAnsi="Calibri"/>
          <w:b/>
          <w:sz w:val="22"/>
        </w:rPr>
        <w:t>GTU:</w:t>
      </w:r>
      <w:r>
        <w:rPr>
          <w:rFonts w:ascii="Calibri" w:hAnsi="Calibri"/>
          <w:sz w:val="22"/>
        </w:rPr>
        <w:t xml:space="preserve"> Инфраструктура для экспериментальной валидации, проведение клинических когорт, визуализация сверхвысокого разрешения STED, опыт управления проектами в ЕС.</w:t>
      </w:r>
    </w:p>
    <w:p>
      <w:pPr>
        <w:spacing w:after="80" w:line="253" w:lineRule="exact"/>
      </w:pPr>
      <w:r>
        <w:rPr>
          <w:rFonts w:ascii="Calibri" w:hAnsi="Calibri"/>
          <w:sz w:val="22"/>
        </w:rPr>
        <w:t>Консорциум намеренно компактен. Более крупные консорциумы подходят для задач типа RIA или MSCA; EIC Pathfinder поощряет научную фокусировку и смелые, гипотезо-ориентированные исследования, проводимые небольшими группами.</w:t>
      </w:r>
    </w:p>
    <w:p>
      <w:pPr>
        <w:pBdr>
          <w:bottom w:val="single" w:sz="6" w:space="1" w:color="auto"/>
        </w:pBdr>
        <w:spacing w:after="120"/>
      </w:pPr>
    </w:p>
    <w:p>
      <w:pPr>
        <w:spacing w:before="200" w:after="80"/>
      </w:pPr>
      <w:r>
        <w:rPr>
          <w:rFonts w:ascii="Calibri" w:hAnsi="Calibri"/>
          <w:b/>
          <w:sz w:val="24"/>
        </w:rPr>
        <w:t>3.3 Распределение бюджета</w:t>
      </w:r>
    </w:p>
    <w:p>
      <w:pPr>
        <w:spacing w:before="200" w:after="80"/>
      </w:pPr>
      <w:r>
        <w:rPr>
          <w:rFonts w:ascii="Calibri" w:hAnsi="Calibri"/>
          <w:b/>
          <w:i/>
          <w:sz w:val="22"/>
        </w:rPr>
        <w:t>Таблица 3.3a: Бюджет по рабочим пакетам (WP) и организациям</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r/>
            <w:r>
              <w:rPr>
                <w:rFonts w:ascii="Calibri" w:hAnsi="Calibri"/>
                <w:b/>
                <w:sz w:val="20"/>
              </w:rPr>
              <w:t>Бюджетная статья</w:t>
            </w:r>
          </w:p>
        </w:tc>
        <w:tc>
          <w:tcPr>
            <w:tcW w:type="dxa" w:w="1568"/>
            <w:shd w:val="clear" w:color="auto" w:fill="D9E1F2"/>
          </w:tcPr>
          <w:p>
            <w:r/>
            <w:r>
              <w:rPr>
                <w:rFonts w:ascii="Calibri" w:hAnsi="Calibri"/>
                <w:b/>
                <w:sz w:val="20"/>
              </w:rPr>
              <w:t>WP1 (GTU)</w:t>
            </w:r>
          </w:p>
        </w:tc>
        <w:tc>
          <w:tcPr>
            <w:tcW w:type="dxa" w:w="1568"/>
            <w:shd w:val="clear" w:color="auto" w:fill="D9E1F2"/>
          </w:tcPr>
          <w:p>
            <w:r/>
            <w:r>
              <w:rPr>
                <w:rFonts w:ascii="Calibri" w:hAnsi="Calibri"/>
                <w:b/>
                <w:sz w:val="20"/>
              </w:rPr>
              <w:t>WP2 (GTU)</w:t>
            </w:r>
          </w:p>
        </w:tc>
        <w:tc>
          <w:tcPr>
            <w:tcW w:type="dxa" w:w="1568"/>
            <w:shd w:val="clear" w:color="auto" w:fill="D9E1F2"/>
          </w:tcPr>
          <w:p>
            <w:r/>
            <w:r>
              <w:rPr>
                <w:rFonts w:ascii="Calibri" w:hAnsi="Calibri"/>
                <w:b/>
                <w:sz w:val="20"/>
              </w:rPr>
              <w:t>WP3 (Phasis)</w:t>
            </w:r>
          </w:p>
        </w:tc>
        <w:tc>
          <w:tcPr>
            <w:tcW w:type="dxa" w:w="1568"/>
            <w:shd w:val="clear" w:color="auto" w:fill="D9E1F2"/>
          </w:tcPr>
          <w:p>
            <w:r/>
            <w:r>
              <w:rPr>
                <w:rFonts w:ascii="Calibri" w:hAnsi="Calibri"/>
                <w:b/>
                <w:sz w:val="20"/>
              </w:rPr>
              <w:t>WP4 (Phasis)</w:t>
            </w:r>
          </w:p>
        </w:tc>
        <w:tc>
          <w:tcPr>
            <w:tcW w:type="dxa" w:w="1568"/>
            <w:shd w:val="clear" w:color="auto" w:fill="D9E1F2"/>
          </w:tcPr>
          <w:p>
            <w:r/>
            <w:r>
              <w:rPr>
                <w:rFonts w:ascii="Calibri" w:hAnsi="Calibri"/>
                <w:b/>
                <w:sz w:val="20"/>
              </w:rPr>
              <w:t>Всего</w:t>
            </w:r>
          </w:p>
        </w:tc>
      </w:tr>
      <w:tr>
        <w:tc>
          <w:tcPr>
            <w:tcW w:type="dxa" w:w="1568"/>
          </w:tcPr>
          <w:p>
            <w:r/>
            <w:r>
              <w:rPr>
                <w:rFonts w:ascii="Calibri" w:hAnsi="Calibri"/>
                <w:sz w:val="20"/>
              </w:rPr>
              <w:t>Персонал</w:t>
            </w:r>
          </w:p>
        </w:tc>
        <w:tc>
          <w:tcPr>
            <w:tcW w:type="dxa" w:w="1568"/>
          </w:tcPr>
          <w:p>
            <w:r/>
            <w:r>
              <w:rPr>
                <w:rFonts w:ascii="Calibri" w:hAnsi="Calibri"/>
                <w:sz w:val="20"/>
              </w:rPr>
              <w:t>420 000 €</w:t>
            </w:r>
          </w:p>
        </w:tc>
        <w:tc>
          <w:tcPr>
            <w:tcW w:type="dxa" w:w="1568"/>
          </w:tcPr>
          <w:p>
            <w:r/>
            <w:r>
              <w:rPr>
                <w:rFonts w:ascii="Calibri" w:hAnsi="Calibri"/>
                <w:sz w:val="20"/>
              </w:rPr>
              <w:t>280 000 €</w:t>
            </w:r>
          </w:p>
        </w:tc>
        <w:tc>
          <w:tcPr>
            <w:tcW w:type="dxa" w:w="1568"/>
          </w:tcPr>
          <w:p>
            <w:r/>
            <w:r>
              <w:rPr>
                <w:rFonts w:ascii="Calibri" w:hAnsi="Calibri"/>
                <w:sz w:val="20"/>
              </w:rPr>
              <w:t>220 000 €</w:t>
            </w:r>
          </w:p>
        </w:tc>
        <w:tc>
          <w:tcPr>
            <w:tcW w:type="dxa" w:w="1568"/>
          </w:tcPr>
          <w:p>
            <w:r/>
            <w:r>
              <w:rPr>
                <w:rFonts w:ascii="Calibri" w:hAnsi="Calibri"/>
                <w:sz w:val="20"/>
              </w:rPr>
              <w:t>160 000 €</w:t>
            </w:r>
          </w:p>
        </w:tc>
        <w:tc>
          <w:tcPr>
            <w:tcW w:type="dxa" w:w="1568"/>
          </w:tcPr>
          <w:p>
            <w:r/>
            <w:r>
              <w:rPr>
                <w:rFonts w:ascii="Calibri" w:hAnsi="Calibri"/>
                <w:sz w:val="20"/>
              </w:rPr>
              <w:t>1 080 000 €</w:t>
            </w:r>
          </w:p>
        </w:tc>
      </w:tr>
      <w:tr>
        <w:tc>
          <w:tcPr>
            <w:tcW w:type="dxa" w:w="1568"/>
          </w:tcPr>
          <w:p>
            <w:r/>
            <w:r>
              <w:rPr>
                <w:rFonts w:ascii="Calibri" w:hAnsi="Calibri"/>
                <w:sz w:val="20"/>
              </w:rPr>
              <w:t>Оборудование</w:t>
            </w:r>
          </w:p>
        </w:tc>
        <w:tc>
          <w:tcPr>
            <w:tcW w:type="dxa" w:w="1568"/>
          </w:tcPr>
          <w:p>
            <w:r/>
            <w:r>
              <w:rPr>
                <w:rFonts w:ascii="Calibri" w:hAnsi="Calibri"/>
                <w:sz w:val="20"/>
              </w:rPr>
              <w:t>200 000 €*</w:t>
            </w:r>
          </w:p>
        </w:tc>
        <w:tc>
          <w:tcPr>
            <w:tcW w:type="dxa" w:w="1568"/>
          </w:tcPr>
          <w:p>
            <w:r/>
            <w:r>
              <w:rPr>
                <w:rFonts w:ascii="Calibri" w:hAnsi="Calibri"/>
                <w:sz w:val="20"/>
              </w:rPr>
              <w:t>20 000 €</w:t>
            </w:r>
          </w:p>
        </w:tc>
        <w:tc>
          <w:tcPr>
            <w:tcW w:type="dxa" w:w="1568"/>
          </w:tcPr>
          <w:p>
            <w:r/>
            <w:r>
              <w:rPr>
                <w:rFonts w:ascii="Calibri" w:hAnsi="Calibri"/>
                <w:sz w:val="20"/>
              </w:rPr>
              <w:t>40 000 €</w:t>
            </w:r>
          </w:p>
        </w:tc>
        <w:tc>
          <w:tcPr>
            <w:tcW w:type="dxa" w:w="1568"/>
          </w:tcPr>
          <w:p>
            <w:r/>
            <w:r>
              <w:rPr>
                <w:rFonts w:ascii="Calibri" w:hAnsi="Calibri"/>
                <w:sz w:val="20"/>
              </w:rPr>
              <w:t>10 000 €</w:t>
            </w:r>
          </w:p>
        </w:tc>
        <w:tc>
          <w:tcPr>
            <w:tcW w:type="dxa" w:w="1568"/>
          </w:tcPr>
          <w:p>
            <w:r/>
            <w:r>
              <w:rPr>
                <w:rFonts w:ascii="Calibri" w:hAnsi="Calibri"/>
                <w:sz w:val="20"/>
              </w:rPr>
              <w:t>270 000 €</w:t>
            </w:r>
          </w:p>
        </w:tc>
      </w:tr>
      <w:tr>
        <w:tc>
          <w:tcPr>
            <w:tcW w:type="dxa" w:w="1568"/>
          </w:tcPr>
          <w:p>
            <w:r/>
            <w:r>
              <w:rPr>
                <w:rFonts w:ascii="Calibri" w:hAnsi="Calibri"/>
                <w:sz w:val="20"/>
              </w:rPr>
              <w:t>Расходные материалы / реагенты</w:t>
            </w:r>
          </w:p>
        </w:tc>
        <w:tc>
          <w:tcPr>
            <w:tcW w:type="dxa" w:w="1568"/>
          </w:tcPr>
          <w:p>
            <w:r/>
            <w:r>
              <w:rPr>
                <w:rFonts w:ascii="Calibri" w:hAnsi="Calibri"/>
                <w:sz w:val="20"/>
              </w:rPr>
              <w:t>140 000 €</w:t>
            </w:r>
          </w:p>
        </w:tc>
        <w:tc>
          <w:tcPr>
            <w:tcW w:type="dxa" w:w="1568"/>
          </w:tcPr>
          <w:p>
            <w:r/>
            <w:r>
              <w:rPr>
                <w:rFonts w:ascii="Calibri" w:hAnsi="Calibri"/>
                <w:sz w:val="20"/>
              </w:rPr>
              <w:t>60 000 €</w:t>
            </w:r>
          </w:p>
        </w:tc>
        <w:tc>
          <w:tcPr>
            <w:tcW w:type="dxa" w:w="1568"/>
          </w:tcPr>
          <w:p>
            <w:r/>
            <w:r>
              <w:rPr>
                <w:rFonts w:ascii="Calibri" w:hAnsi="Calibri"/>
                <w:sz w:val="20"/>
              </w:rPr>
              <w:t>30 000 €</w:t>
            </w:r>
          </w:p>
        </w:tc>
        <w:tc>
          <w:tcPr>
            <w:tcW w:type="dxa" w:w="1568"/>
          </w:tcPr>
          <w:p>
            <w:r/>
            <w:r>
              <w:rPr>
                <w:rFonts w:ascii="Calibri" w:hAnsi="Calibri"/>
                <w:sz w:val="20"/>
              </w:rPr>
              <w:t>80 000 €</w:t>
            </w:r>
          </w:p>
        </w:tc>
        <w:tc>
          <w:tcPr>
            <w:tcW w:type="dxa" w:w="1568"/>
          </w:tcPr>
          <w:p>
            <w:r/>
            <w:r>
              <w:rPr>
                <w:rFonts w:ascii="Calibri" w:hAnsi="Calibri"/>
                <w:sz w:val="20"/>
              </w:rPr>
              <w:t>310 000 €</w:t>
            </w:r>
          </w:p>
        </w:tc>
      </w:tr>
      <w:tr>
        <w:tc>
          <w:tcPr>
            <w:tcW w:type="dxa" w:w="1568"/>
          </w:tcPr>
          <w:p>
            <w:r/>
            <w:r>
              <w:rPr>
                <w:rFonts w:ascii="Calibri" w:hAnsi="Calibri"/>
                <w:sz w:val="20"/>
              </w:rPr>
              <w:t>Командировки / распространение</w:t>
            </w:r>
          </w:p>
        </w:tc>
        <w:tc>
          <w:tcPr>
            <w:tcW w:type="dxa" w:w="1568"/>
          </w:tcPr>
          <w:p>
            <w:r/>
            <w:r>
              <w:rPr>
                <w:rFonts w:ascii="Calibri" w:hAnsi="Calibri"/>
                <w:sz w:val="20"/>
              </w:rPr>
              <w:t>20 000 €</w:t>
            </w:r>
          </w:p>
        </w:tc>
        <w:tc>
          <w:tcPr>
            <w:tcW w:type="dxa" w:w="1568"/>
          </w:tcPr>
          <w:p>
            <w:r/>
            <w:r>
              <w:rPr>
                <w:rFonts w:ascii="Calibri" w:hAnsi="Calibri"/>
                <w:sz w:val="20"/>
              </w:rPr>
              <w:t>30 000 €</w:t>
            </w:r>
          </w:p>
        </w:tc>
        <w:tc>
          <w:tcPr>
            <w:tcW w:type="dxa" w:w="1568"/>
          </w:tcPr>
          <w:p>
            <w:r/>
            <w:r>
              <w:rPr>
                <w:rFonts w:ascii="Calibri" w:hAnsi="Calibri"/>
                <w:sz w:val="20"/>
              </w:rPr>
              <w:t>40 000 €</w:t>
            </w:r>
          </w:p>
        </w:tc>
        <w:tc>
          <w:tcPr>
            <w:tcW w:type="dxa" w:w="1568"/>
          </w:tcPr>
          <w:p>
            <w:r/>
            <w:r>
              <w:rPr>
                <w:rFonts w:ascii="Calibri" w:hAnsi="Calibri"/>
                <w:sz w:val="20"/>
              </w:rPr>
              <w:t>40 000 €</w:t>
            </w:r>
          </w:p>
        </w:tc>
        <w:tc>
          <w:tcPr>
            <w:tcW w:type="dxa" w:w="1568"/>
          </w:tcPr>
          <w:p>
            <w:r/>
            <w:r>
              <w:rPr>
                <w:rFonts w:ascii="Calibri" w:hAnsi="Calibri"/>
                <w:sz w:val="20"/>
              </w:rPr>
              <w:t>130 000 €</w:t>
            </w:r>
          </w:p>
        </w:tc>
      </w:tr>
      <w:tr>
        <w:tc>
          <w:tcPr>
            <w:tcW w:type="dxa" w:w="1568"/>
          </w:tcPr>
          <w:p>
            <w:r/>
            <w:r>
              <w:rPr>
                <w:rFonts w:ascii="Calibri" w:hAnsi="Calibri"/>
                <w:sz w:val="20"/>
              </w:rPr>
              <w:t>Субподряд</w:t>
            </w:r>
          </w:p>
        </w:tc>
        <w:tc>
          <w:tcPr>
            <w:tcW w:type="dxa" w:w="1568"/>
          </w:tcPr>
          <w:p>
            <w:r/>
            <w:r>
              <w:rPr>
                <w:rFonts w:ascii="Calibri" w:hAnsi="Calibri"/>
                <w:sz w:val="20"/>
              </w:rPr>
              <w:t>20 000 €</w:t>
            </w:r>
          </w:p>
        </w:tc>
        <w:tc>
          <w:tcPr>
            <w:tcW w:type="dxa" w:w="1568"/>
          </w:tcPr>
          <w:p>
            <w:r/>
            <w:r>
              <w:rPr>
                <w:rFonts w:ascii="Calibri" w:hAnsi="Calibri"/>
                <w:sz w:val="20"/>
              </w:rPr>
              <w:t>60 000 €</w:t>
            </w:r>
          </w:p>
        </w:tc>
        <w:tc>
          <w:tcPr>
            <w:tcW w:type="dxa" w:w="1568"/>
          </w:tcPr>
          <w:p>
            <w:r/>
            <w:r>
              <w:rPr>
                <w:rFonts w:ascii="Calibri" w:hAnsi="Calibri"/>
                <w:sz w:val="20"/>
              </w:rPr>
              <w:t>70 000 €</w:t>
            </w:r>
          </w:p>
        </w:tc>
        <w:tc>
          <w:tcPr>
            <w:tcW w:type="dxa" w:w="1568"/>
          </w:tcPr>
          <w:p>
            <w:r/>
            <w:r>
              <w:rPr>
                <w:rFonts w:ascii="Calibri" w:hAnsi="Calibri"/>
                <w:sz w:val="20"/>
              </w:rPr>
              <w:t>60 000 €</w:t>
            </w:r>
          </w:p>
        </w:tc>
        <w:tc>
          <w:tcPr>
            <w:tcW w:type="dxa" w:w="1568"/>
          </w:tcPr>
          <w:p>
            <w:r/>
            <w:r>
              <w:rPr>
                <w:rFonts w:ascii="Calibri" w:hAnsi="Calibri"/>
                <w:sz w:val="20"/>
              </w:rPr>
              <w:t>210 000 €</w:t>
            </w:r>
          </w:p>
        </w:tc>
      </w:tr>
      <w:tr>
        <w:tc>
          <w:tcPr>
            <w:tcW w:type="dxa" w:w="1568"/>
          </w:tcPr>
          <w:p>
            <w:r/>
            <w:r>
              <w:rPr>
                <w:rFonts w:ascii="Calibri" w:hAnsi="Calibri"/>
                <w:sz w:val="20"/>
              </w:rPr>
              <w:t>Прямые затраты</w:t>
            </w:r>
          </w:p>
        </w:tc>
        <w:tc>
          <w:tcPr>
            <w:tcW w:type="dxa" w:w="1568"/>
          </w:tcPr>
          <w:p>
            <w:r/>
            <w:r>
              <w:rPr>
                <w:rFonts w:ascii="Calibri" w:hAnsi="Calibri"/>
                <w:sz w:val="20"/>
              </w:rPr>
              <w:t>800 000 €</w:t>
            </w:r>
          </w:p>
        </w:tc>
        <w:tc>
          <w:tcPr>
            <w:tcW w:type="dxa" w:w="1568"/>
          </w:tcPr>
          <w:p>
            <w:r/>
            <w:r>
              <w:rPr>
                <w:rFonts w:ascii="Calibri" w:hAnsi="Calibri"/>
                <w:sz w:val="20"/>
              </w:rPr>
              <w:t>450 000 €</w:t>
            </w:r>
          </w:p>
        </w:tc>
        <w:tc>
          <w:tcPr>
            <w:tcW w:type="dxa" w:w="1568"/>
          </w:tcPr>
          <w:p>
            <w:r/>
            <w:r>
              <w:rPr>
                <w:rFonts w:ascii="Calibri" w:hAnsi="Calibri"/>
                <w:sz w:val="20"/>
              </w:rPr>
              <w:t>400 000 €</w:t>
            </w:r>
          </w:p>
        </w:tc>
        <w:tc>
          <w:tcPr>
            <w:tcW w:type="dxa" w:w="1568"/>
          </w:tcPr>
          <w:p>
            <w:r/>
            <w:r>
              <w:rPr>
                <w:rFonts w:ascii="Calibri" w:hAnsi="Calibri"/>
                <w:sz w:val="20"/>
              </w:rPr>
              <w:t>350 000 €</w:t>
            </w:r>
          </w:p>
        </w:tc>
        <w:tc>
          <w:tcPr>
            <w:tcW w:type="dxa" w:w="1568"/>
          </w:tcPr>
          <w:p>
            <w:r/>
            <w:r>
              <w:rPr>
                <w:rFonts w:ascii="Calibri" w:hAnsi="Calibri"/>
                <w:sz w:val="20"/>
              </w:rPr>
              <w:t>2 000 000 €</w:t>
            </w:r>
          </w:p>
        </w:tc>
      </w:tr>
      <w:tr>
        <w:tc>
          <w:tcPr>
            <w:tcW w:type="dxa" w:w="1568"/>
          </w:tcPr>
          <w:p>
            <w:r/>
            <w:r>
              <w:rPr>
                <w:rFonts w:ascii="Calibri" w:hAnsi="Calibri"/>
                <w:sz w:val="20"/>
              </w:rPr>
              <w:t>Накладные (25%)</w:t>
            </w:r>
          </w:p>
        </w:tc>
        <w:tc>
          <w:tcPr>
            <w:tcW w:type="dxa" w:w="1568"/>
          </w:tcPr>
          <w:p>
            <w:r/>
            <w:r>
              <w:rPr>
                <w:rFonts w:ascii="Calibri" w:hAnsi="Calibri"/>
                <w:sz w:val="20"/>
              </w:rPr>
              <w:t>200 000 €</w:t>
            </w:r>
          </w:p>
        </w:tc>
        <w:tc>
          <w:tcPr>
            <w:tcW w:type="dxa" w:w="1568"/>
          </w:tcPr>
          <w:p>
            <w:r/>
            <w:r>
              <w:rPr>
                <w:rFonts w:ascii="Calibri" w:hAnsi="Calibri"/>
                <w:sz w:val="20"/>
              </w:rPr>
              <w:t>112 500 €</w:t>
            </w:r>
          </w:p>
        </w:tc>
        <w:tc>
          <w:tcPr>
            <w:tcW w:type="dxa" w:w="1568"/>
          </w:tcPr>
          <w:p>
            <w:r/>
            <w:r>
              <w:rPr>
                <w:rFonts w:ascii="Calibri" w:hAnsi="Calibri"/>
                <w:sz w:val="20"/>
              </w:rPr>
              <w:t>100 000 €</w:t>
            </w:r>
          </w:p>
        </w:tc>
        <w:tc>
          <w:tcPr>
            <w:tcW w:type="dxa" w:w="1568"/>
          </w:tcPr>
          <w:p>
            <w:r/>
            <w:r>
              <w:rPr>
                <w:rFonts w:ascii="Calibri" w:hAnsi="Calibri"/>
                <w:sz w:val="20"/>
              </w:rPr>
              <w:t>87 500 €</w:t>
            </w:r>
          </w:p>
        </w:tc>
        <w:tc>
          <w:tcPr>
            <w:tcW w:type="dxa" w:w="1568"/>
          </w:tcPr>
          <w:p>
            <w:r/>
            <w:r>
              <w:rPr>
                <w:rFonts w:ascii="Calibri" w:hAnsi="Calibri"/>
                <w:sz w:val="20"/>
              </w:rPr>
              <w:t>500 000 €</w:t>
            </w:r>
          </w:p>
        </w:tc>
      </w:tr>
      <w:tr>
        <w:tc>
          <w:tcPr>
            <w:tcW w:type="dxa" w:w="1568"/>
          </w:tcPr>
          <w:p>
            <w:r/>
            <w:r>
              <w:rPr>
                <w:rFonts w:ascii="Calibri" w:hAnsi="Calibri"/>
                <w:sz w:val="20"/>
              </w:rPr>
              <w:t>Общая сумма</w:t>
            </w:r>
          </w:p>
        </w:tc>
        <w:tc>
          <w:tcPr>
            <w:tcW w:type="dxa" w:w="1568"/>
          </w:tcPr>
          <w:p>
            <w:r/>
            <w:r>
              <w:rPr>
                <w:rFonts w:ascii="Calibri" w:hAnsi="Calibri"/>
                <w:sz w:val="20"/>
              </w:rPr>
              <w:t>1 000 000 €</w:t>
            </w:r>
          </w:p>
        </w:tc>
        <w:tc>
          <w:tcPr>
            <w:tcW w:type="dxa" w:w="1568"/>
          </w:tcPr>
          <w:p>
            <w:r/>
            <w:r>
              <w:rPr>
                <w:rFonts w:ascii="Calibri" w:hAnsi="Calibri"/>
                <w:sz w:val="20"/>
              </w:rPr>
              <w:t>562 500 €</w:t>
            </w:r>
          </w:p>
        </w:tc>
        <w:tc>
          <w:tcPr>
            <w:tcW w:type="dxa" w:w="1568"/>
          </w:tcPr>
          <w:p>
            <w:r/>
            <w:r>
              <w:rPr>
                <w:rFonts w:ascii="Calibri" w:hAnsi="Calibri"/>
                <w:sz w:val="20"/>
              </w:rPr>
              <w:t>500 000 €</w:t>
            </w:r>
          </w:p>
        </w:tc>
        <w:tc>
          <w:tcPr>
            <w:tcW w:type="dxa" w:w="1568"/>
          </w:tcPr>
          <w:p>
            <w:r/>
            <w:r>
              <w:rPr>
                <w:rFonts w:ascii="Calibri" w:hAnsi="Calibri"/>
                <w:sz w:val="20"/>
              </w:rPr>
              <w:t>437 500 €</w:t>
            </w:r>
          </w:p>
        </w:tc>
        <w:tc>
          <w:tcPr>
            <w:tcW w:type="dxa" w:w="1568"/>
          </w:tcPr>
          <w:p>
            <w:r/>
            <w:r>
              <w:rPr>
                <w:rFonts w:ascii="Calibri" w:hAnsi="Calibri"/>
                <w:sz w:val="20"/>
              </w:rPr>
              <w:t>2 500 000 €</w:t>
            </w:r>
          </w:p>
        </w:tc>
      </w:tr>
    </w:tbl>
    <w:p>
      <w:pPr>
        <w:spacing w:after="80" w:line="253" w:lineRule="exact"/>
      </w:pPr>
      <w:r>
        <w:rPr>
          <w:rFonts w:ascii="Calibri" w:hAnsi="Calibri"/>
          <w:sz w:val="22"/>
        </w:rPr>
        <w:t>*Оборудование для WP1: приобретение микроскопа Leica SP8 STED (120 000 €) + оборудование для культивирования клеток (50 000 €) + ридер для ELISA (30 000 €).</w:t>
      </w:r>
    </w:p>
    <w:p>
      <w:pPr>
        <w:spacing w:before="200" w:after="80"/>
      </w:pPr>
      <w:r>
        <w:rPr>
          <w:rFonts w:ascii="Calibri" w:hAnsi="Calibri"/>
          <w:b/>
          <w:i/>
          <w:sz w:val="22"/>
        </w:rPr>
        <w:t>Таблица 3.3b: Крупные закупки — основное оборудование</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9E1F2"/>
          </w:tcPr>
          <w:p>
            <w:r/>
            <w:r>
              <w:rPr>
                <w:rFonts w:ascii="Calibri" w:hAnsi="Calibri"/>
                <w:b/>
                <w:sz w:val="20"/>
              </w:rPr>
              <w:t>Позиция</w:t>
            </w:r>
          </w:p>
        </w:tc>
        <w:tc>
          <w:tcPr>
            <w:tcW w:type="dxa" w:w="2351"/>
            <w:shd w:val="clear" w:color="auto" w:fill="D9E1F2"/>
          </w:tcPr>
          <w:p>
            <w:r/>
            <w:r>
              <w:rPr>
                <w:rFonts w:ascii="Calibri" w:hAnsi="Calibri"/>
                <w:b/>
                <w:sz w:val="20"/>
              </w:rPr>
              <w:t>WP</w:t>
            </w:r>
          </w:p>
        </w:tc>
        <w:tc>
          <w:tcPr>
            <w:tcW w:type="dxa" w:w="2351"/>
            <w:shd w:val="clear" w:color="auto" w:fill="D9E1F2"/>
          </w:tcPr>
          <w:p>
            <w:r/>
            <w:r>
              <w:rPr>
                <w:rFonts w:ascii="Calibri" w:hAnsi="Calibri"/>
                <w:b/>
                <w:sz w:val="20"/>
              </w:rPr>
              <w:t>Стоимость (€)</w:t>
            </w:r>
          </w:p>
        </w:tc>
        <w:tc>
          <w:tcPr>
            <w:tcW w:type="dxa" w:w="2351"/>
            <w:shd w:val="clear" w:color="auto" w:fill="D9E1F2"/>
          </w:tcPr>
          <w:p>
            <w:r/>
            <w:r>
              <w:rPr>
                <w:rFonts w:ascii="Calibri" w:hAnsi="Calibri"/>
                <w:b/>
                <w:sz w:val="20"/>
              </w:rPr>
              <w:t>Обоснование</w:t>
            </w:r>
          </w:p>
        </w:tc>
      </w:tr>
      <w:tr>
        <w:tc>
          <w:tcPr>
            <w:tcW w:type="dxa" w:w="2351"/>
          </w:tcPr>
          <w:p>
            <w:r/>
            <w:r>
              <w:rPr>
                <w:rFonts w:ascii="Calibri" w:hAnsi="Calibri"/>
                <w:sz w:val="20"/>
              </w:rPr>
              <w:t>Микроскоп Leica SP8 STED — новая закупка (ядро GTU)</w:t>
            </w:r>
          </w:p>
        </w:tc>
        <w:tc>
          <w:tcPr>
            <w:tcW w:type="dxa" w:w="2351"/>
          </w:tcPr>
          <w:p>
            <w:r/>
            <w:r>
              <w:rPr>
                <w:rFonts w:ascii="Calibri" w:hAnsi="Calibri"/>
                <w:sz w:val="20"/>
              </w:rPr>
              <w:t>WP1</w:t>
            </w:r>
          </w:p>
        </w:tc>
        <w:tc>
          <w:tcPr>
            <w:tcW w:type="dxa" w:w="2351"/>
          </w:tcPr>
          <w:p>
            <w:r/>
            <w:r>
              <w:rPr>
                <w:rFonts w:ascii="Calibri" w:hAnsi="Calibri"/>
                <w:sz w:val="20"/>
              </w:rPr>
              <w:t>120 000</w:t>
            </w:r>
          </w:p>
        </w:tc>
        <w:tc>
          <w:tcPr>
            <w:tcW w:type="dxa" w:w="2351"/>
          </w:tcPr>
          <w:p>
            <w:r/>
            <w:r>
              <w:rPr>
                <w:rFonts w:ascii="Calibri" w:hAnsi="Calibri"/>
                <w:sz w:val="20"/>
              </w:rPr>
              <w:t>Наноразмерная визуализация центриолярного придатка; метод U-ExM требует разрешения &lt; 100 нм. Существующий Zeiss LSM 700 используется для стандартной конфокальной микроскопии; Leica SP8 STED — это отдельный новый инструмент, необходимый для нанотопологического анализа CEP164 с разрешением &lt; 100 нм.</w:t>
            </w:r>
          </w:p>
        </w:tc>
      </w:tr>
      <w:tr>
        <w:tc>
          <w:tcPr>
            <w:tcW w:type="dxa" w:w="2351"/>
          </w:tcPr>
          <w:p>
            <w:r/>
            <w:r>
              <w:rPr>
                <w:rFonts w:ascii="Calibri" w:hAnsi="Calibri"/>
                <w:sz w:val="20"/>
              </w:rPr>
              <w:t>Система Miltenyi MACS EasySep (для выделения EPC)</w:t>
            </w:r>
          </w:p>
        </w:tc>
        <w:tc>
          <w:tcPr>
            <w:tcW w:type="dxa" w:w="2351"/>
          </w:tcPr>
          <w:p>
            <w:r/>
            <w:r>
              <w:rPr>
                <w:rFonts w:ascii="Calibri" w:hAnsi="Calibri"/>
                <w:sz w:val="20"/>
              </w:rPr>
              <w:t>WP1</w:t>
            </w:r>
          </w:p>
        </w:tc>
        <w:tc>
          <w:tcPr>
            <w:tcW w:type="dxa" w:w="2351"/>
          </w:tcPr>
          <w:p>
            <w:r/>
            <w:r>
              <w:rPr>
                <w:rFonts w:ascii="Calibri" w:hAnsi="Calibri"/>
                <w:sz w:val="20"/>
              </w:rPr>
              <w:t>15 000</w:t>
            </w:r>
          </w:p>
        </w:tc>
        <w:tc>
          <w:tcPr>
            <w:tcW w:type="dxa" w:w="2351"/>
          </w:tcPr>
          <w:p>
            <w:r/>
            <w:r>
              <w:rPr>
                <w:rFonts w:ascii="Calibri" w:hAnsi="Calibri"/>
                <w:sz w:val="20"/>
              </w:rPr>
              <w:t>Выделение CD34⁺ EPC из 20 мл донорской крови; протокол по Vasa et al., 2001 [1].</w:t>
            </w:r>
          </w:p>
        </w:tc>
      </w:tr>
      <w:tr>
        <w:tc>
          <w:tcPr>
            <w:tcW w:type="dxa" w:w="2351"/>
          </w:tcPr>
          <w:p>
            <w:r/>
            <w:r>
              <w:rPr>
                <w:rFonts w:ascii="Calibri" w:hAnsi="Calibri"/>
                <w:sz w:val="20"/>
              </w:rPr>
              <w:t>Ридер и шейкер для ELISA (Synergy H1)</w:t>
            </w:r>
          </w:p>
        </w:tc>
        <w:tc>
          <w:tcPr>
            <w:tcW w:type="dxa" w:w="2351"/>
          </w:tcPr>
          <w:p>
            <w:r/>
            <w:r>
              <w:rPr>
                <w:rFonts w:ascii="Calibri" w:hAnsi="Calibri"/>
                <w:sz w:val="20"/>
              </w:rPr>
              <w:t>WP1</w:t>
            </w:r>
          </w:p>
        </w:tc>
        <w:tc>
          <w:tcPr>
            <w:tcW w:type="dxa" w:w="2351"/>
          </w:tcPr>
          <w:p>
            <w:r/>
            <w:r>
              <w:rPr>
                <w:rFonts w:ascii="Calibri" w:hAnsi="Calibri"/>
                <w:sz w:val="20"/>
              </w:rPr>
              <w:t>28 000</w:t>
            </w:r>
          </w:p>
        </w:tc>
        <w:tc>
          <w:tcPr>
            <w:tcW w:type="dxa" w:w="2351"/>
          </w:tcPr>
          <w:p>
            <w:r/>
            <w:r>
              <w:rPr>
                <w:rFonts w:ascii="Calibri" w:hAnsi="Calibri"/>
                <w:sz w:val="20"/>
              </w:rPr>
              <w:t>Разработка и валидация анализа ELISA для CEP164.</w:t>
            </w:r>
          </w:p>
        </w:tc>
      </w:tr>
      <w:tr>
        <w:tc>
          <w:tcPr>
            <w:tcW w:type="dxa" w:w="2351"/>
          </w:tcPr>
          <w:p>
            <w:r/>
            <w:r>
              <w:rPr>
                <w:rFonts w:ascii="Calibri" w:hAnsi="Calibri"/>
                <w:sz w:val="20"/>
              </w:rPr>
              <w:t>Реагенты для qPCR (измерение длины теломер, 288 × 2 временные точки)</w:t>
            </w:r>
          </w:p>
        </w:tc>
        <w:tc>
          <w:tcPr>
            <w:tcW w:type="dxa" w:w="2351"/>
          </w:tcPr>
          <w:p>
            <w:r/>
            <w:r>
              <w:rPr>
                <w:rFonts w:ascii="Calibri" w:hAnsi="Calibri"/>
                <w:sz w:val="20"/>
              </w:rPr>
              <w:t>WP2</w:t>
            </w:r>
          </w:p>
        </w:tc>
        <w:tc>
          <w:tcPr>
            <w:tcW w:type="dxa" w:w="2351"/>
          </w:tcPr>
          <w:p>
            <w:r/>
            <w:r>
              <w:rPr>
                <w:rFonts w:ascii="Calibri" w:hAnsi="Calibri"/>
                <w:sz w:val="20"/>
              </w:rPr>
              <w:t>35 000</w:t>
            </w:r>
          </w:p>
        </w:tc>
        <w:tc>
          <w:tcPr>
            <w:tcW w:type="dxa" w:w="2351"/>
          </w:tcPr>
          <w:p>
            <w:r/>
            <w:r>
              <w:rPr>
                <w:rFonts w:ascii="Calibri" w:hAnsi="Calibri"/>
                <w:sz w:val="20"/>
              </w:rPr>
              <w:t>Измерение длины теломер в когорте WP2.</w:t>
            </w:r>
          </w:p>
        </w:tc>
      </w:tr>
      <w:tr>
        <w:tc>
          <w:tcPr>
            <w:tcW w:type="dxa" w:w="2351"/>
          </w:tcPr>
          <w:p>
            <w:r/>
            <w:r>
              <w:rPr>
                <w:rFonts w:ascii="Calibri" w:hAnsi="Calibri"/>
                <w:sz w:val="20"/>
              </w:rPr>
              <w:t>Холтеровские мониторы ЭКГ × 20 (для анализа ВСР)</w:t>
            </w:r>
          </w:p>
        </w:tc>
        <w:tc>
          <w:tcPr>
            <w:tcW w:type="dxa" w:w="2351"/>
          </w:tcPr>
          <w:p>
            <w:r/>
            <w:r>
              <w:rPr>
                <w:rFonts w:ascii="Calibri" w:hAnsi="Calibri"/>
                <w:sz w:val="20"/>
              </w:rPr>
              <w:t>WP2</w:t>
            </w:r>
          </w:p>
        </w:tc>
        <w:tc>
          <w:tcPr>
            <w:tcW w:type="dxa" w:w="2351"/>
          </w:tcPr>
          <w:p>
            <w:r/>
            <w:r>
              <w:rPr>
                <w:rFonts w:ascii="Calibri" w:hAnsi="Calibri"/>
                <w:sz w:val="20"/>
              </w:rPr>
              <w:t>18 000</w:t>
            </w:r>
          </w:p>
        </w:tc>
        <w:tc>
          <w:tcPr>
            <w:tcW w:type="dxa" w:w="2351"/>
          </w:tcPr>
          <w:p>
            <w:r/>
            <w:r>
              <w:rPr>
                <w:rFonts w:ascii="Calibri" w:hAnsi="Calibri"/>
                <w:sz w:val="20"/>
              </w:rPr>
              <w:t>5-минутные записи для расчета ВСР как вторичной конечной точки.</w:t>
            </w:r>
          </w:p>
        </w:tc>
      </w:tr>
      <w:tr>
        <w:tc>
          <w:tcPr>
            <w:tcW w:type="dxa" w:w="2351"/>
          </w:tcPr>
          <w:p>
            <w:r/>
            <w:r>
              <w:rPr>
                <w:rFonts w:ascii="Calibri" w:hAnsi="Calibri"/>
                <w:sz w:val="20"/>
              </w:rPr>
              <w:t>Облачные вычисления HPC (AWS/Azure)</w:t>
            </w:r>
          </w:p>
        </w:tc>
        <w:tc>
          <w:tcPr>
            <w:tcW w:type="dxa" w:w="2351"/>
          </w:tcPr>
          <w:p>
            <w:r/>
            <w:r>
              <w:rPr>
                <w:rFonts w:ascii="Calibri" w:hAnsi="Calibri"/>
                <w:sz w:val="20"/>
              </w:rPr>
              <w:t>WP3</w:t>
            </w:r>
          </w:p>
        </w:tc>
        <w:tc>
          <w:tcPr>
            <w:tcW w:type="dxa" w:w="2351"/>
          </w:tcPr>
          <w:p>
            <w:r/>
            <w:r>
              <w:rPr>
                <w:rFonts w:ascii="Calibri" w:hAnsi="Calibri"/>
                <w:sz w:val="20"/>
              </w:rPr>
              <w:t>24 000</w:t>
            </w:r>
          </w:p>
        </w:tc>
        <w:tc>
          <w:tcPr>
            <w:tcW w:type="dxa" w:w="2351"/>
          </w:tcPr>
          <w:p>
            <w:r/>
            <w:r>
              <w:rPr>
                <w:rFonts w:ascii="Calibri" w:hAnsi="Calibri"/>
                <w:sz w:val="20"/>
              </w:rPr>
              <w:t>Оценка байесовских параметров (Stan MCMC); подбор pBA для n=288 пациентов.</w:t>
            </w:r>
          </w:p>
        </w:tc>
      </w:tr>
      <w:tr>
        <w:tc>
          <w:tcPr>
            <w:tcW w:type="dxa" w:w="2351"/>
          </w:tcPr>
          <w:p>
            <w:r/>
            <w:r>
              <w:rPr>
                <w:rFonts w:ascii="Calibri" w:hAnsi="Calibri"/>
                <w:sz w:val="20"/>
              </w:rPr>
              <w:t>Сертификат финансовой отчетности (CFS)</w:t>
            </w:r>
          </w:p>
        </w:tc>
        <w:tc>
          <w:tcPr>
            <w:tcW w:type="dxa" w:w="2351"/>
          </w:tcPr>
          <w:p>
            <w:r/>
            <w:r>
              <w:rPr>
                <w:rFonts w:ascii="Calibri" w:hAnsi="Calibri"/>
                <w:sz w:val="20"/>
              </w:rPr>
              <w:t>Админ.</w:t>
            </w:r>
          </w:p>
        </w:tc>
        <w:tc>
          <w:tcPr>
            <w:tcW w:type="dxa" w:w="2351"/>
          </w:tcPr>
          <w:p>
            <w:r/>
            <w:r>
              <w:rPr>
                <w:rFonts w:ascii="Calibri" w:hAnsi="Calibri"/>
                <w:sz w:val="20"/>
              </w:rPr>
              <w:t>7 000</w:t>
            </w:r>
          </w:p>
        </w:tc>
        <w:tc>
          <w:tcPr>
            <w:tcW w:type="dxa" w:w="2351"/>
          </w:tcPr>
          <w:p>
            <w:r/>
            <w:r>
              <w:rPr>
                <w:rFonts w:ascii="Calibri" w:hAnsi="Calibri"/>
                <w:sz w:val="20"/>
              </w:rPr>
              <w:t>Стандартное требование Horizon Europe.</w:t>
            </w:r>
          </w:p>
        </w:tc>
      </w:tr>
    </w:tbl>
    <w:p>
      <w:pPr>
        <w:spacing w:after="80" w:line="253" w:lineRule="exact"/>
      </w:pPr>
      <w:r>
        <w:rPr>
          <w:rFonts w:ascii="Calibri" w:hAnsi="Calibri"/>
          <w:b/>
          <w:sz w:val="22"/>
        </w:rPr>
        <w:t>Субподряд для WP2:</w:t>
      </w:r>
      <w:r>
        <w:rPr>
          <w:rFonts w:ascii="Calibri" w:hAnsi="Calibri"/>
          <w:sz w:val="22"/>
        </w:rPr>
        <w:t xml:space="preserve"> Услуги CRO по независимому мониторингу данных (60 000 €) обоснованы требованием ICH E6(R2) §5.18, который предписывает независимый мониторинг клинических исследований, соответствующих стандартам GCP, и не может выполняться самим исследовательским центром.</w:t>
      </w:r>
    </w:p>
    <w:p>
      <w:pPr>
        <w:pBdr>
          <w:bottom w:val="single" w:sz="6" w:space="1" w:color="auto"/>
        </w:pBdr>
        <w:spacing w:after="120"/>
      </w:pPr>
    </w:p>
    <w:p>
      <w:pPr>
        <w:spacing w:before="200" w:after="80"/>
      </w:pPr>
      <w:r>
        <w:rPr>
          <w:rFonts w:ascii="Calibri" w:hAnsi="Calibri"/>
          <w:b/>
          <w:sz w:val="24"/>
        </w:rPr>
        <w:t>3.4 Управление рисками</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9E1F2"/>
          </w:tcPr>
          <w:p>
            <w:r/>
            <w:r>
              <w:rPr>
                <w:rFonts w:ascii="Calibri" w:hAnsi="Calibri"/>
                <w:b/>
                <w:sz w:val="20"/>
              </w:rPr>
              <w:t>#</w:t>
            </w:r>
          </w:p>
        </w:tc>
        <w:tc>
          <w:tcPr>
            <w:tcW w:type="dxa" w:w="1881"/>
            <w:shd w:val="clear" w:color="auto" w:fill="D9E1F2"/>
          </w:tcPr>
          <w:p>
            <w:r/>
            <w:r>
              <w:rPr>
                <w:rFonts w:ascii="Calibri" w:hAnsi="Calibri"/>
                <w:b/>
                <w:sz w:val="20"/>
              </w:rPr>
              <w:t>Риск</w:t>
            </w:r>
          </w:p>
        </w:tc>
        <w:tc>
          <w:tcPr>
            <w:tcW w:type="dxa" w:w="1881"/>
            <w:shd w:val="clear" w:color="auto" w:fill="D9E1F2"/>
          </w:tcPr>
          <w:p>
            <w:r/>
            <w:r>
              <w:rPr>
                <w:rFonts w:ascii="Calibri" w:hAnsi="Calibri"/>
                <w:b/>
                <w:sz w:val="20"/>
              </w:rPr>
              <w:t>Вероятность</w:t>
            </w:r>
          </w:p>
        </w:tc>
        <w:tc>
          <w:tcPr>
            <w:tcW w:type="dxa" w:w="1881"/>
            <w:shd w:val="clear" w:color="auto" w:fill="D9E1F2"/>
          </w:tcPr>
          <w:p>
            <w:r/>
            <w:r>
              <w:rPr>
                <w:rFonts w:ascii="Calibri" w:hAnsi="Calibri"/>
                <w:b/>
                <w:sz w:val="20"/>
              </w:rPr>
              <w:t>Влияние</w:t>
            </w:r>
          </w:p>
        </w:tc>
        <w:tc>
          <w:tcPr>
            <w:tcW w:type="dxa" w:w="1881"/>
            <w:shd w:val="clear" w:color="auto" w:fill="D9E1F2"/>
          </w:tcPr>
          <w:p>
            <w:r/>
            <w:r>
              <w:rPr>
                <w:rFonts w:ascii="Calibri" w:hAnsi="Calibri"/>
                <w:b/>
                <w:sz w:val="20"/>
              </w:rPr>
              <w:t>Меры по смягчению</w:t>
            </w:r>
          </w:p>
        </w:tc>
      </w:tr>
      <w:tr>
        <w:tc>
          <w:tcPr>
            <w:tcW w:type="dxa" w:w="1881"/>
          </w:tcPr>
          <w:p>
            <w:r/>
            <w:r>
              <w:rPr>
                <w:rFonts w:ascii="Calibri" w:hAnsi="Calibri"/>
                <w:sz w:val="20"/>
              </w:rPr>
              <w:t>Р1</w:t>
            </w:r>
          </w:p>
        </w:tc>
        <w:tc>
          <w:tcPr>
            <w:tcW w:type="dxa" w:w="1881"/>
          </w:tcPr>
          <w:p>
            <w:r/>
            <w:r>
              <w:rPr>
                <w:rFonts w:ascii="Calibri" w:hAnsi="Calibri"/>
                <w:sz w:val="20"/>
              </w:rPr>
              <w:t>Неутверждение со-руководителя от GTU</w:t>
            </w:r>
          </w:p>
        </w:tc>
        <w:tc>
          <w:tcPr>
            <w:tcW w:type="dxa" w:w="1881"/>
          </w:tcPr>
          <w:p>
            <w:r/>
            <w:r>
              <w:rPr>
                <w:rFonts w:ascii="Calibri" w:hAnsi="Calibri"/>
                <w:sz w:val="20"/>
              </w:rPr>
              <w:t>Низкая</w:t>
            </w:r>
          </w:p>
        </w:tc>
        <w:tc>
          <w:tcPr>
            <w:tcW w:type="dxa" w:w="1881"/>
          </w:tcPr>
          <w:p>
            <w:r/>
            <w:r>
              <w:rPr>
                <w:rFonts w:ascii="Calibri" w:hAnsi="Calibri"/>
                <w:sz w:val="20"/>
              </w:rPr>
              <w:t>Низкое</w:t>
            </w:r>
          </w:p>
        </w:tc>
        <w:tc>
          <w:tcPr>
            <w:tcW w:type="dxa" w:w="1881"/>
          </w:tcPr>
          <w:p>
            <w:r/>
            <w:r>
              <w:rPr>
                <w:rFonts w:ascii="Calibri" w:hAnsi="Calibri"/>
                <w:sz w:val="20"/>
              </w:rPr>
              <w:t>Со-руководитель подтвержден: проф. Батони Гела (GTU ABET BME, член консорциума FORGE-AI). Резюме и письмо поддержки будут получены до M1.</w:t>
            </w:r>
          </w:p>
        </w:tc>
      </w:tr>
      <w:tr>
        <w:tc>
          <w:tcPr>
            <w:tcW w:type="dxa" w:w="1881"/>
          </w:tcPr>
          <w:p>
            <w:r/>
            <w:r>
              <w:rPr>
                <w:rFonts w:ascii="Calibri" w:hAnsi="Calibri"/>
                <w:sz w:val="20"/>
              </w:rPr>
              <w:t>Р2</w:t>
            </w:r>
          </w:p>
        </w:tc>
        <w:tc>
          <w:tcPr>
            <w:tcW w:type="dxa" w:w="1881"/>
          </w:tcPr>
          <w:p>
            <w:r/>
            <w:r>
              <w:rPr>
                <w:rFonts w:ascii="Calibri" w:hAnsi="Calibri"/>
                <w:sz w:val="20"/>
              </w:rPr>
              <w:t>CAII не коррелирует со слабостью (провал первичной конечной точки)</w:t>
            </w:r>
          </w:p>
        </w:tc>
        <w:tc>
          <w:tcPr>
            <w:tcW w:type="dxa" w:w="1881"/>
          </w:tcPr>
          <w:p>
            <w:r/>
            <w:r>
              <w:rPr>
                <w:rFonts w:ascii="Calibri" w:hAnsi="Calibri"/>
                <w:sz w:val="20"/>
              </w:rPr>
              <w:t>Низкая-Средняя</w:t>
            </w:r>
          </w:p>
        </w:tc>
        <w:tc>
          <w:tcPr>
            <w:tcW w:type="dxa" w:w="1881"/>
          </w:tcPr>
          <w:p>
            <w:r/>
            <w:r>
              <w:rPr>
                <w:rFonts w:ascii="Calibri" w:hAnsi="Calibri"/>
                <w:sz w:val="20"/>
              </w:rPr>
              <w:t>Высокое</w:t>
            </w:r>
          </w:p>
        </w:tc>
        <w:tc>
          <w:tcPr>
            <w:tcW w:type="dxa" w:w="1881"/>
          </w:tcPr>
          <w:p>
            <w:r/>
            <w:r>
              <w:rPr>
                <w:rFonts w:ascii="Calibri" w:hAnsi="Calibri"/>
                <w:sz w:val="20"/>
              </w:rPr>
              <w:t>WP2 включает 5 вторичных конечных точек (эпигенетические часы, ВСР, длина теломер, иммунные маркеры, смертность); даже отрицательный результат по CAII подлежит публикации и является научно значимым. Разработка Cell-DT (WP3) не зависит от результатов WP2.</w:t>
            </w:r>
          </w:p>
        </w:tc>
      </w:tr>
      <w:tr>
        <w:tc>
          <w:tcPr>
            <w:tcW w:type="dxa" w:w="1881"/>
          </w:tcPr>
          <w:p>
            <w:r/>
            <w:r>
              <w:rPr>
                <w:rFonts w:ascii="Calibri" w:hAnsi="Calibri"/>
                <w:sz w:val="20"/>
              </w:rPr>
              <w:t>Р3</w:t>
            </w:r>
          </w:p>
        </w:tc>
        <w:tc>
          <w:tcPr>
            <w:tcW w:type="dxa" w:w="1881"/>
          </w:tcPr>
          <w:p>
            <w:r/>
            <w:r>
              <w:rPr>
                <w:rFonts w:ascii="Calibri" w:hAnsi="Calibri"/>
                <w:sz w:val="20"/>
              </w:rPr>
              <w:t>Задержка поставки Leica SP8 STED (проблемы в цепочке поставок)</w:t>
            </w:r>
          </w:p>
        </w:tc>
        <w:tc>
          <w:tcPr>
            <w:tcW w:type="dxa" w:w="1881"/>
          </w:tcPr>
          <w:p>
            <w:r/>
            <w:r>
              <w:rPr>
                <w:rFonts w:ascii="Calibri" w:hAnsi="Calibri"/>
                <w:sz w:val="20"/>
              </w:rPr>
              <w:t>Низкая</w:t>
            </w:r>
          </w:p>
        </w:tc>
        <w:tc>
          <w:tcPr>
            <w:tcW w:type="dxa" w:w="1881"/>
          </w:tcPr>
          <w:p>
            <w:r/>
            <w:r>
              <w:rPr>
                <w:rFonts w:ascii="Calibri" w:hAnsi="Calibri"/>
                <w:sz w:val="20"/>
              </w:rPr>
              <w:t>Среднее</w:t>
            </w:r>
          </w:p>
        </w:tc>
        <w:tc>
          <w:tcPr>
            <w:tcW w:type="dxa" w:w="1881"/>
          </w:tcPr>
          <w:p>
            <w:r/>
            <w:r>
              <w:rPr>
                <w:rFonts w:ascii="Calibri" w:hAnsi="Calibri"/>
                <w:sz w:val="20"/>
              </w:rPr>
              <w:t>В WP1 стандартный конфокальный микроскоп (Zeiss LSM 700) будет использоваться в течение M1–M9; STED требуется только с M10 для нанотопологического анализа. Возможна задержка до 3 месяцев. Альтернатива: конфокальная микроскопия на базе GTU.</w:t>
            </w:r>
          </w:p>
        </w:tc>
      </w:tr>
      <w:tr>
        <w:tc>
          <w:tcPr>
            <w:tcW w:type="dxa" w:w="1881"/>
          </w:tcPr>
          <w:p>
            <w:r/>
            <w:r>
              <w:rPr>
                <w:rFonts w:ascii="Calibri" w:hAnsi="Calibri"/>
                <w:sz w:val="20"/>
              </w:rPr>
              <w:t>Р4</w:t>
            </w:r>
          </w:p>
        </w:tc>
        <w:tc>
          <w:tcPr>
            <w:tcW w:type="dxa" w:w="1881"/>
          </w:tcPr>
          <w:p>
            <w:r/>
            <w:r>
              <w:rPr>
                <w:rFonts w:ascii="Calibri" w:hAnsi="Calibri"/>
                <w:sz w:val="20"/>
              </w:rPr>
              <w:t>PIC для Phasis Academy не получен до M3</w:t>
            </w:r>
          </w:p>
        </w:tc>
        <w:tc>
          <w:tcPr>
            <w:tcW w:type="dxa" w:w="1881"/>
          </w:tcPr>
          <w:p>
            <w:r/>
            <w:r>
              <w:rPr>
                <w:rFonts w:ascii="Calibri" w:hAnsi="Calibri"/>
                <w:sz w:val="20"/>
              </w:rPr>
              <w:t>Средняя</w:t>
            </w:r>
          </w:p>
        </w:tc>
        <w:tc>
          <w:tcPr>
            <w:tcW w:type="dxa" w:w="1881"/>
          </w:tcPr>
          <w:p>
            <w:r/>
            <w:r>
              <w:rPr>
                <w:rFonts w:ascii="Calibri" w:hAnsi="Calibri"/>
                <w:sz w:val="20"/>
              </w:rPr>
              <w:t>Высокое</w:t>
            </w:r>
          </w:p>
        </w:tc>
        <w:tc>
          <w:tcPr>
            <w:tcW w:type="dxa" w:w="1881"/>
          </w:tcPr>
          <w:p>
            <w:r/>
            <w:r>
              <w:rPr>
                <w:rFonts w:ascii="Calibri" w:hAnsi="Calibri"/>
                <w:sz w:val="20"/>
              </w:rPr>
              <w:t>Процесс регистрации PIC инициирован до начала проекта. Регистрация на Портал финансирования ЕС занимает 2–4 недели; подтвержденный PIC GTU (983636358) будет выступать административным координатором, если PIC Phasis задержится после M1.</w:t>
            </w:r>
          </w:p>
        </w:tc>
      </w:tr>
      <w:tr>
        <w:tc>
          <w:tcPr>
            <w:tcW w:type="dxa" w:w="1881"/>
          </w:tcPr>
          <w:p>
            <w:r/>
            <w:r>
              <w:rPr>
                <w:rFonts w:ascii="Calibri" w:hAnsi="Calibri"/>
                <w:sz w:val="20"/>
              </w:rPr>
              <w:t>Р5</w:t>
            </w:r>
          </w:p>
        </w:tc>
        <w:tc>
          <w:tcPr>
            <w:tcW w:type="dxa" w:w="1881"/>
          </w:tcPr>
          <w:p>
            <w:r/>
            <w:r>
              <w:rPr>
                <w:rFonts w:ascii="Calibri" w:hAnsi="Calibri"/>
                <w:sz w:val="20"/>
              </w:rPr>
              <w:t>Трансплантация центросомы (CentrosomeTransplant) технически неосуществима в текущем виде</w:t>
            </w:r>
          </w:p>
        </w:tc>
        <w:tc>
          <w:tcPr>
            <w:tcW w:type="dxa" w:w="1881"/>
          </w:tcPr>
          <w:p>
            <w:r/>
            <w:r>
              <w:rPr>
                <w:rFonts w:ascii="Calibri" w:hAnsi="Calibri"/>
                <w:sz w:val="20"/>
              </w:rPr>
              <w:t>Средняя</w:t>
            </w:r>
          </w:p>
        </w:tc>
        <w:tc>
          <w:tcPr>
            <w:tcW w:type="dxa" w:w="1881"/>
          </w:tcPr>
          <w:p>
            <w:r/>
            <w:r>
              <w:rPr>
                <w:rFonts w:ascii="Calibri" w:hAnsi="Calibri"/>
                <w:sz w:val="20"/>
              </w:rPr>
              <w:t>Среднее</w:t>
            </w:r>
          </w:p>
        </w:tc>
        <w:tc>
          <w:tcPr>
            <w:tcW w:type="dxa" w:w="1881"/>
          </w:tcPr>
          <w:p>
            <w:r/>
            <w:r>
              <w:rPr>
                <w:rFonts w:ascii="Calibri" w:hAnsi="Calibri"/>
                <w:sz w:val="20"/>
              </w:rPr>
              <w:t>WP4 включает 3 альтернативных вмешательства (CafdRetainer, сенолитики, рапамицин/CR); доказательство концепции может быть продемонстрировано на любом из них. Стратегия защиты интеллектуальной собственности будет основываться на успешно проверенных подходах.</w:t>
            </w:r>
          </w:p>
        </w:tc>
      </w:tr>
    </w:tbl>
    <w:p>
      <w:pPr>
        <w:spacing w:before="200" w:after="80"/>
      </w:pPr>
      <w:r>
        <w:rPr>
          <w:rFonts w:ascii="Calibri" w:hAnsi="Calibri"/>
          <w:b/>
          <w:sz w:val="24"/>
        </w:rPr>
        <w:t>3.5 Практика открытой науки</w:t>
      </w:r>
    </w:p>
    <w:p>
      <w:pPr>
        <w:spacing w:after="80" w:line="253" w:lineRule="exact"/>
      </w:pPr>
      <w:r>
        <w:rPr>
          <w:rFonts w:ascii="Calibri" w:hAnsi="Calibri"/>
          <w:sz w:val="22"/>
        </w:rPr>
        <w:t>Проект CDATA стремится к полному соблюдению принципов открытой науки в соответствии с требованиями Horizon Europe:</w:t>
      </w:r>
    </w:p>
    <w:p>
      <w:pPr>
        <w:spacing w:after="80" w:line="253" w:lineRule="exact"/>
      </w:pPr>
      <w:r>
        <w:rPr>
          <w:rFonts w:ascii="Calibri" w:hAnsi="Calibri"/>
          <w:b/>
          <w:sz w:val="22"/>
        </w:rPr>
        <w:t>Открытый доступ:</w:t>
      </w:r>
      <w:r>
        <w:rPr>
          <w:rFonts w:ascii="Calibri" w:hAnsi="Calibri"/>
          <w:sz w:val="22"/>
        </w:rPr>
        <w:t xml:space="preserve"> Все публикации будут размещены в журналах Gold Open Access (бюджет: 2000 € APC за публикацию × 4 целевые публикации = 8000 €) или в репозиториях Green Open Access в течение 6 месяцев с момента публикации.</w:t>
      </w:r>
    </w:p>
    <w:p>
      <w:pPr>
        <w:spacing w:after="80" w:line="253" w:lineRule="exact"/>
      </w:pPr>
      <w:r>
        <w:rPr>
          <w:rFonts w:ascii="Calibri" w:hAnsi="Calibri"/>
          <w:b/>
          <w:sz w:val="22"/>
        </w:rPr>
        <w:t>FAIR-данные:</w:t>
      </w:r>
    </w:p>
    <w:p>
      <w:pPr>
        <w:pStyle w:val="ListBullet"/>
      </w:pPr>
      <w:r>
        <w:rPr>
          <w:rFonts w:ascii="Calibri" w:hAnsi="Calibri"/>
          <w:sz w:val="22"/>
        </w:rPr>
        <w:t>Экспериментальные наборы данных WP1: будут размещены в Zenodo (лицензия CC-BY 4.0); метаданные будут соответствовать принципам FAIR (Dublin Core).</w:t>
      </w:r>
    </w:p>
    <w:p>
      <w:pPr>
        <w:pStyle w:val="ListBullet"/>
      </w:pPr>
      <w:r>
        <w:rPr>
          <w:rFonts w:ascii="Calibri" w:hAnsi="Calibri"/>
          <w:sz w:val="22"/>
        </w:rPr>
        <w:t>Клинический набор данных WP2: будет анонимизирован и размещен в Европейском пространстве данных здравоохранения (EHDS); сбор данных будет осуществляться с согласия, соответствующего GDPR; данные будут обнаруживаемыми и доступными по протоколу ограниченного доступа.</w:t>
      </w:r>
    </w:p>
    <w:p>
      <w:pPr>
        <w:pStyle w:val="ListBullet"/>
      </w:pPr>
      <w:r>
        <w:rPr>
          <w:rFonts w:ascii="Calibri" w:hAnsi="Calibri"/>
          <w:sz w:val="22"/>
        </w:rPr>
        <w:t>Код Cell-DT: будет размещен на GitHub (лицензия MIT) с присвоением DOI через Zenodo для обеспечения цитирования и воспроизводимости; все релизы будут помечены тегами; модульные тесты (≥439) обеспечат воспроизводимость вычислений.</w:t>
      </w:r>
    </w:p>
    <w:p>
      <w:pPr>
        <w:spacing w:after="80" w:line="253" w:lineRule="exact"/>
      </w:pPr>
      <w:r>
        <w:rPr>
          <w:rFonts w:ascii="Calibri" w:hAnsi="Calibri"/>
          <w:b/>
          <w:sz w:val="22"/>
        </w:rPr>
        <w:t>Ответственное исследование.</w:t>
      </w:r>
      <w:r>
        <w:rPr>
          <w:rFonts w:ascii="Calibri" w:hAnsi="Calibri"/>
          <w:sz w:val="22"/>
        </w:rPr>
        <w:t xml:space="preserve"> Эксперименты на животных не планируются. Исследования с участием людей: клиническое исследование WP2 будет соответствовать Хельсинкской декларации; одобрение будет получено от Комитета по этике ГТУ с учетом национальных требований Грузии по биоэтике; одобрение IRB будет получено до месяца M3.</w:t>
      </w:r>
    </w:p>
    <w:p>
      <w:pPr>
        <w:spacing w:after="80" w:line="253" w:lineRule="exact"/>
      </w:pPr>
      <w:r>
        <w:rPr>
          <w:rFonts w:ascii="Calibri" w:hAnsi="Calibri"/>
          <w:b/>
          <w:sz w:val="22"/>
        </w:rPr>
        <w:t>EOSC (Европейское облако открытой науки):</w:t>
      </w:r>
      <w:r>
        <w:rPr>
          <w:rFonts w:ascii="Calibri" w:hAnsi="Calibri"/>
          <w:sz w:val="22"/>
        </w:rPr>
        <w:t xml:space="preserve"> Cell-DT будет размещен в совместимом с EOSC репозитории Zenodo; анонимный набор данных WP2 будет зарегистрирован в каталоге B2FIND.</w:t>
      </w:r>
    </w:p>
    <w:p>
      <w:pPr>
        <w:pBdr>
          <w:bottom w:val="single" w:sz="6" w:space="1" w:color="auto"/>
        </w:pBdr>
        <w:spacing w:after="120"/>
      </w:pPr>
    </w:p>
    <w:p>
      <w:pPr>
        <w:spacing w:before="200" w:after="80"/>
      </w:pPr>
      <w:r>
        <w:rPr>
          <w:rFonts w:ascii="Calibri" w:hAnsi="Calibri"/>
          <w:b/>
          <w:sz w:val="28"/>
        </w:rPr>
        <w:t>4. Самооценка этики</w:t>
      </w:r>
    </w:p>
    <w:p>
      <w:pPr>
        <w:spacing w:before="200" w:after="80"/>
      </w:pPr>
      <w:r>
        <w:rPr>
          <w:rFonts w:ascii="Calibri" w:hAnsi="Calibri"/>
          <w:b/>
          <w:sz w:val="24"/>
        </w:rPr>
        <w:t>4.1 Этические аспекты целей, методологии и вероятного воздействия</w:t>
      </w:r>
    </w:p>
    <w:p>
      <w:pPr>
        <w:spacing w:after="80" w:line="253" w:lineRule="exact"/>
      </w:pPr>
      <w:r>
        <w:rPr>
          <w:rFonts w:ascii="Calibri" w:hAnsi="Calibri"/>
          <w:b/>
          <w:sz w:val="22"/>
        </w:rPr>
        <w:t>Участники-люди (WP2):</w:t>
      </w:r>
    </w:p>
    <w:p>
      <w:pPr>
        <w:pStyle w:val="ListBullet"/>
      </w:pPr>
      <w:r>
        <w:rPr>
          <w:rFonts w:ascii="Calibri" w:hAnsi="Calibri"/>
          <w:sz w:val="22"/>
        </w:rPr>
        <w:t>Полностью добровольное участие; двухэтапная процедура получения согласия: когнитивный скрининг Mini-Cog → письменное информированное согласие.</w:t>
      </w:r>
    </w:p>
    <w:p>
      <w:pPr>
        <w:pStyle w:val="ListBullet"/>
      </w:pPr>
      <w:r>
        <w:rPr>
          <w:rFonts w:ascii="Calibri" w:hAnsi="Calibri"/>
          <w:sz w:val="22"/>
        </w:rPr>
        <w:t>Право на отказ от участия в любое время без каких-либо последствий.</w:t>
      </w:r>
    </w:p>
    <w:p>
      <w:pPr>
        <w:pStyle w:val="ListBullet"/>
      </w:pPr>
      <w:r>
        <w:rPr>
          <w:rFonts w:ascii="Calibri" w:hAnsi="Calibri"/>
          <w:sz w:val="22"/>
        </w:rPr>
        <w:t>Участники не будут подвергаться терапевтическим вмешательствам; только наблюдательный забор крови и клиническая оценка.</w:t>
      </w:r>
    </w:p>
    <w:p>
      <w:pPr>
        <w:pStyle w:val="ListBullet"/>
      </w:pPr>
      <w:r>
        <w:rPr>
          <w:rFonts w:ascii="Calibri" w:hAnsi="Calibri"/>
          <w:sz w:val="22"/>
        </w:rPr>
        <w:t>Особая защита: возрастная группа 66–80 лет считается потенциально уязвимой; скрининг Mini-Cog обеспечивает подтверждение достаточной когнитивной способности для принятия информированного решения.</w:t>
      </w:r>
    </w:p>
    <w:p>
      <w:pPr>
        <w:pStyle w:val="ListBullet"/>
      </w:pPr>
      <w:r>
        <w:rPr>
          <w:rFonts w:ascii="Calibri" w:hAnsi="Calibri"/>
          <w:sz w:val="22"/>
        </w:rPr>
        <w:t>Данные: будут псевдонимизированы на месте сбора; ключи для повторной идентификации будут храниться у сотрудника по защите данных GTU отдельно от исследовательской базы данных.</w:t>
      </w:r>
    </w:p>
    <w:p>
      <w:pPr>
        <w:spacing w:after="80" w:line="253" w:lineRule="exact"/>
      </w:pPr>
      <w:r>
        <w:rPr>
          <w:rFonts w:ascii="Calibri" w:hAnsi="Calibri"/>
          <w:b/>
          <w:sz w:val="22"/>
        </w:rPr>
        <w:t>Биологические образцы (биобанк WP2):</w:t>
      </w:r>
    </w:p>
    <w:p>
      <w:pPr>
        <w:pStyle w:val="ListBullet"/>
      </w:pPr>
      <w:r>
        <w:rPr>
          <w:rFonts w:ascii="Calibri" w:hAnsi="Calibri"/>
          <w:sz w:val="22"/>
        </w:rPr>
        <w:t>Полученное согласие явным образом распространяется на будущее использование образцов в исследованиях старения.</w:t>
      </w:r>
    </w:p>
    <w:p>
      <w:pPr>
        <w:pStyle w:val="ListBullet"/>
      </w:pPr>
      <w:r>
        <w:rPr>
          <w:rFonts w:ascii="Calibri" w:hAnsi="Calibri"/>
          <w:sz w:val="22"/>
        </w:rPr>
        <w:t>Будут заключены соглашения о передаче материалов для любого будущего обмена с третьими сторонами.</w:t>
      </w:r>
    </w:p>
    <w:p>
      <w:pPr>
        <w:pStyle w:val="ListBullet"/>
      </w:pPr>
      <w:r>
        <w:rPr>
          <w:rFonts w:ascii="Calibri" w:hAnsi="Calibri"/>
          <w:sz w:val="22"/>
        </w:rPr>
        <w:t>Генетическое тестирование не будет проводиться без явного повторного согласия.</w:t>
      </w:r>
    </w:p>
    <w:p>
      <w:pPr>
        <w:spacing w:after="80" w:line="253" w:lineRule="exact"/>
      </w:pPr>
      <w:r>
        <w:rPr>
          <w:rFonts w:ascii="Calibri" w:hAnsi="Calibri"/>
          <w:b/>
          <w:sz w:val="22"/>
        </w:rPr>
        <w:t>Программное обеспечение Cell-DT:</w:t>
      </w:r>
    </w:p>
    <w:p>
      <w:pPr>
        <w:pStyle w:val="ListBullet"/>
      </w:pPr>
      <w:r>
        <w:rPr>
          <w:rFonts w:ascii="Calibri" w:hAnsi="Calibri"/>
          <w:sz w:val="22"/>
        </w:rPr>
        <w:t>Риск двойного использования: низкий. Cell-DT моделирует биологическое старение; потенциальные оборонные или оружейные применения не выявлены.</w:t>
      </w:r>
    </w:p>
    <w:p>
      <w:pPr>
        <w:pStyle w:val="ListBullet"/>
      </w:pPr>
      <w:r>
        <w:rPr>
          <w:rFonts w:ascii="Calibri" w:hAnsi="Calibri"/>
          <w:sz w:val="22"/>
        </w:rPr>
        <w:t>Выпуск с открытым исходным кодом по лицензии MIT будет включать отказ от ответственности, указывающий, что программное обеспечение не является медицинским устройством.</w:t>
      </w:r>
    </w:p>
    <w:p>
      <w:pPr>
        <w:spacing w:after="80" w:line="253" w:lineRule="exact"/>
      </w:pPr>
      <w:r>
        <w:rPr>
          <w:rFonts w:ascii="Calibri" w:hAnsi="Calibri"/>
          <w:b/>
          <w:sz w:val="22"/>
        </w:rPr>
        <w:t>Конфиденциальность:</w:t>
      </w:r>
      <w:r>
        <w:rPr>
          <w:rFonts w:ascii="Calibri" w:hAnsi="Calibri"/>
          <w:sz w:val="22"/>
        </w:rPr>
        <w:t xml:space="preserve"> В WP1 не осуществляется сбор персональных данных (используются клеточные линии, EPC анонимных доноров). Данные WP2 будут защищены в соответствии с Законом Грузии о защите персональных данных (принципы которого гармонизированы с GDPR в рамках обязательств Соглашения об ассоциации между Грузией и ЕС в цифровой сфере).</w:t>
      </w:r>
    </w:p>
    <w:p>
      <w:pPr>
        <w:spacing w:before="200" w:after="80"/>
      </w:pPr>
      <w:r>
        <w:rPr>
          <w:rFonts w:ascii="Calibri" w:hAnsi="Calibri"/>
          <w:b/>
          <w:sz w:val="24"/>
        </w:rPr>
        <w:t>4.2 Соблюдение этических принципов и соответствующего законодательства</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D9E1F2"/>
          </w:tcPr>
          <w:p>
            <w:r/>
            <w:r>
              <w:rPr>
                <w:rFonts w:ascii="Calibri" w:hAnsi="Calibri"/>
                <w:b/>
                <w:sz w:val="20"/>
              </w:rPr>
              <w:t>Этические требования</w:t>
            </w:r>
          </w:p>
        </w:tc>
        <w:tc>
          <w:tcPr>
            <w:tcW w:type="dxa" w:w="4703"/>
            <w:shd w:val="clear" w:color="auto" w:fill="D9E1F2"/>
          </w:tcPr>
          <w:p>
            <w:r/>
            <w:r>
              <w:rPr>
                <w:rFonts w:ascii="Calibri" w:hAnsi="Calibri"/>
                <w:b/>
                <w:sz w:val="20"/>
              </w:rPr>
              <w:t>Меры соответствия</w:t>
            </w:r>
          </w:p>
        </w:tc>
      </w:tr>
      <w:tr>
        <w:tc>
          <w:tcPr>
            <w:tcW w:type="dxa" w:w="4703"/>
          </w:tcPr>
          <w:p>
            <w:r/>
            <w:r>
              <w:rPr>
                <w:rFonts w:ascii="Calibri" w:hAnsi="Calibri"/>
                <w:sz w:val="20"/>
              </w:rPr>
              <w:t>Информированное согласие (WP2)</w:t>
            </w:r>
          </w:p>
        </w:tc>
        <w:tc>
          <w:tcPr>
            <w:tcW w:type="dxa" w:w="4703"/>
          </w:tcPr>
          <w:p>
            <w:r/>
            <w:r>
              <w:rPr>
                <w:rFonts w:ascii="Calibri" w:hAnsi="Calibri"/>
                <w:sz w:val="20"/>
              </w:rPr>
              <w:t>Двухэтапная процедура (Mini-Cog + письменное согласие); соответствие ICH E6(R2) GCP.</w:t>
            </w:r>
          </w:p>
        </w:tc>
      </w:tr>
      <w:tr>
        <w:tc>
          <w:tcPr>
            <w:tcW w:type="dxa" w:w="4703"/>
          </w:tcPr>
          <w:p>
            <w:r/>
            <w:r>
              <w:rPr>
                <w:rFonts w:ascii="Calibri" w:hAnsi="Calibri"/>
                <w:sz w:val="20"/>
              </w:rPr>
              <w:t>Защита данных</w:t>
            </w:r>
          </w:p>
        </w:tc>
        <w:tc>
          <w:tcPr>
            <w:tcW w:type="dxa" w:w="4703"/>
          </w:tcPr>
          <w:p>
            <w:r/>
            <w:r>
              <w:rPr>
                <w:rFonts w:ascii="Calibri" w:hAnsi="Calibri"/>
                <w:sz w:val="20"/>
              </w:rPr>
              <w:t>Соблюдение грузинского законодательства о защите персональных данных (PDPLaw) и принципов GDPR; псевдонимизация данных.</w:t>
            </w:r>
          </w:p>
        </w:tc>
      </w:tr>
      <w:tr>
        <w:tc>
          <w:tcPr>
            <w:tcW w:type="dxa" w:w="4703"/>
          </w:tcPr>
          <w:p>
            <w:r/>
            <w:r>
              <w:rPr>
                <w:rFonts w:ascii="Calibri" w:hAnsi="Calibri"/>
                <w:sz w:val="20"/>
              </w:rPr>
              <w:t>Хельсинкская декларация</w:t>
            </w:r>
          </w:p>
        </w:tc>
        <w:tc>
          <w:tcPr>
            <w:tcW w:type="dxa" w:w="4703"/>
          </w:tcPr>
          <w:p>
            <w:r/>
            <w:r>
              <w:rPr>
                <w:rFonts w:ascii="Calibri" w:hAnsi="Calibri"/>
                <w:sz w:val="20"/>
              </w:rPr>
              <w:t>Получение одобрения Комитета по этике ГТУ (до месяца M3).</w:t>
            </w:r>
          </w:p>
        </w:tc>
      </w:tr>
      <w:tr>
        <w:tc>
          <w:tcPr>
            <w:tcW w:type="dxa" w:w="4703"/>
          </w:tcPr>
          <w:p>
            <w:r/>
            <w:r>
              <w:rPr>
                <w:rFonts w:ascii="Calibri" w:hAnsi="Calibri"/>
                <w:sz w:val="20"/>
              </w:rPr>
              <w:t>Отсутствие экспериментов на животных</w:t>
            </w:r>
          </w:p>
        </w:tc>
        <w:tc>
          <w:tcPr>
            <w:tcW w:type="dxa" w:w="4703"/>
          </w:tcPr>
          <w:p>
            <w:r/>
            <w:r>
              <w:rPr>
                <w:rFonts w:ascii="Calibri" w:hAnsi="Calibri"/>
                <w:sz w:val="20"/>
              </w:rPr>
              <w:t>Подтверждено; используются только клеточные линии и добровольцы-люди.</w:t>
            </w:r>
          </w:p>
        </w:tc>
      </w:tr>
      <w:tr>
        <w:tc>
          <w:tcPr>
            <w:tcW w:type="dxa" w:w="4703"/>
          </w:tcPr>
          <w:p>
            <w:r/>
            <w:r>
              <w:rPr>
                <w:rFonts w:ascii="Calibri" w:hAnsi="Calibri"/>
                <w:sz w:val="20"/>
              </w:rPr>
              <w:t>Распределение выгод</w:t>
            </w:r>
          </w:p>
        </w:tc>
        <w:tc>
          <w:tcPr>
            <w:tcW w:type="dxa" w:w="4703"/>
          </w:tcPr>
          <w:p>
            <w:r/>
            <w:r>
              <w:rPr>
                <w:rFonts w:ascii="Calibri" w:hAnsi="Calibri"/>
                <w:sz w:val="20"/>
              </w:rPr>
              <w:t>Публикации в открытом доступе; вклад данных в EHDS.</w:t>
            </w:r>
          </w:p>
        </w:tc>
      </w:tr>
      <w:tr>
        <w:tc>
          <w:tcPr>
            <w:tcW w:type="dxa" w:w="4703"/>
          </w:tcPr>
          <w:p>
            <w:r/>
            <w:r>
              <w:rPr>
                <w:rFonts w:ascii="Calibri" w:hAnsi="Calibri"/>
                <w:sz w:val="20"/>
              </w:rPr>
              <w:t>Исследования двойного назначения</w:t>
            </w:r>
          </w:p>
        </w:tc>
        <w:tc>
          <w:tcPr>
            <w:tcW w:type="dxa" w:w="4703"/>
          </w:tcPr>
          <w:p>
            <w:r/>
            <w:r>
              <w:rPr>
                <w:rFonts w:ascii="Calibri" w:hAnsi="Calibri"/>
                <w:sz w:val="20"/>
              </w:rPr>
              <w:t>Cell-DT предназначен только для биологического моделирования; риски двойного использования не выявлены.</w:t>
            </w:r>
          </w:p>
        </w:tc>
      </w:tr>
    </w:tbl>
    <w:p>
      <w:pPr>
        <w:pBdr>
          <w:bottom w:val="single" w:sz="6" w:space="1" w:color="auto"/>
        </w:pBdr>
        <w:spacing w:after="120"/>
      </w:pPr>
    </w:p>
    <w:p>
      <w:pPr>
        <w:spacing w:before="200" w:after="80"/>
      </w:pPr>
      <w:r>
        <w:rPr>
          <w:rFonts w:ascii="Calibri" w:hAnsi="Calibri"/>
          <w:b/>
          <w:sz w:val="28"/>
        </w:rPr>
        <w:t>Приложение: ключевые ссылки</w:t>
      </w:r>
    </w:p>
    <w:p>
      <w:pPr>
        <w:pStyle w:val="ListNumber"/>
      </w:pPr>
      <w:r>
        <w:rPr>
          <w:rFonts w:ascii="Calibri" w:hAnsi="Calibri"/>
          <w:sz w:val="22"/>
        </w:rPr>
        <w:t xml:space="preserve">López-Otín C et al. «Hallmarks of aging: An expanding universe». </w:t>
      </w:r>
      <w:r>
        <w:rPr>
          <w:rFonts w:ascii="Calibri" w:hAnsi="Calibri"/>
          <w:i/>
          <w:sz w:val="22"/>
        </w:rPr>
        <w:t>Cell.</w:t>
      </w:r>
      <w:r>
        <w:rPr>
          <w:rFonts w:ascii="Calibri" w:hAnsi="Calibri"/>
          <w:sz w:val="22"/>
        </w:rPr>
        <w:t xml:space="preserve"> 2023;186(2):243-278.</w:t>
      </w:r>
    </w:p>
    <w:p>
      <w:pPr>
        <w:pStyle w:val="ListNumber"/>
      </w:pPr>
      <w:r>
        <w:rPr>
          <w:rFonts w:ascii="Calibri" w:hAnsi="Calibri"/>
          <w:sz w:val="22"/>
        </w:rPr>
        <w:t xml:space="preserve">Blackburn EH. «Telomere states and cell fates». </w:t>
      </w:r>
      <w:r>
        <w:rPr>
          <w:rFonts w:ascii="Calibri" w:hAnsi="Calibri"/>
          <w:i/>
          <w:sz w:val="22"/>
        </w:rPr>
        <w:t>Nature.</w:t>
      </w:r>
      <w:r>
        <w:rPr>
          <w:rFonts w:ascii="Calibri" w:hAnsi="Calibri"/>
          <w:sz w:val="22"/>
        </w:rPr>
        <w:t xml:space="preserve"> 2000;408:53-56.</w:t>
      </w:r>
    </w:p>
    <w:p>
      <w:pPr>
        <w:pStyle w:val="ListNumber"/>
      </w:pPr>
      <w:r>
        <w:rPr>
          <w:rFonts w:ascii="Calibri" w:hAnsi="Calibri"/>
          <w:sz w:val="22"/>
        </w:rPr>
        <w:t xml:space="preserve">Tkemaladze J, Lortkipanidze G. «Asymmetric centrosome segregation and its role in cell fate determination». </w:t>
      </w:r>
      <w:r>
        <w:rPr>
          <w:rFonts w:ascii="Calibri" w:hAnsi="Calibri"/>
          <w:i/>
          <w:sz w:val="22"/>
        </w:rPr>
        <w:t>Mol Biol Rep.</w:t>
      </w:r>
      <w:r>
        <w:rPr>
          <w:rFonts w:ascii="Calibri" w:hAnsi="Calibri"/>
          <w:sz w:val="22"/>
        </w:rPr>
        <w:t xml:space="preserve"> 2023;50(3):2741-2748. </w:t>
      </w:r>
      <w:r>
        <w:rPr>
          <w:rFonts w:ascii="Calibri" w:hAnsi="Calibri"/>
          <w:b/>
          <w:sz w:val="22"/>
        </w:rPr>
        <w:t>PMID: 36583780</w:t>
      </w:r>
    </w:p>
    <w:p>
      <w:pPr>
        <w:pStyle w:val="ListNumber"/>
      </w:pPr>
      <w:r>
        <w:rPr>
          <w:rFonts w:ascii="Calibri" w:hAnsi="Calibri"/>
          <w:sz w:val="22"/>
        </w:rPr>
        <w:t xml:space="preserve">Tkemaladze J. «CDATA: The Centriolar Damage Accumulation Theory of Aging». </w:t>
      </w:r>
      <w:r>
        <w:rPr>
          <w:rFonts w:ascii="Calibri" w:hAnsi="Calibri"/>
          <w:i/>
          <w:sz w:val="22"/>
        </w:rPr>
        <w:t>Ann Rejuvenation Sci.</w:t>
      </w:r>
      <w:r>
        <w:rPr>
          <w:rFonts w:ascii="Calibri" w:hAnsi="Calibri"/>
          <w:sz w:val="22"/>
        </w:rPr>
        <w:t xml:space="preserve"> 2025. </w:t>
      </w:r>
      <w:r>
        <w:rPr>
          <w:rFonts w:ascii="Calibri" w:hAnsi="Calibri"/>
          <w:b/>
          <w:sz w:val="22"/>
        </w:rPr>
        <w:t>DOI: 10.65649/yx9sn772</w:t>
      </w:r>
    </w:p>
    <w:p>
      <w:pPr>
        <w:pStyle w:val="ListNumber"/>
      </w:pPr>
      <w:r>
        <w:rPr>
          <w:rFonts w:ascii="Calibri" w:hAnsi="Calibri"/>
          <w:sz w:val="22"/>
        </w:rPr>
        <w:t xml:space="preserve">Gambarotto D et al. «Imaging cellular ultrastructures using expansion microscopy (U-ExM)». </w:t>
      </w:r>
      <w:r>
        <w:rPr>
          <w:rFonts w:ascii="Calibri" w:hAnsi="Calibri"/>
          <w:i/>
          <w:sz w:val="22"/>
        </w:rPr>
        <w:t>Nat Methods.</w:t>
      </w:r>
      <w:r>
        <w:rPr>
          <w:rFonts w:ascii="Calibri" w:hAnsi="Calibri"/>
          <w:sz w:val="22"/>
        </w:rPr>
        <w:t xml:space="preserve"> 2019;16:71-74.</w:t>
      </w:r>
    </w:p>
    <w:p>
      <w:pPr>
        <w:pStyle w:val="ListNumber"/>
      </w:pPr>
      <w:r>
        <w:rPr>
          <w:rFonts w:ascii="Calibri" w:hAnsi="Calibri"/>
          <w:sz w:val="22"/>
        </w:rPr>
        <w:t xml:space="preserve">Franceschi C et al. «Inflamm-aging and anti-inflammaging: A systemic perspective on aging and longevity». </w:t>
      </w:r>
      <w:r>
        <w:rPr>
          <w:rFonts w:ascii="Calibri" w:hAnsi="Calibri"/>
          <w:i/>
          <w:sz w:val="22"/>
        </w:rPr>
        <w:t>Mech Ageing Dev.</w:t>
      </w:r>
      <w:r>
        <w:rPr>
          <w:rFonts w:ascii="Calibri" w:hAnsi="Calibri"/>
          <w:sz w:val="22"/>
        </w:rPr>
        <w:t xml:space="preserve"> 2007;128(1):92-105.</w:t>
      </w:r>
    </w:p>
    <w:p>
      <w:pPr>
        <w:pStyle w:val="ListNumber"/>
      </w:pPr>
      <w:r>
        <w:rPr>
          <w:rFonts w:ascii="Calibri" w:hAnsi="Calibri"/>
          <w:sz w:val="22"/>
        </w:rPr>
        <w:t xml:space="preserve">Vasa M et al. «Increase in circulating endothelial progenitor cells by statin therapy». </w:t>
      </w:r>
      <w:r>
        <w:rPr>
          <w:rFonts w:ascii="Calibri" w:hAnsi="Calibri"/>
          <w:i/>
          <w:sz w:val="22"/>
        </w:rPr>
        <w:t>Circulation.</w:t>
      </w:r>
      <w:r>
        <w:rPr>
          <w:rFonts w:ascii="Calibri" w:hAnsi="Calibri"/>
          <w:sz w:val="22"/>
        </w:rPr>
        <w:t xml:space="preserve"> 2001;103(24):2885-90.</w:t>
      </w:r>
    </w:p>
    <w:p>
      <w:pPr>
        <w:pStyle w:val="ListNumber"/>
      </w:pPr>
      <w:r>
        <w:rPr>
          <w:rFonts w:ascii="Calibri" w:hAnsi="Calibri"/>
          <w:sz w:val="22"/>
        </w:rPr>
        <w:t xml:space="preserve">Levine ME et al. «An epigenetic biomarker of aging for lifespan and healthspan». </w:t>
      </w:r>
      <w:r>
        <w:rPr>
          <w:rFonts w:ascii="Calibri" w:hAnsi="Calibri"/>
          <w:i/>
          <w:sz w:val="22"/>
        </w:rPr>
        <w:t>Aging.</w:t>
      </w:r>
      <w:r>
        <w:rPr>
          <w:rFonts w:ascii="Calibri" w:hAnsi="Calibri"/>
          <w:sz w:val="22"/>
        </w:rPr>
        <w:t xml:space="preserve"> 2018;10(4):573-591.</w:t>
      </w:r>
    </w:p>
    <w:p>
      <w:pPr>
        <w:pStyle w:val="ListNumber"/>
      </w:pPr>
      <w:r>
        <w:rPr>
          <w:rFonts w:ascii="Calibri" w:hAnsi="Calibri"/>
          <w:sz w:val="22"/>
        </w:rPr>
        <w:t xml:space="preserve">Cawthon RM. «Telomere measurement by quantitative PCR». </w:t>
      </w:r>
      <w:r>
        <w:rPr>
          <w:rFonts w:ascii="Calibri" w:hAnsi="Calibri"/>
          <w:i/>
          <w:sz w:val="22"/>
        </w:rPr>
        <w:t>Nucleic Acids Res.</w:t>
      </w:r>
      <w:r>
        <w:rPr>
          <w:rFonts w:ascii="Calibri" w:hAnsi="Calibri"/>
          <w:sz w:val="22"/>
        </w:rPr>
        <w:t xml:space="preserve"> 2002;30(10):e47.</w:t>
      </w:r>
    </w:p>
    <w:p>
      <w:pPr>
        <w:pStyle w:val="ListNumber"/>
      </w:pPr>
      <w:r>
        <w:rPr>
          <w:rFonts w:ascii="Calibri" w:hAnsi="Calibri"/>
          <w:sz w:val="22"/>
        </w:rPr>
        <w:t xml:space="preserve">Fried LP et al. «Frailty in older adults: evidence for a phenotype». </w:t>
      </w:r>
      <w:r>
        <w:rPr>
          <w:rFonts w:ascii="Calibri" w:hAnsi="Calibri"/>
          <w:i/>
          <w:sz w:val="22"/>
        </w:rPr>
        <w:t>J Gerontol A Biol Sci Med Sci.</w:t>
      </w:r>
      <w:r>
        <w:rPr>
          <w:rFonts w:ascii="Calibri" w:hAnsi="Calibri"/>
          <w:sz w:val="22"/>
        </w:rPr>
        <w:t xml:space="preserve"> 2001;56(3):M146-156.</w:t>
      </w:r>
    </w:p>
    <w:p>
      <w:pPr>
        <w:pStyle w:val="ListNumber"/>
      </w:pPr>
      <w:r>
        <w:rPr>
          <w:rFonts w:ascii="Calibri" w:hAnsi="Calibri"/>
          <w:sz w:val="22"/>
        </w:rPr>
        <w:t xml:space="preserve">Gladyshev VN. «The free radical theory of aging is dead. Long live the damage theory!» </w:t>
      </w:r>
      <w:r>
        <w:rPr>
          <w:rFonts w:ascii="Calibri" w:hAnsi="Calibri"/>
          <w:i/>
          <w:sz w:val="22"/>
        </w:rPr>
        <w:t>Antioxid Redox Signal.</w:t>
      </w:r>
      <w:r>
        <w:rPr>
          <w:rFonts w:ascii="Calibri" w:hAnsi="Calibri"/>
          <w:sz w:val="22"/>
        </w:rPr>
        <w:t xml:space="preserve"> 2014;20(4):727-731.</w:t>
      </w:r>
    </w:p>
    <w:p>
      <w:pPr>
        <w:pBdr>
          <w:bottom w:val="single" w:sz="6" w:space="1" w:color="auto"/>
        </w:pBdr>
        <w:spacing w:after="120"/>
      </w:pPr>
    </w:p>
    <w:p>
      <w:pPr>
        <w:spacing w:after="80" w:line="253" w:lineRule="exact"/>
      </w:pPr>
      <w:r>
        <w:rPr>
          <w:rFonts w:ascii="Calibri" w:hAnsi="Calibri"/>
          <w:i/>
          <w:sz w:val="22"/>
        </w:rPr>
        <w:t>Версия документа: v7.0 — 24 марта 2026 г.</w:t>
      </w:r>
    </w:p>
    <w:p>
      <w:pPr>
        <w:spacing w:after="80" w:line="253" w:lineRule="exact"/>
      </w:pPr>
      <w:r>
        <w:rPr>
          <w:rFonts w:ascii="Calibri" w:hAnsi="Calibri"/>
          <w:i/>
          <w:sz w:val="22"/>
        </w:rPr>
        <w:t>Ведущий исследователь: Джаба Ткемаладзе, д.м.н. — Phasis Academy, Поти, Грузия</w:t>
      </w:r>
    </w:p>
    <w:p>
      <w:pPr>
        <w:spacing w:after="80" w:line="253" w:lineRule="exact"/>
      </w:pPr>
      <w:r>
        <w:rPr>
          <w:rFonts w:ascii="Calibri" w:hAnsi="Calibri"/>
          <w:i/>
          <w:sz w:val="22"/>
        </w:rPr>
        <w:t>Контакт: jaba@drjaba.com</w:t>
      </w:r>
    </w:p>
    <w:p>
      <w:pPr>
        <w:spacing w:after="80" w:line="253" w:lineRule="exact"/>
      </w:pPr>
      <w:r>
        <w:rPr>
          <w:rFonts w:ascii="Calibri" w:hAnsi="Calibri"/>
          <w:i/>
          <w:sz w:val="22"/>
        </w:rPr>
        <w:t>Изменения от версии 2.0 до версии 7.0: Теория Ze перемещена в качестве вторичной исследовательской конечной точки в WP2 (1.2.3) без использования ранее неопубликованных наборов данных. Соглашение о консорциуме исправлено на M1. Расширено описание Phasis Academy. Добавлено подготовительное задание WP4 T4.0 (M6–M18). Добавлены предостережения in silico. STED исправлен для нового приобретения Leica SP8. Добавлено ослепление WP2. Первичные фибробласты HDF добавлены к WP1. Скорректированы ключевые показатели эффективности (№ 10 r&gt;0,5; № 12 «Доказательство механизма»; № 16 автоматизированная платформа CAII ELISA). Добавлена ​​ссылка Гладышева 2014 года. Добавлен международный набор инженеров по Rust.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Страница </w:t>
    </w:r>
    <w:r>
      <w:rPr>
        <w:rFonts w:ascii="Calibri" w:hAnsi="Calibri"/>
        <w:sz w:val="18"/>
      </w:rPr>
      <w:fldChar w:fldCharType="begin"/>
      <w:instrText xml:space="preserve">PAGE</w:instrText>
      <w:fldChar w:fldCharType="end"/>
    </w:r>
    <w:r>
      <w:rPr>
        <w:rFonts w:ascii="Calibri" w:hAnsi="Calibri"/>
        <w:sz w:val="18"/>
      </w:rPr>
      <w:t xml:space="preserve"> из </w:t>
    </w:r>
    <w:r>
      <w:rPr>
        <w:rFonts w:ascii="Calibri" w:hAnsi="Calibri"/>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