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СТРАТЕГИЯ ПОЛУЧЕНИЯ ГРАНТА</w:t>
        <w:br/>
        <w:t>HORIZON EUROPE</w:t>
      </w:r>
    </w:p>
    <w:p/>
    <w:p>
      <w:pPr>
        <w:jc w:val="center"/>
      </w:pPr>
      <w:r>
        <w:rPr>
          <w:i/>
          <w:sz w:val="24"/>
        </w:rPr>
        <w:t>Для: Dr. Jaba Tkemaladze, MD</w:t>
        <w:br/>
        <w:t>Организация-заявитель: ფაზისის აკადემია (Phasis Academy)</w:t>
        <w:br/>
        <w:t>Составлено: 2026-03-21</w:t>
      </w:r>
    </w:p>
    <w:p>
      <w:r>
        <w:br w:type="page"/>
      </w:r>
    </w:p>
    <w:p>
      <w:pPr>
        <w:pStyle w:val="Heading1"/>
      </w:pPr>
      <w:r>
        <w:rPr>
          <w:color w:val="1F497D"/>
        </w:rPr>
        <w:t>ЧАСТЬ 1. ЧТО ТАКОЕ HORIZON EUROPE</w:t>
      </w:r>
    </w:p>
    <w:p>
      <w:r>
        <w:rPr>
          <w:b/>
        </w:rPr>
        <w:t>Horizon Europe</w:t>
      </w:r>
      <w:r>
        <w:t xml:space="preserve"> — главная научно-исследовательская программа ЕС с бюджетом </w:t>
      </w:r>
      <w:r>
        <w:rPr>
          <w:b/>
        </w:rPr>
        <w:t>€95.5 млрд (2021–2027)</w:t>
      </w:r>
      <w:r>
        <w:t>. Состоит из трёх столпов: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Столп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Для кого</w:t>
            </w:r>
          </w:p>
        </w:tc>
        <w:tc>
          <w:tcPr>
            <w:tcW w:type="dxa" w:w="2351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Бюджет на грант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Pillar I — Excellent Science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ERC, MSCA, Research Infrastructures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Учёные с PhD, исследовательские группы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€1.5M–2.5M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Pillar II — Global Challenges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Health Cluster (HLTH), Climate, Digital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Консорциумы (3+ организации из 3+ стран)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€3M–11M на проект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Pillar III — Innovative Europe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EIC Pathfinder, EIC Accelerator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Стартапы, исследовательские организации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€0.5M–4M</w:t>
            </w:r>
          </w:p>
        </w:tc>
      </w:tr>
    </w:tbl>
    <w:p/>
    <w:p>
      <w:r>
        <w:rPr>
          <w:b/>
          <w:color w:val="007000"/>
        </w:rPr>
        <w:t>Грузия — ассоциированная страна Horizon Europe</w:t>
      </w:r>
      <w:r>
        <w:t xml:space="preserve"> (с 2023 г.). Это означает:</w:t>
      </w:r>
    </w:p>
    <w:p>
      <w:pPr>
        <w:pStyle w:val="ListBullet"/>
      </w:pPr>
      <w:r>
        <w:t>Грузинские организации могут подавать заявки напрямую</w:t>
      </w:r>
    </w:p>
    <w:p>
      <w:pPr>
        <w:pStyle w:val="ListBullet"/>
      </w:pPr>
      <w:r>
        <w:t>Финансирование получают наравне с организациями ЕС</w:t>
      </w:r>
    </w:p>
    <w:p>
      <w:pPr>
        <w:pStyle w:val="ListBullet"/>
      </w:pPr>
      <w:r>
        <w:t>Национальный контактный человек: Ana Goletiani (a.goletiani@mes.gov.ge)</w:t>
      </w:r>
    </w:p>
    <w:p>
      <w:pPr>
        <w:pStyle w:val="Heading1"/>
      </w:pPr>
      <w:r>
        <w:rPr>
          <w:color w:val="1F497D"/>
        </w:rPr>
        <w:t>ЧАСТЬ 2. АНАЛИЗ ფაზისის აკადემია КАК ЗАЯВИТЕЛЯ</w:t>
      </w:r>
    </w:p>
    <w:p>
      <w:pPr>
        <w:pStyle w:val="Heading2"/>
      </w:pPr>
      <w:r>
        <w:rPr>
          <w:color w:val="2E74B5"/>
        </w:rPr>
        <w:t>Что из себя представляет организация</w:t>
      </w:r>
    </w:p>
    <w:p>
      <w:r>
        <w:t>ფაზისის აკადემია (Phasis Academy) — светская научно-культурная организация в г. Поти. Основана в 1974 г. как возрождение исторической Колхидской реторической школы (III–VI вв. н.э.). Президент: Gia Kvashilava — лингвист, специалист по протогрузинским языкам, расшифровал Фестский диск.</w:t>
      </w:r>
    </w:p>
    <w:p>
      <w:pPr>
        <w:pStyle w:val="Heading2"/>
      </w:pPr>
      <w:r>
        <w:rPr>
          <w:color w:val="2E74B5"/>
        </w:rPr>
        <w:t>Оценка для получения гранта Horizon Europe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Юридический статус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Годится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Зарегистрированная организация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Признание госструктурами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✅ Есть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Взаимодействует с правительством Грузии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Научный профиль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⚠️ НЕ СОВПАДАЕТ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Лингвистика и история — не медицина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Медицинская инфраструктура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❌ Отсутствует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Нет лаборатории, клиники, биобанка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Опыт EU-грантов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❌ Не обнаружен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Нет видимой истории EU-проектов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Финансовая ёмкость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❓ Неизвестна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Малая организация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Публикации в медицине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❌ Нет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Публикации только по лингвистике</w:t>
            </w:r>
          </w:p>
        </w:tc>
      </w:tr>
    </w:tbl>
    <w:p/>
    <w:p>
      <w:r>
        <w:rPr>
          <w:b/>
          <w:color w:val="C00000"/>
        </w:rPr>
        <w:t xml:space="preserve">⚠️ КРИТИЧЕСКИЙ ВЫВОД: </w:t>
      </w:r>
      <w:r>
        <w:t>Phasis Academy в текущем виде — СЛАБЫЙ заявитель для медицинских грантов Horizon Europe. Рецензенты отклонят заявку, если организация не имеет медицинского профиля и инфраструктуры. Необходимы срочные меры по усилению организации (см. Раздел 3).</w:t>
      </w:r>
    </w:p>
    <w:p>
      <w:pPr>
        <w:pStyle w:val="Heading1"/>
      </w:pPr>
      <w:r>
        <w:rPr>
          <w:color w:val="1F497D"/>
        </w:rPr>
        <w:t>ЧАСТЬ 3. РЕКОМЕНДАЦИИ ПО УСИЛЕНИЮ ОРГАНИЗАЦИИ</w:t>
      </w:r>
    </w:p>
    <w:p>
      <w:r>
        <w:rPr>
          <w:b/>
          <w:sz w:val="22"/>
        </w:rPr>
        <w:t>3.1. Формализовать медицинское направление</w:t>
      </w:r>
    </w:p>
    <w:p>
      <w:pPr>
        <w:pStyle w:val="ListBullet"/>
      </w:pPr>
      <w:r>
        <w:t>Создать «Лабораторию интегративной медицины» в составе Phasis Academy</w:t>
      </w:r>
    </w:p>
    <w:p>
      <w:pPr>
        <w:pStyle w:val="ListBullet"/>
      </w:pPr>
      <w:r>
        <w:t>Назначить Dr. Jaba Tkemaladze руководителем этого направления</w:t>
      </w:r>
    </w:p>
    <w:p>
      <w:pPr>
        <w:pStyle w:val="ListBullet"/>
      </w:pPr>
      <w:r>
        <w:t>Прописать в уставе: "медицинские и биомедицинские исследования"</w:t>
      </w:r>
    </w:p>
    <w:p>
      <w:r>
        <w:rPr>
          <w:b/>
          <w:sz w:val="22"/>
        </w:rPr>
        <w:t>3.2. Строить публикационный след</w:t>
      </w:r>
    </w:p>
    <w:p>
      <w:pPr>
        <w:pStyle w:val="ListBullet"/>
      </w:pPr>
      <w:r>
        <w:t>Подать 1–2 статьи до апреля 2026: CDATA → bioRxiv → Aging Cell / npj Aging</w:t>
      </w:r>
    </w:p>
    <w:p>
      <w:pPr>
        <w:pStyle w:val="ListBullet"/>
      </w:pPr>
      <w:r>
        <w:t>Ze теория → Frontiers in Physiology</w:t>
      </w:r>
    </w:p>
    <w:p>
      <w:pPr>
        <w:pStyle w:val="ListBullet"/>
      </w:pPr>
      <w:r>
        <w:t>Даже preprint усиливает заявку (TRL 1–2)</w:t>
      </w:r>
    </w:p>
    <w:p>
      <w:r>
        <w:rPr>
          <w:b/>
          <w:sz w:val="22"/>
        </w:rPr>
        <w:t>3.3. Найти европейского партнёра (CO-PI)</w:t>
      </w:r>
    </w:p>
    <w:p>
      <w:pPr>
        <w:pStyle w:val="ListBullet"/>
      </w:pPr>
      <w:r>
        <w:t>Без EU-партнёра с PhD и публикациями заявки почти нереальны</w:t>
      </w:r>
    </w:p>
    <w:p>
      <w:pPr>
        <w:pStyle w:val="ListBullet"/>
      </w:pPr>
      <w:r>
        <w:t>Целевые страны: Италия, Польша, Чехия, Эстония</w:t>
      </w:r>
    </w:p>
    <w:p>
      <w:pPr>
        <w:pStyle w:val="ListBullet"/>
      </w:pPr>
      <w:r>
        <w:t>Контакт через: ResearchGate, academia.edu, конференции IAGG</w:t>
      </w:r>
    </w:p>
    <w:p>
      <w:pPr>
        <w:pStyle w:val="ListBullet"/>
      </w:pPr>
      <w:r>
        <w:t>Альтернатива: Грузинский медицинский университет как второй партнёр</w:t>
      </w:r>
    </w:p>
    <w:p>
      <w:r>
        <w:rPr>
          <w:b/>
          <w:sz w:val="22"/>
        </w:rPr>
        <w:t>3.4. Связаться с Rustaveli Foundation</w:t>
      </w:r>
    </w:p>
    <w:p>
      <w:pPr>
        <w:pStyle w:val="ListBullet"/>
      </w:pPr>
      <w:r>
        <w:t>Сайт: gnsf.ge — грузинский аналог Horizon</w:t>
      </w:r>
    </w:p>
    <w:p>
      <w:pPr>
        <w:pStyle w:val="ListBullet"/>
      </w:pPr>
      <w:r>
        <w:t>Победа во внутреннем гранте = proof of concept + track record</w:t>
      </w:r>
    </w:p>
    <w:p>
      <w:pPr>
        <w:pStyle w:val="ListBullet"/>
      </w:pPr>
      <w:r>
        <w:t>Бюджет до $50K — небольшой, но строит историю</w:t>
      </w:r>
    </w:p>
    <w:p>
      <w:r>
        <w:rPr>
          <w:b/>
          <w:sz w:val="22"/>
        </w:rPr>
        <w:t>3.5. EEN (Enterprise Europe Network) в Грузии</w:t>
      </w:r>
    </w:p>
    <w:p>
      <w:pPr>
        <w:pStyle w:val="ListBullet"/>
      </w:pPr>
      <w:r>
        <w:t>Бесплатная служба для поиска европейских партнёров</w:t>
      </w:r>
    </w:p>
    <w:p>
      <w:pPr>
        <w:pStyle w:val="ListBullet"/>
      </w:pPr>
      <w:r>
        <w:t>Контакт: Georgia Innovation and Technology Agency (GITA)</w:t>
      </w:r>
    </w:p>
    <w:p>
      <w:pPr>
        <w:pStyle w:val="Heading1"/>
      </w:pPr>
      <w:r>
        <w:rPr>
          <w:color w:val="1F497D"/>
        </w:rPr>
        <w:t>ЧАСТЬ 4. ВАШИ ПРОЕКТЫ В РАЗРЕЗЕ HORIZON EUROPE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Конкурс Horizon</w:t>
            </w:r>
          </w:p>
        </w:tc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Бюджет</w:t>
            </w:r>
          </w:p>
        </w:tc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Дедлайн</w:t>
            </w:r>
          </w:p>
        </w:tc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★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CDATA (цифровой двойник)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EIC Pathfinder Open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Breakthrough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€0.5–4M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12.05.2026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Ze + HealthWearable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HLTH-2026-TOOL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RIA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€5–8M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Апр 2026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AIM + Dietebi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HLTH-2026-DISEASE-09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€3–4M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Апр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CDATA (EIC Challenge)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EIC Pathfinder Challenge "Biotech Healthy Ageing"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Breakthrough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€0.5–4M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ЗАКРЫТ 10.2025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Regenesis + AIM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HLTH-2026-STAYHLTH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RIA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€9–10M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Апр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ClinicA + AIM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HLTH-2026-CARE-03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RIA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€10M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Апр 2026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⭐⭐⭐</w:t>
            </w:r>
          </w:p>
        </w:tc>
      </w:tr>
    </w:tbl>
    <w:p>
      <w:pPr>
        <w:pStyle w:val="Heading1"/>
      </w:pPr>
      <w:r>
        <w:rPr>
          <w:color w:val="1F497D"/>
        </w:rPr>
        <w:t>ЧАСТЬ 5. КАК ПОЛУЧИТЬ ГРАНТ — ПОШАГОВЫЙ ПЛАН</w:t>
      </w:r>
    </w:p>
    <w:p>
      <w:r>
        <w:rPr>
          <w:b/>
          <w:color w:val="1F497D"/>
          <w:sz w:val="26"/>
        </w:rPr>
        <w:t>Ближайший реалистичный дедлайн: EIC Pathfinder Open — 12.05.2026</w:t>
      </w:r>
    </w:p>
    <w:p>
      <w:r>
        <w:t>Почему именно этот конкурс:</w:t>
      </w:r>
    </w:p>
    <w:p>
      <w:pPr>
        <w:pStyle w:val="ListBullet"/>
      </w:pPr>
      <w:r>
        <w:t>Финансирование 100%, до €4M</w:t>
      </w:r>
    </w:p>
    <w:p>
      <w:pPr>
        <w:pStyle w:val="ListBullet"/>
      </w:pPr>
      <w:r>
        <w:t>TRL 1–4 (концепция + прототип) — CDATA точно попадает</w:t>
      </w:r>
    </w:p>
    <w:p>
      <w:pPr>
        <w:pStyle w:val="ListBullet"/>
      </w:pPr>
      <w:r>
        <w:t>Достаточно 2 партнёров из 2 разных стран</w:t>
      </w:r>
    </w:p>
    <w:p>
      <w:pPr>
        <w:pStyle w:val="ListBullet"/>
      </w:pPr>
      <w:r>
        <w:t>CDATA — прорывное исследование старения на клеточном уровне</w:t>
      </w:r>
    </w:p>
    <w:p>
      <w:pPr>
        <w:pStyle w:val="Heading3"/>
      </w:pPr>
      <w:r>
        <w:rPr>
          <w:color w:val="2E74B5"/>
        </w:rPr>
        <w:t>Неделя 1–2 (до 5 апреля 2026)</w:t>
      </w:r>
    </w:p>
    <w:p>
      <w:pPr>
        <w:pStyle w:val="ListBullet"/>
      </w:pPr>
      <w:r>
        <w:t>Связаться с Ana Goletiani (a.goletiani@mes.gov.ge)</w:t>
      </w:r>
    </w:p>
    <w:p>
      <w:pPr>
        <w:pStyle w:val="ListBullet"/>
      </w:pPr>
      <w:r>
        <w:t>Зарегистрироваться в EU Funding &amp; Tenders Portal</w:t>
      </w:r>
    </w:p>
    <w:p>
      <w:pPr>
        <w:pStyle w:val="ListBullet"/>
      </w:pPr>
      <w:r>
        <w:t>Phasis Academy — получить PIC-номер (бесплатно)</w:t>
      </w:r>
    </w:p>
    <w:p>
      <w:pPr>
        <w:pStyle w:val="ListBullet"/>
      </w:pPr>
      <w:r>
        <w:t>Начать поиск европейского партнёра</w:t>
      </w:r>
    </w:p>
    <w:p>
      <w:pPr>
        <w:pStyle w:val="Heading3"/>
      </w:pPr>
      <w:r>
        <w:rPr>
          <w:color w:val="2E74B5"/>
        </w:rPr>
        <w:t>Неделя 3–4 (5–19 апреля 2026)</w:t>
      </w:r>
    </w:p>
    <w:p>
      <w:pPr>
        <w:pStyle w:val="ListBullet"/>
      </w:pPr>
      <w:r>
        <w:t>Загрузить CDATA как preprint на bioRxiv</w:t>
      </w:r>
    </w:p>
    <w:p>
      <w:pPr>
        <w:pStyle w:val="ListBullet"/>
      </w:pPr>
      <w:r>
        <w:t>Написать Letter of Intent с европейским партнёром</w:t>
      </w:r>
    </w:p>
    <w:p>
      <w:pPr>
        <w:pStyle w:val="ListBullet"/>
      </w:pPr>
      <w:r>
        <w:t>Оформить Jaba как PI — MD достаточно при сильном консорциуме</w:t>
      </w:r>
    </w:p>
    <w:p>
      <w:pPr>
        <w:pStyle w:val="Heading3"/>
      </w:pPr>
      <w:r>
        <w:rPr>
          <w:color w:val="2E74B5"/>
        </w:rPr>
        <w:t>Апрель–май 2026</w:t>
      </w:r>
    </w:p>
    <w:p>
      <w:pPr>
        <w:pStyle w:val="ListBullet"/>
      </w:pPr>
      <w:r>
        <w:t>Форма B (Research Excellence): описание CDATA как прорывного исследования</w:t>
      </w:r>
    </w:p>
    <w:p>
      <w:pPr>
        <w:pStyle w:val="ListBullet"/>
      </w:pPr>
      <w:r>
        <w:t>Форма B1 (Impact): как CDATA меняет понимание старения</w:t>
      </w:r>
    </w:p>
    <w:p>
      <w:pPr>
        <w:pStyle w:val="ListBullet"/>
      </w:pPr>
      <w:r>
        <w:t>Бюджет: 24–36 месяцев, €1.5–3M</w:t>
      </w:r>
    </w:p>
    <w:p>
      <w:pPr>
        <w:pStyle w:val="ListBullet"/>
      </w:pPr>
      <w:r>
        <w:t>Подать до 12.05.2026</w:t>
      </w:r>
    </w:p>
    <w:p/>
    <w:p>
      <w:r>
        <w:rPr>
          <w:b/>
          <w:i/>
        </w:rPr>
        <w:t>Ключевой нарратив заявки CDATA:</w:t>
      </w:r>
    </w:p>
    <w:p>
      <w:pPr>
        <w:ind w:left="567"/>
      </w:pPr>
      <w:r>
        <w:rPr>
          <w:i/>
          <w:color w:val="2E74B5"/>
        </w:rPr>
        <w:t>"CDATA is the first computational cellular digital twin integrating 7 biological tracks and 20 aging mechanisms into a unified predictive model of human lifespan. Our model demonstrates 78.4-year lifespan prediction with validated stochastic resilience (CV=5.6%). We propose to validate CDATA against wet-lab aging biomarkers and develop it into a precision longevity prediction platform."</w:t>
      </w:r>
    </w:p>
    <w:p>
      <w:pPr>
        <w:pStyle w:val="Heading1"/>
      </w:pPr>
      <w:r>
        <w:rPr>
          <w:color w:val="1F497D"/>
        </w:rPr>
        <w:t>ЧАСТЬ 6. 20 ПРОЕКТОВ В ПОРЯДКЕ ВЕРОЯТНОСТИ ГРАНТА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Конкурс</w:t>
            </w:r>
          </w:p>
        </w:tc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Сумма (EUR)</w:t>
            </w:r>
          </w:p>
        </w:tc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1568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Примечания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CDATA: Клеточный цифровой двойник старения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EIC Pathfinder Open 2026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1.5–4M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35% ★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EU-партнёр с PhD. Дедлайн 12.05.2026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Ze + NexRing: HRV для предикции НИЗ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HLTH-TOOL-03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3–6M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Нужна клинич. валидация Ze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CDATA → Rustaveli Foundation (внутренний)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Georgian NSF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30–80K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45% ★★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Самый реалистичный старт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AIM: AI-диагностика НИЗ в Кавказе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HLTH-DISEASE-09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2–4M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18%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Кавказ = LMIC — плюс для конкурса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Интегративная медицина vs НИЗ — клин. исследование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HLTH-STAYHLTH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5–9M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Нужна клиника + IRB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Longevity Digital Biomarker Platform (CDATA+Ze+Wearable)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EIC Pathfinder Open 2027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2–4M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При наличии публикаций к 2027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Протоколы Regenesis — доказательная база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HLTH-STAYHLTH (nutrition)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4–8M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14%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Нужны RCT данные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ClinicA: доступ к инновационной медпомощи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HLTH-CARE-03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5–10M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Нужна клиника с данными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Постковидные состояния + Ze-мониторинг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HLTH-DISEASE-03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4–7M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Ze как инструмент мониторинга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Грузинская традиционная медицина — доказательная база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HLTH-STAYHLTH / CARE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2–4M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Уникальный нарратив, нет конкурентов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Многоязычный AI-триаж для Кавказа (RU/KA/KZ/EN)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HLTH-CARE (равный доступ)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2–4M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16%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Нарратив языкового равенства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HealthWearable + CDATA → персонализированный мониторинг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EIC Advanced Challenges 2027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0.3–2.5M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Нужно юрлицо-стартап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AI Drug Interaction для пожилых пациентов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HLTH-DISEASE (полипрагмазия)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3–5M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14%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DrugInteractionChecker уже написан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Цифровой двойник пациента (CDATA + Ze + AIM)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EIC Pathfinder Open 2027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2–4M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22%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Более амбициозная версия №1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Питание и эпигенетическое старение (Regenesis + CDATA)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HLTH-DISEASE / STAYHLTH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4–8M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11%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Нужна лаборатория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Доказательная база Dietebi: 46 случаев → RCT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HLTH-CARE / DISEASE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3–6M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13%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Уже есть данные — сильный старт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Климат + здоровье в Кавказском регионе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HLTH-ENVHLTH-01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5–8M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9%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Требует Copernicus-данных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Кавказская когорта долгожителей — биобанк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HLTH-DISEASE / ERC Advanced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2–5M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Нужен PhD для ERC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Инновационный центр интегративной медицины в Грузии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European Innovation Ecosystems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1–3M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14%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Подходит для академии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Marie Skłodowska-Curie Staff Exchange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MSCA-SE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0.3–1M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28% ★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Проще всего; не требует PhD</w:t>
            </w:r>
          </w:p>
        </w:tc>
      </w:tr>
    </w:tbl>
    <w:p>
      <w:pPr>
        <w:pStyle w:val="Heading1"/>
      </w:pPr>
      <w:r>
        <w:rPr>
          <w:color w:val="1F497D"/>
        </w:rPr>
        <w:t>ЧАСТЬ 7. НЕМЕДЛЕННЫЕ ПРИОРИТЕТЫ</w:t>
      </w:r>
    </w:p>
    <w:p>
      <w:r>
        <w:rPr>
          <w:b/>
          <w:color w:val="C00000"/>
        </w:rPr>
        <w:t>1. СРОЧНО: Связаться с Ana Goletiani</w:t>
      </w:r>
    </w:p>
    <w:p>
      <w:r>
        <w:t>a.goletiani@mes.gov.ge</w:t>
        <w:br/>
        <w:t>Тема: "EIC Pathfinder Open 2026 — Georgian applicant, integrative medicine + aging digital twin"</w:t>
        <w:br/>
        <w:t>Попросить: консультацию + EU-партнёров + помощь с PIC-регистрацией.</w:t>
      </w:r>
    </w:p>
    <w:p>
      <w:r>
        <w:rPr>
          <w:b/>
          <w:color w:val="C00000"/>
        </w:rPr>
        <w:t>2. Подать на Rustaveli Foundation</w:t>
      </w:r>
    </w:p>
    <w:p>
      <w:r>
        <w:t>Сайт: gnsf.ge — подача открыта почти круглогодично.</w:t>
        <w:br/>
        <w:t>Тема: "CDATA: вычислительная модель клеточного старения"</w:t>
      </w:r>
    </w:p>
    <w:p>
      <w:r>
        <w:rPr>
          <w:b/>
          <w:color w:val="C00000"/>
        </w:rPr>
        <w:t>3. Разместить CDATA как preprint</w:t>
      </w:r>
    </w:p>
    <w:p>
      <w:r>
        <w:t>bioRxiv.org — бесплатно, занимает 1–2 дня.</w:t>
        <w:br/>
        <w:t>Без preprintов заявка выглядит неубедительно.</w:t>
      </w:r>
    </w:p>
    <w:p>
      <w:pPr>
        <w:pStyle w:val="Heading1"/>
      </w:pPr>
      <w:r>
        <w:rPr>
          <w:color w:val="1F497D"/>
        </w:rPr>
        <w:t>ЧАСТЬ 8. ВАЖНЫЕ КОНТАКТЫ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Организация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Контакт</w:t>
            </w:r>
          </w:p>
        </w:tc>
        <w:tc>
          <w:tcPr>
            <w:tcW w:type="dxa" w:w="3135"/>
            <w:shd w:fill="2E74B5" w:color="FFFFFF" w:val="clear"/>
          </w:tcPr>
          <w:p>
            <w:r>
              <w:rPr>
                <w:b/>
                <w:color w:val="FFFFFF"/>
                <w:sz w:val="18"/>
              </w:rPr>
              <w:t>Зачем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Horizon Europe Georgia NCP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a.goletiani@mes.gov.ge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Главный консультант, поиск партнёров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GITA (Innovation Agency Georgia)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gita.gov.ge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EEN партнёры, консультации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Rustaveli Science Foundation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gnsf.ge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Внутренний грант — track record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EU Funding &amp; Tenders Portal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ec.europa.eu/info/funding-tenders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Регистрация, подача заявок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EIC helpdesk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eic@eismea.eu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Вопросы по Pathfinder</w:t>
            </w:r>
          </w:p>
        </w:tc>
      </w:tr>
    </w:tbl>
    <w:p>
      <w:pPr>
        <w:pStyle w:val="Heading1"/>
      </w:pPr>
      <w:r>
        <w:rPr>
          <w:color w:val="1F497D"/>
        </w:rPr>
        <w:t>РЕЗЮМЕ</w:t>
      </w:r>
    </w:p>
    <w:p>
      <w:r>
        <w:rPr>
          <w:b/>
          <w:color w:val="007000"/>
        </w:rPr>
        <w:t>Что работает в вашу пользу:</w:t>
      </w:r>
    </w:p>
    <w:p>
      <w:pPr>
        <w:pStyle w:val="ListBullet"/>
      </w:pPr>
      <w:r>
        <w:t>CDATA — прорывной проект, точно попадает в EIC Pathfinder "Biotechnology for Healthy Ageing"</w:t>
      </w:r>
    </w:p>
    <w:p>
      <w:pPr>
        <w:pStyle w:val="ListBullet"/>
      </w:pPr>
      <w:r>
        <w:t>Ze — уникальная теория, нет конкурентов с таким подходом к HRV</w:t>
      </w:r>
    </w:p>
    <w:p>
      <w:pPr>
        <w:pStyle w:val="ListBullet"/>
      </w:pPr>
      <w:r>
        <w:t>Грузия — ассоциированная страна, все права участника есть</w:t>
      </w:r>
    </w:p>
    <w:p>
      <w:pPr>
        <w:pStyle w:val="ListBullet"/>
      </w:pPr>
      <w:r>
        <w:t>Dietebi — 46+ клинических случаев = реальные данные (редкость для стартовой заявки)</w:t>
      </w:r>
    </w:p>
    <w:p/>
    <w:p>
      <w:r>
        <w:rPr>
          <w:b/>
          <w:color w:val="C00000"/>
        </w:rPr>
        <w:t>Что нужно исправить:</w:t>
      </w:r>
    </w:p>
    <w:p>
      <w:pPr>
        <w:pStyle w:val="ListBullet"/>
      </w:pPr>
      <w:r>
        <w:t>Phasis Academy нужно добавить медицинское направление в устав</w:t>
      </w:r>
    </w:p>
    <w:p>
      <w:pPr>
        <w:pStyle w:val="ListBullet"/>
      </w:pPr>
      <w:r>
        <w:t>Критически нужен 1 европейский партнёр с PhD и публикациями</w:t>
      </w:r>
    </w:p>
    <w:p>
      <w:pPr>
        <w:pStyle w:val="ListBullet"/>
      </w:pPr>
      <w:r>
        <w:t>Нужны preprintы/публикации до подачи заявки</w:t>
      </w:r>
    </w:p>
    <w:p>
      <w:pPr>
        <w:pStyle w:val="ListBullet"/>
      </w:pPr>
      <w:r>
        <w:t>Рассмотреть создание отдельного юрлица (стартап/НКО) для EIC Accelerator</w:t>
      </w:r>
    </w:p>
    <w:p/>
    <w:p>
      <w:r>
        <w:rPr>
          <w:b/>
        </w:rPr>
        <w:t>Реалистичный сценарий:</w:t>
      </w:r>
    </w:p>
    <w:p>
      <w:pPr>
        <w:ind w:left="567"/>
      </w:pPr>
      <w:r>
        <w:rPr>
          <w:i/>
          <w:color w:val="2E74B5"/>
        </w:rPr>
        <w:t>2026: MSCA Staff Exchange (€300K) + Rustaveli grant (€40K) → европейские партнёры + публикации</w:t>
        <w:br/>
        <w:t>2027: EIC Pathfinder Open с CDATA (€2–4M) — при наличии EU-партнёра и preprint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