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200" w:line="276" w:lineRule="auto"/>
        <w:jc w:val="both"/>
      </w:pPr>
      <w:r>
        <w:rPr>
          <w:rFonts w:ascii="Cambria" w:hAnsi="Cambria" w:cs="Cambria" w:eastAsia="Cambria"/>
          <w:b/>
          <w:bCs/>
          <w:sz w:val="22"/>
        </w:rPr>
        <w:t xml:space="preserve">Letter of Intent: Longevity Impetus Grants Program (LOI v22, rev. 2026-04-15)</w:t>
      </w:r>
      <w:r>
        <w:rPr>
          <w:rFonts w:ascii="Cambria" w:hAnsi="Cambria" w:cs="Cambria" w:eastAsia="Cambria"/>
          <w:sz w:val="22"/>
        </w:rPr>
        <w:t xml:space="preserve"> </w:t>
      </w:r>
      <w:r>
        <w:rPr>
          <w:rFonts w:ascii="Cambria" w:hAnsi="Cambria" w:cs="Cambria" w:eastAsia="Cambria"/>
          <w:b/>
          <w:bCs/>
          <w:sz w:val="22"/>
        </w:rPr>
        <w:t xml:space="preserve">Submission Deadline:</w:t>
      </w:r>
      <w:r>
        <w:rPr>
          <w:rFonts w:ascii="Cambria" w:hAnsi="Cambria" w:cs="Cambria" w:eastAsia="Cambria"/>
          <w:sz w:val="22"/>
        </w:rPr>
        <w:t xml:space="preserve"> </w:t>
      </w:r>
      <w:r>
        <w:rPr>
          <w:rFonts w:ascii="Cambria" w:hAnsi="Cambria" w:cs="Cambria" w:eastAsia="Cambria"/>
          <w:sz w:val="22"/>
        </w:rPr>
        <w:t xml:space="preserve">April 25, 2026</w:t>
      </w:r>
      <w:r>
        <w:rPr>
          <w:rFonts w:ascii="Cambria" w:hAnsi="Cambria" w:cs="Cambria" w:eastAsia="Cambria"/>
          <w:sz w:val="22"/>
        </w:rPr>
        <w:t xml:space="preserve"> </w:t>
      </w:r>
      <w:r>
        <w:rPr>
          <w:rFonts w:ascii="Cambria" w:hAnsi="Cambria" w:cs="Cambria" w:eastAsia="Cambria"/>
          <w:b/>
          <w:bCs/>
          <w:sz w:val="22"/>
        </w:rPr>
        <w:t xml:space="preserve">Principal Investigator:</w:t>
      </w:r>
      <w:r>
        <w:rPr>
          <w:rFonts w:ascii="Cambria" w:hAnsi="Cambria" w:cs="Cambria" w:eastAsia="Cambria"/>
          <w:sz w:val="22"/>
        </w:rPr>
        <w:t xml:space="preserve"> </w:t>
      </w:r>
      <w:r>
        <w:rPr>
          <w:rFonts w:ascii="Cambria" w:hAnsi="Cambria" w:cs="Cambria" w:eastAsia="Cambria"/>
          <w:sz w:val="22"/>
        </w:rPr>
        <w:t xml:space="preserve">Jaba Tkemaladze, MD | Georgia Longevity Alliance (Reg. #404506520) | TSMU Vivarium</w:t>
      </w:r>
      <w:r>
        <w:rPr>
          <w:rFonts w:ascii="Cambria" w:hAnsi="Cambria" w:cs="Cambria" w:eastAsia="Cambria"/>
          <w:sz w:val="22"/>
        </w:rPr>
        <w:t xml:space="preserve"> </w:t>
      </w:r>
      <w:r>
        <w:rPr>
          <w:rFonts w:ascii="Cambria" w:hAnsi="Cambria" w:cs="Cambria" w:eastAsia="Cambria"/>
          <w:b/>
          <w:bCs/>
          <w:sz w:val="22"/>
        </w:rPr>
        <w:t xml:space="preserve">Contact:</w:t>
      </w:r>
      <w:r>
        <w:rPr>
          <w:rFonts w:ascii="Cambria" w:hAnsi="Cambria" w:cs="Cambria" w:eastAsia="Cambria"/>
          <w:sz w:val="22"/>
        </w:rPr>
        <w:t xml:space="preserve"> </w:t>
      </w:r>
      <w:r>
        <w:rPr>
          <w:rFonts w:ascii="Cambria" w:hAnsi="Cambria" w:cs="Cambria" w:eastAsia="Cambria"/>
          <w:sz w:val="22"/>
        </w:rPr>
        <w:t xml:space="preserve">jaba@longevity.ge</w:t>
      </w:r>
      <w:r>
        <w:rPr>
          <w:rFonts w:ascii="Cambria" w:hAnsi="Cambria" w:cs="Cambria" w:eastAsia="Cambria"/>
          <w:sz w:val="22"/>
        </w:rPr>
        <w:t xml:space="preserve"> </w:t>
      </w:r>
      <w:r>
        <w:rPr>
          <w:rFonts w:ascii="Cambria" w:hAnsi="Cambria" w:cs="Cambria" w:eastAsia="Cambria"/>
          <w:b/>
          <w:bCs/>
          <w:sz w:val="22"/>
        </w:rPr>
        <w:t xml:space="preserve">Strategic Co-PI:</w:t>
      </w:r>
      <w:r>
        <w:rPr>
          <w:rFonts w:ascii="Cambria" w:hAnsi="Cambria" w:cs="Cambria" w:eastAsia="Cambria"/>
          <w:sz w:val="22"/>
        </w:rPr>
        <w:t xml:space="preserve"> </w:t>
      </w:r>
      <w:r>
        <w:rPr>
          <w:rFonts w:ascii="Cambria" w:hAnsi="Cambria" w:cs="Cambria" w:eastAsia="Cambria"/>
          <w:sz w:val="22"/>
        </w:rPr>
        <w:t xml:space="preserve">Elizabeth Parrish, CEO, BioViva Sciences</w:t>
      </w:r>
      <w:r>
        <w:rPr>
          <w:rFonts w:ascii="Cambria" w:hAnsi="Cambria" w:cs="Cambria" w:eastAsia="Cambria"/>
          <w:sz w:val="22"/>
        </w:rPr>
        <w:t xml:space="preserve"> </w:t>
      </w:r>
      <w:r>
        <w:rPr>
          <w:rFonts w:ascii="Cambria" w:hAnsi="Cambria" w:cs="Cambria" w:eastAsia="Cambria"/>
          <w:b/>
          <w:bCs/>
          <w:sz w:val="22"/>
        </w:rPr>
        <w:t xml:space="preserve">Experimental Co-PI (Pending):</w:t>
      </w:r>
      <w:r>
        <w:rPr>
          <w:rFonts w:ascii="Cambria" w:hAnsi="Cambria" w:cs="Cambria" w:eastAsia="Cambria"/>
          <w:sz w:val="22"/>
        </w:rPr>
        <w:t xml:space="preserve"> </w:t>
      </w:r>
      <w:r>
        <w:rPr>
          <w:rFonts w:ascii="Cambria" w:hAnsi="Cambria" w:cs="Cambria" w:eastAsia="Cambria"/>
          <w:sz w:val="22"/>
        </w:rPr>
        <w:t xml:space="preserve">Prof. Hartmut Geiger, Institute of Molecular Medicine, Ulm University</w:t>
      </w:r>
      <w:r>
        <w:rPr>
          <w:rFonts w:ascii="Cambria" w:hAnsi="Cambria" w:cs="Cambria" w:eastAsia="Cambria"/>
          <w:sz w:val="22"/>
        </w:rPr>
        <w:t xml:space="preserve"> </w:t>
      </w:r>
      <w:r>
        <w:rPr>
          <w:rFonts w:ascii="Cambria" w:hAnsi="Cambria" w:cs="Cambria" w:eastAsia="Cambria"/>
          <w:b/>
          <w:bCs/>
          <w:sz w:val="22"/>
        </w:rPr>
        <w:t xml:space="preserve">Project Title:</w:t>
      </w:r>
      <w:r>
        <w:rPr>
          <w:rFonts w:ascii="Cambria" w:hAnsi="Cambria" w:cs="Cambria" w:eastAsia="Cambria"/>
          <w:sz w:val="22"/>
        </w:rPr>
        <w:t xml:space="preserve"> </w:t>
      </w:r>
      <w:r>
        <w:rPr>
          <w:rFonts w:ascii="Cambria" w:hAnsi="Cambria" w:cs="Cambria" w:eastAsia="Cambria"/>
          <w:sz w:val="22"/>
        </w:rPr>
        <w:t xml:space="preserve">Causal Validation of the Centriolar Damage Accumulation Theory (CDATA) in Hematopoietic Stem Cell Aging</w:t>
      </w:r>
      <w:r>
        <w:rPr>
          <w:rFonts w:ascii="Cambria" w:hAnsi="Cambria" w:cs="Cambria" w:eastAsia="Cambria"/>
          <w:sz w:val="22"/>
        </w:rPr>
        <w:t xml:space="preserve"> </w:t>
      </w:r>
      <w:r>
        <w:rPr>
          <w:rFonts w:ascii="Cambria" w:hAnsi="Cambria" w:cs="Cambria" w:eastAsia="Cambria"/>
          <w:b/>
          <w:bCs/>
          <w:sz w:val="22"/>
        </w:rPr>
        <w:t xml:space="preserve">Requested Budget:</w:t>
      </w:r>
      <w:r>
        <w:rPr>
          <w:rFonts w:ascii="Cambria" w:hAnsi="Cambria" w:cs="Cambria" w:eastAsia="Cambria"/>
          <w:sz w:val="22"/>
        </w:rPr>
        <w:t xml:space="preserve"> </w:t>
      </w:r>
      <w:r>
        <w:rPr>
          <w:rFonts w:ascii="Cambria" w:hAnsi="Cambria" w:cs="Cambria" w:eastAsia="Cambria"/>
          <w:sz w:val="22"/>
        </w:rPr>
        <w:t xml:space="preserve">$75,000 |</w:t>
      </w:r>
      <w:r>
        <w:rPr>
          <w:rFonts w:ascii="Cambria" w:hAnsi="Cambria" w:cs="Cambria" w:eastAsia="Cambria"/>
          <w:sz w:val="22"/>
        </w:rPr>
        <w:t xml:space="preserve"> </w:t>
      </w:r>
      <w:r>
        <w:rPr>
          <w:rFonts w:ascii="Cambria" w:hAnsi="Cambria" w:cs="Cambria" w:eastAsia="Cambria"/>
          <w:b/>
          <w:bCs/>
          <w:sz w:val="22"/>
        </w:rPr>
        <w:t xml:space="preserve">Project Duration:</w:t>
      </w:r>
      <w:r>
        <w:rPr>
          <w:rFonts w:ascii="Cambria" w:hAnsi="Cambria" w:cs="Cambria" w:eastAsia="Cambria"/>
          <w:sz w:val="22"/>
        </w:rPr>
        <w:t xml:space="preserve"> </w:t>
      </w:r>
      <w:r>
        <w:rPr>
          <w:rFonts w:ascii="Cambria" w:hAnsi="Cambria" w:cs="Cambria" w:eastAsia="Cambria"/>
          <w:sz w:val="22"/>
        </w:rPr>
        <w:t xml:space="preserve">12 months</w:t>
      </w:r>
    </w:p>
    <w:p>
      <w:pPr>
        <w:pStyle w:val="BodyText"/>
        <w:spacing w:before="0" w:after="200" w:line="276" w:lineRule="auto"/>
        <w:jc w:val="both"/>
      </w:pPr>
      <w:r>
        <w:rPr>
          <w:rFonts w:ascii="Cambria" w:hAnsi="Cambria" w:cs="Cambria" w:eastAsia="Cambria"/>
          <w:b/>
          <w:bCs/>
          <w:sz w:val="22"/>
        </w:rPr>
        <w:t xml:space="preserve">Executive Summary</w:t>
      </w:r>
      <w:r>
        <w:rPr>
          <w:rFonts w:ascii="Cambria" w:hAnsi="Cambria" w:cs="Cambria" w:eastAsia="Cambria"/>
          <w:sz w:val="22"/>
        </w:rPr>
        <w:t xml:space="preserve"> </w:t>
      </w:r>
      <w:r>
        <w:rPr>
          <w:rFonts w:ascii="Cambria" w:hAnsi="Cambria" w:cs="Cambria" w:eastAsia="Cambria"/>
          <w:sz w:val="22"/>
        </w:rPr>
        <w:t xml:space="preserve">Centrosome misorientation is an officially recognized hallmark of stem cell aging (Rando, Brunet &amp; Goodell,</w:t>
      </w:r>
      <w:r>
        <w:rPr>
          <w:rFonts w:ascii="Cambria" w:hAnsi="Cambria" w:cs="Cambria" w:eastAsia="Cambria"/>
          <w:sz w:val="22"/>
        </w:rPr>
        <w:t xml:space="preserve"> </w:t>
      </w:r>
      <w:r>
        <w:rPr>
          <w:rFonts w:ascii="Cambria" w:hAnsi="Cambria" w:cs="Cambria" w:eastAsia="Cambria"/>
          <w:i/>
          <w:iCs/>
          <w:sz w:val="22"/>
        </w:rPr>
        <w:t xml:space="preserve">Cell Stem Cell</w:t>
      </w:r>
      <w:r>
        <w:rPr>
          <w:rFonts w:ascii="Cambria" w:hAnsi="Cambria" w:cs="Cambria" w:eastAsia="Cambria"/>
          <w:sz w:val="22"/>
        </w:rPr>
        <w:t xml:space="preserve"> </w:t>
      </w:r>
      <w:r>
        <w:rPr>
          <w:rFonts w:ascii="Cambria" w:hAnsi="Cambria" w:cs="Cambria" w:eastAsia="Cambria"/>
          <w:sz w:val="22"/>
        </w:rPr>
        <w:t xml:space="preserve">2025, PMID 40562035). The Centriolar Damage Accumulation through Asymmetric Inheritance (CDATA) theory provides the first quantitative molecular mechanism for this hallmark. We propose a two-phase, causal test of CDATA, positing that age-dependent accumulation of polyglutamylation on the asymmetrically inherited mother centriole disrupts primary cilium signaling, driving hematopoietic stem cell (HSC) functional decline. Phase 0 introduces a novel, direct causal test (inducible centriolar polyglutamylation in young HSCs) and validates core CDATA axioms. Phase 1 employs serial bone marrow transplantation chimera experiments to test targeted enzymatic reversal (CCP1) of centriolar damage as a restorative intervention. This work aims to identify centriolar deglutamylases as the first upstream, mechanistic targets not found in the classical Hallmarks of Aging, offering a novel axis for therapeutic development.</w:t>
      </w:r>
    </w:p>
    <w:p>
      <w:pPr>
        <w:pStyle w:val="BodyText"/>
        <w:spacing w:before="0" w:after="200" w:line="276" w:lineRule="auto"/>
        <w:jc w:val="both"/>
      </w:pPr>
      <w:r>
        <w:rPr>
          <w:rFonts w:ascii="Cambria" w:hAnsi="Cambria" w:cs="Cambria" w:eastAsia="Cambria"/>
          <w:b/>
          <w:bCs/>
          <w:sz w:val="22"/>
        </w:rPr>
        <w:t xml:space="preserve">Background &amp; Significance</w:t>
      </w:r>
      <w:r>
        <w:rPr>
          <w:rFonts w:ascii="Cambria" w:hAnsi="Cambria" w:cs="Cambria" w:eastAsia="Cambria"/>
          <w:sz w:val="22"/>
        </w:rPr>
        <w:t xml:space="preserve"> </w:t>
      </w:r>
      <w:r>
        <w:rPr>
          <w:rFonts w:ascii="Cambria" w:hAnsi="Cambria" w:cs="Cambria" w:eastAsia="Cambria"/>
          <w:sz w:val="22"/>
        </w:rPr>
        <w:t xml:space="preserve">The search for a unified, mechanistic theory of aging must reconcile paradoxical evidence: even hematopoietic stem cells (HSCs) maintained in hypoxic, telomerase-positive conditions undergo replicative senescence, reaching a Hayflick limit of approximately 200 population doublings. This indicates a telomere-independent, cell-intrinsic counting mechanism. Concurrently, the asymmetric inheritance of cellular components during stem cell division has emerged as a critical regulator of fate. CDATA integrates these observations by proposing the mother centriole as the key counting device.</w:t>
      </w:r>
    </w:p>
    <w:p>
      <w:pPr>
        <w:pStyle w:val="BodyText"/>
        <w:spacing w:before="0" w:after="200" w:line="276" w:lineRule="auto"/>
        <w:jc w:val="both"/>
      </w:pPr>
      <w:r>
        <w:rPr>
          <w:rFonts w:ascii="Cambria" w:hAnsi="Cambria" w:cs="Cambria" w:eastAsia="Cambria"/>
          <w:sz w:val="22"/>
        </w:rPr>
        <w:t xml:space="preserve">The theory rests on three core, evidence-based mechanistic hypotheses. First, HSCs divide slowly, and their replicative limit is independent of telomere length under ideal culture conditions, demanding an alternative counting mechanism. Second, the mother centriole, inherited by the stem daughter cell in ~80-95% of HSC divisions, serves as the basal body for the primary cilium, a critical signaling hub. Age-dependent accumulation of polyglutamate chains (catalyzed by TTLL6, expressed in HSCs; positive feedback via β-tail sensing: Mahalingan et al. 2024,</w:t>
      </w:r>
      <w:r>
        <w:rPr>
          <w:rFonts w:ascii="Cambria" w:hAnsi="Cambria" w:cs="Cambria" w:eastAsia="Cambria"/>
          <w:sz w:val="22"/>
        </w:rPr>
        <w:t xml:space="preserve"> </w:t>
      </w:r>
      <w:r>
        <w:rPr>
          <w:rFonts w:ascii="Cambria" w:hAnsi="Cambria" w:cs="Cambria" w:eastAsia="Cambria"/>
          <w:i/>
          <w:iCs/>
          <w:sz w:val="22"/>
        </w:rPr>
        <w:t xml:space="preserve">Nature Chemical Biology</w:t>
      </w:r>
      <w:r>
        <w:rPr>
          <w:rFonts w:ascii="Cambria" w:hAnsi="Cambria" w:cs="Cambria" w:eastAsia="Cambria"/>
          <w:sz w:val="22"/>
        </w:rPr>
        <w:t xml:space="preserve">) on this structure disrupts intraflagellar transport (IFT), impairing Hedgehog (Hh) and Wnt signaling essential for self-renewal. Third, the division rate of HSCs bearing these “old,” polyglutamylated centrioles decreases over time, linking the structural damage to a measurable functional output.</w:t>
      </w:r>
    </w:p>
    <w:p>
      <w:pPr>
        <w:pStyle w:val="BodyText"/>
        <w:spacing w:before="0" w:after="200" w:line="276" w:lineRule="auto"/>
        <w:jc w:val="both"/>
      </w:pPr>
      <w:r>
        <w:rPr>
          <w:rFonts w:ascii="Cambria" w:hAnsi="Cambria" w:cs="Cambria" w:eastAsia="Cambria"/>
          <w:sz w:val="22"/>
        </w:rPr>
        <w:t xml:space="preserve">The molecular mechanism of polyglutamylation-driven structural failure is directly supported by two key findings. Madarampalli et al. (2015,</w:t>
      </w:r>
      <w:r>
        <w:rPr>
          <w:rFonts w:ascii="Cambria" w:hAnsi="Cambria" w:cs="Cambria" w:eastAsia="Cambria"/>
          <w:sz w:val="22"/>
        </w:rPr>
        <w:t xml:space="preserve"> </w:t>
      </w:r>
      <w:r>
        <w:rPr>
          <w:rFonts w:ascii="Cambria" w:hAnsi="Cambria" w:cs="Cambria" w:eastAsia="Cambria"/>
          <w:i/>
          <w:iCs/>
          <w:sz w:val="22"/>
        </w:rPr>
        <w:t xml:space="preserve">Cell</w:t>
      </w:r>
      <w:r>
        <w:rPr>
          <w:rFonts w:ascii="Cambria" w:hAnsi="Cambria" w:cs="Cambria" w:eastAsia="Cambria"/>
          <w:sz w:val="22"/>
        </w:rPr>
        <w:t xml:space="preserve"> </w:t>
      </w:r>
      <w:r>
        <w:rPr>
          <w:rFonts w:ascii="Cambria" w:hAnsi="Cambria" w:cs="Cambria" w:eastAsia="Cambria"/>
          <w:sz w:val="22"/>
        </w:rPr>
        <w:t xml:space="preserve">162:580) demonstrated that ATF5 forms a 9-fold symmetric ring in the pericentriolar material (PCM) through simultaneous binding to polyglutamylated tubulin (PGT) on the mother centriole and pericentrin (PCNT) in the PCM, forming a PGT-ATF5-PCNT tripartite complex essential for centrosome structural integrity. ATF5 depletion causes centriole fragmentation and multipolar spindles—precisely the phenotypes CDATA predicts from age-dependent polyglutamylation accumulation. Furthermore, Bobinnec et al. (1998,</w:t>
      </w:r>
      <w:r>
        <w:rPr>
          <w:rFonts w:ascii="Cambria" w:hAnsi="Cambria" w:cs="Cambria" w:eastAsia="Cambria"/>
          <w:sz w:val="22"/>
        </w:rPr>
        <w:t xml:space="preserve"> </w:t>
      </w:r>
      <w:r>
        <w:rPr>
          <w:rFonts w:ascii="Cambria" w:hAnsi="Cambria" w:cs="Cambria" w:eastAsia="Cambria"/>
          <w:i/>
          <w:iCs/>
          <w:sz w:val="22"/>
        </w:rPr>
        <w:t xml:space="preserve">J Cell Biology</w:t>
      </w:r>
      <w:r>
        <w:rPr>
          <w:rFonts w:ascii="Cambria" w:hAnsi="Cambria" w:cs="Cambria" w:eastAsia="Cambria"/>
          <w:sz w:val="22"/>
        </w:rPr>
        <w:t xml:space="preserve"> </w:t>
      </w:r>
      <w:r>
        <w:rPr>
          <w:rFonts w:ascii="Cambria" w:hAnsi="Cambria" w:cs="Cambria" w:eastAsia="Cambria"/>
          <w:sz w:val="22"/>
        </w:rPr>
        <w:t xml:space="preserve">143:1575) showed that GT335 antibody injection causes complete centriole disappearance within 12 hours, with recovery occurring exclusively through</w:t>
      </w:r>
      <w:r>
        <w:rPr>
          <w:rFonts w:ascii="Cambria" w:hAnsi="Cambria" w:cs="Cambria" w:eastAsia="Cambria"/>
          <w:sz w:val="22"/>
        </w:rPr>
        <w:t xml:space="preserve"> </w:t>
      </w:r>
      <w:r>
        <w:rPr>
          <w:rFonts w:ascii="Cambria" w:hAnsi="Cambria" w:cs="Cambria" w:eastAsia="Cambria"/>
          <w:i/>
          <w:iCs/>
          <w:sz w:val="22"/>
        </w:rPr>
        <w:t xml:space="preserve">de novo</w:t>
      </w:r>
      <w:r>
        <w:rPr>
          <w:rFonts w:ascii="Cambria" w:hAnsi="Cambria" w:cs="Cambria" w:eastAsia="Cambria"/>
          <w:sz w:val="22"/>
        </w:rPr>
        <w:t xml:space="preserve"> </w:t>
      </w:r>
      <w:r>
        <w:rPr>
          <w:rFonts w:ascii="Cambria" w:hAnsi="Cambria" w:cs="Cambria" w:eastAsia="Cambria"/>
          <w:sz w:val="22"/>
        </w:rPr>
        <w:t xml:space="preserve">synthesis rather than repair of existing centrioles—directly confirming the ¬R (No-Reset) argument: damaged mother centrioles cannot be repaired and must be replaced. Additionally, Pan et al. (2025,</w:t>
      </w:r>
      <w:r>
        <w:rPr>
          <w:rFonts w:ascii="Cambria" w:hAnsi="Cambria" w:cs="Cambria" w:eastAsia="Cambria"/>
          <w:sz w:val="22"/>
        </w:rPr>
        <w:t xml:space="preserve"> </w:t>
      </w:r>
      <w:r>
        <w:rPr>
          <w:rFonts w:ascii="Cambria" w:hAnsi="Cambria" w:cs="Cambria" w:eastAsia="Cambria"/>
          <w:i/>
          <w:iCs/>
          <w:sz w:val="22"/>
        </w:rPr>
        <w:t xml:space="preserve">Cells Tissues Organs</w:t>
      </w:r>
      <w:r>
        <w:rPr>
          <w:rFonts w:ascii="Cambria" w:hAnsi="Cambria" w:cs="Cambria" w:eastAsia="Cambria"/>
          <w:sz w:val="22"/>
        </w:rPr>
        <w:t xml:space="preserve">, DOI: 10.1159/000543411) demonstrated in bone marrow mesenchymal stem cells that CCP1 deficiency causes abnormal tubulin polyglutamylation, leading to shortened primary cilia and impaired osteogenic differentiation, which was fully reversed by reducing polyglutamylation—establishing a direct functional bridge between CCP1 activity, ciliogenesis, and stem cell differentiation potential.</w:t>
      </w:r>
    </w:p>
    <w:p>
      <w:pPr>
        <w:pStyle w:val="BodyText"/>
        <w:spacing w:before="0" w:after="200" w:line="276" w:lineRule="auto"/>
        <w:jc w:val="both"/>
      </w:pPr>
      <w:r>
        <w:rPr>
          <w:rFonts w:ascii="Cambria" w:hAnsi="Cambria" w:cs="Cambria" w:eastAsia="Cambria"/>
          <w:sz w:val="22"/>
        </w:rPr>
        <w:t xml:space="preserve">Supporting evidence spans multiple organisms. Transplantation of young muscle-derived stem cells or bone marrow extends lifespan in progeroid and aged mice, with effects correlating to chimerism levels. Pharmacological inhibition of Cdc42 (CASIN), which restores centrosome polarity, extends lifespan and healthspan. Most compellingly, the recent identification of a CD150low HSC subpopulation—which divides less, accumulates less centriolar damage, and upon transplantation confers a 9-12% lifespan extension—represents a</w:t>
      </w:r>
      <w:r>
        <w:rPr>
          <w:rFonts w:ascii="Cambria" w:hAnsi="Cambria" w:cs="Cambria" w:eastAsia="Cambria"/>
          <w:sz w:val="22"/>
        </w:rPr>
        <w:t xml:space="preserve"> </w:t>
      </w:r>
      <w:r>
        <w:rPr>
          <w:rFonts w:ascii="Cambria" w:hAnsi="Cambria" w:cs="Cambria" w:eastAsia="Cambria"/>
          <w:i/>
          <w:iCs/>
          <w:sz w:val="22"/>
        </w:rPr>
        <w:t xml:space="preserve">de facto</w:t>
      </w:r>
      <w:r>
        <w:rPr>
          <w:rFonts w:ascii="Cambria" w:hAnsi="Cambria" w:cs="Cambria" w:eastAsia="Cambria"/>
          <w:sz w:val="22"/>
        </w:rPr>
        <w:t xml:space="preserve"> </w:t>
      </w:r>
      <w:r>
        <w:rPr>
          <w:rFonts w:ascii="Cambria" w:hAnsi="Cambria" w:cs="Cambria" w:eastAsia="Cambria"/>
          <w:sz w:val="22"/>
        </w:rPr>
        <w:t xml:space="preserve">validation of a key CDATA prediction. Early-phase human trials using young mesenchymal stromal cells show safety and potential efficacy, underscoring the translational relevance of cellular rejuvenation.</w:t>
      </w:r>
    </w:p>
    <w:p>
      <w:pPr>
        <w:pStyle w:val="BodyText"/>
        <w:spacing w:before="0" w:after="200" w:line="276" w:lineRule="auto"/>
        <w:jc w:val="both"/>
      </w:pPr>
      <w:r>
        <w:rPr>
          <w:rFonts w:ascii="Cambria" w:hAnsi="Cambria" w:cs="Cambria" w:eastAsia="Cambria"/>
          <w:sz w:val="22"/>
        </w:rPr>
        <w:t xml:space="preserve">CDATA makes a unique and falsifiable prediction (P11, the</w:t>
      </w:r>
      <w:r>
        <w:rPr>
          <w:rFonts w:ascii="Cambria" w:hAnsi="Cambria" w:cs="Cambria" w:eastAsia="Cambria"/>
          <w:sz w:val="22"/>
        </w:rPr>
        <w:t xml:space="preserve"> </w:t>
      </w:r>
      <w:r>
        <w:rPr>
          <w:rFonts w:ascii="Cambria" w:hAnsi="Cambria" w:cs="Cambria" w:eastAsia="Cambria"/>
          <w:sz w:val="22"/>
        </w:rPr>
        <w:t xml:space="preserve">“Relapse Prediction”</w:t>
      </w:r>
      <w:r>
        <w:rPr>
          <w:rFonts w:ascii="Cambria" w:hAnsi="Cambria" w:cs="Cambria" w:eastAsia="Cambria"/>
          <w:sz w:val="22"/>
        </w:rPr>
        <w:t xml:space="preserve">) distinguishing it from all competing paradigms: any rescue from young-to-old cell or factor transplantation will be temporary, with relapse kinetics dictated solely by the division count of the rescued host cells post-intervention, formalized as:</w:t>
      </w:r>
    </w:p>
    <w:p>
      <w:pPr>
        <w:pStyle w:val="BodyText"/>
        <w:spacing w:before="0" w:after="200" w:line="276" w:lineRule="auto"/>
        <w:jc w:val="both"/>
      </w:pPr>
      <w:r>
        <w:rPr>
          <w:rFonts w:ascii="Cambria" w:hAnsi="Cambria" w:cs="Cambria" w:eastAsia="Cambria"/>
          <w:b/>
          <w:bCs/>
          <w:sz w:val="22"/>
        </w:rPr>
        <w:t xml:space="preserve">N_relapse = (P_crit − P₀) / α</w:t>
      </w:r>
    </w:p>
    <w:p>
      <w:pPr>
        <w:pStyle w:val="BodyText"/>
        <w:spacing w:before="0" w:after="200" w:line="276" w:lineRule="auto"/>
        <w:jc w:val="both"/>
      </w:pPr>
      <w:r>
        <w:rPr>
          <w:rFonts w:ascii="Cambria" w:hAnsi="Cambria" w:cs="Cambria" w:eastAsia="Cambria"/>
          <w:sz w:val="22"/>
        </w:rPr>
        <w:t xml:space="preserve">where P₀ is the initial polyglutamylation load at intervention, P_crit is the threshold for ciliary failure, and α is the per-division accumulation rate. Cell-DT simulations predict a rescue</w:t>
      </w:r>
      <w:r>
        <w:rPr>
          <w:rFonts w:ascii="Cambria" w:hAnsi="Cambria" w:cs="Cambria" w:eastAsia="Cambria"/>
          <w:sz w:val="22"/>
        </w:rPr>
        <w:t xml:space="preserve"> </w:t>
      </w:r>
      <w:r>
        <w:rPr>
          <w:rFonts w:ascii="Cambria" w:hAnsi="Cambria" w:cs="Cambria" w:eastAsia="Cambria"/>
          <w:sz w:val="22"/>
        </w:rPr>
        <w:t xml:space="preserve">“half-life”</w:t>
      </w:r>
      <w:r>
        <w:rPr>
          <w:rFonts w:ascii="Cambria" w:hAnsi="Cambria" w:cs="Cambria" w:eastAsia="Cambria"/>
          <w:sz w:val="22"/>
        </w:rPr>
        <w:t xml:space="preserve"> </w:t>
      </w:r>
      <w:r>
        <w:rPr>
          <w:rFonts w:ascii="Cambria" w:hAnsi="Cambria" w:cs="Cambria" w:eastAsia="Cambria"/>
          <w:sz w:val="22"/>
        </w:rPr>
        <w:t xml:space="preserve">of</w:t>
      </w:r>
      <w:r>
        <w:rPr>
          <w:rFonts w:ascii="Cambria" w:hAnsi="Cambria" w:cs="Cambria" w:eastAsia="Cambria"/>
          <w:sz w:val="22"/>
        </w:rPr>
        <w:t xml:space="preserve"> </w:t>
      </w:r>
      <w:r>
        <w:rPr>
          <w:rFonts w:ascii="Cambria" w:hAnsi="Cambria" w:cs="Cambria" w:eastAsia="Cambria"/>
          <w:b/>
          <w:bCs/>
          <w:sz w:val="22"/>
        </w:rPr>
        <w:t xml:space="preserve">40–60 host cell divisions</w:t>
      </w:r>
      <w:r>
        <w:rPr>
          <w:rFonts w:ascii="Cambria" w:hAnsi="Cambria" w:cs="Cambria" w:eastAsia="Cambria"/>
          <w:sz w:val="22"/>
        </w:rPr>
        <w:t xml:space="preserve"> </w:t>
      </w:r>
      <w:r>
        <w:rPr>
          <w:rFonts w:ascii="Cambria" w:hAnsi="Cambria" w:cs="Cambria" w:eastAsia="Cambria"/>
          <w:sz w:val="22"/>
        </w:rPr>
        <w:t xml:space="preserve">and full relapse at</w:t>
      </w:r>
      <w:r>
        <w:rPr>
          <w:rFonts w:ascii="Cambria" w:hAnsi="Cambria" w:cs="Cambria" w:eastAsia="Cambria"/>
          <w:sz w:val="22"/>
        </w:rPr>
        <w:t xml:space="preserve"> </w:t>
      </w:r>
      <w:r>
        <w:rPr>
          <w:rFonts w:ascii="Cambria" w:hAnsi="Cambria" w:cs="Cambria" w:eastAsia="Cambria"/>
          <w:b/>
          <w:bCs/>
          <w:sz w:val="22"/>
        </w:rPr>
        <w:t xml:space="preserve">80–120 divisions</w:t>
      </w:r>
      <w:r>
        <w:rPr>
          <w:rFonts w:ascii="Cambria" w:hAnsi="Cambria" w:cs="Cambria" w:eastAsia="Cambria"/>
          <w:sz w:val="22"/>
        </w:rPr>
        <w:t xml:space="preserve">. CCP1 pre-treatment of aged cells (lowering P₀) is predicted to extend N_relapse by 2–3×.</w:t>
      </w:r>
    </w:p>
    <w:p>
      <w:pPr>
        <w:pStyle w:val="BodyText"/>
        <w:spacing w:before="0" w:after="200" w:line="276" w:lineRule="auto"/>
        <w:jc w:val="both"/>
      </w:pPr>
      <w:r>
        <w:rPr>
          <w:rFonts w:ascii="Cambria" w:hAnsi="Cambria" w:cs="Cambria" w:eastAsia="Cambria"/>
          <w:sz w:val="22"/>
        </w:rPr>
        <w:t xml:space="preserve">This prediction starkly differentiates CDATA from all competing theories:</w:t>
      </w:r>
    </w:p>
    <w:tbl>
      <w:tblPr>
        <w:tblStyle w:val="Table"/>
        <w:tblW w:type="dxa" w:w="9360"/>
        <w:jc w:val="center"/>
        <w:tblLayout w:type="fixed"/>
        <w:tblLook w:firstRow="1" w:lastRow="0" w:firstColumn="0" w:lastColumn="0" w:noHBand="0" w:noVBand="0" w:val="0020"/>
      </w:tblPr>
      <w:tblGrid>
        <w:gridCol w:w="2640"/>
        <w:gridCol w:w="2640"/>
        <w:gridCol w:w="2640"/>
      </w:tblGrid>
      <w:tr>
        <w:trPr>
          <w:tblHeader w:val="on"/>
        </w:trPr>
        <w:tc>
          <w:tcPr/>
          <w:p>
            <w:pPr>
              <w:pStyle w:val="Compact"/>
              <w:spacing w:before="0" w:after="80" w:line="276" w:lineRule="auto"/>
              <w:jc w:val="both"/>
            </w:pPr>
            <w:r>
              <w:rPr>
                <w:rFonts w:ascii="Cambria" w:hAnsi="Cambria" w:cs="Cambria" w:eastAsia="Cambria"/>
                <w:sz w:val="20"/>
              </w:rPr>
              <w:t xml:space="preserve">Theory</w:t>
            </w:r>
          </w:p>
        </w:tc>
        <w:tc>
          <w:tcPr/>
          <w:p>
            <w:pPr>
              <w:pStyle w:val="Compact"/>
              <w:spacing w:before="0" w:after="80" w:line="276" w:lineRule="auto"/>
              <w:jc w:val="both"/>
            </w:pPr>
            <w:r>
              <w:rPr>
                <w:rFonts w:ascii="Cambria" w:hAnsi="Cambria" w:cs="Cambria" w:eastAsia="Cambria"/>
                <w:sz w:val="20"/>
              </w:rPr>
              <w:t xml:space="preserve">Predicted Rescue Duration (Syngeneic)</w:t>
            </w:r>
          </w:p>
        </w:tc>
        <w:tc>
          <w:tcPr/>
          <w:p>
            <w:pPr>
              <w:pStyle w:val="Compact"/>
              <w:spacing w:before="0" w:after="80" w:line="276" w:lineRule="auto"/>
              <w:jc w:val="both"/>
            </w:pPr>
            <w:r>
              <w:rPr>
                <w:rFonts w:ascii="Cambria" w:hAnsi="Cambria" w:cs="Cambria" w:eastAsia="Cambria"/>
                <w:sz w:val="20"/>
              </w:rPr>
              <w:t xml:space="preserve">Falsified by Division-Counted Relapse?</w:t>
            </w:r>
          </w:p>
        </w:tc>
      </w:tr>
      <w:tr>
        <w:tc>
          <w:tcPr/>
          <w:p>
            <w:pPr>
              <w:pStyle w:val="Compact"/>
              <w:spacing w:before="0" w:after="80" w:line="276" w:lineRule="auto"/>
              <w:jc w:val="both"/>
            </w:pPr>
            <w:r>
              <w:rPr>
                <w:rFonts w:ascii="Cambria" w:hAnsi="Cambria" w:cs="Cambria" w:eastAsia="Cambria"/>
                <w:sz w:val="20"/>
              </w:rPr>
              <w:t xml:space="preserve">Telomeric Attrition</w:t>
            </w:r>
          </w:p>
        </w:tc>
        <w:tc>
          <w:tcPr/>
          <w:p>
            <w:pPr>
              <w:pStyle w:val="Compact"/>
              <w:spacing w:before="0" w:after="80" w:line="276" w:lineRule="auto"/>
              <w:jc w:val="both"/>
            </w:pPr>
            <w:r>
              <w:rPr>
                <w:rFonts w:ascii="Cambria" w:hAnsi="Cambria" w:cs="Cambria" w:eastAsia="Cambria"/>
                <w:sz w:val="20"/>
              </w:rPr>
              <w:t xml:space="preserve">Permanent (telomerase compensates)</w:t>
            </w:r>
          </w:p>
        </w:tc>
        <w:tc>
          <w:tcPr/>
          <w:p>
            <w:pPr>
              <w:pStyle w:val="Compact"/>
              <w:spacing w:before="0" w:after="80" w:line="276" w:lineRule="auto"/>
              <w:jc w:val="both"/>
            </w:pPr>
            <w:r>
              <w:rPr>
                <w:rFonts w:ascii="Cambria" w:hAnsi="Cambria" w:cs="Cambria" w:eastAsia="Cambria"/>
                <w:b/>
                <w:bCs/>
                <w:sz w:val="20"/>
              </w:rPr>
              <w:t xml:space="preserve">Yes</w:t>
            </w:r>
          </w:p>
        </w:tc>
      </w:tr>
      <w:tr>
        <w:tc>
          <w:tcPr/>
          <w:p>
            <w:pPr>
              <w:pStyle w:val="Compact"/>
              <w:spacing w:before="0" w:after="80" w:line="276" w:lineRule="auto"/>
              <w:jc w:val="both"/>
            </w:pPr>
            <w:r>
              <w:rPr>
                <w:rFonts w:ascii="Cambria" w:hAnsi="Cambria" w:cs="Cambria" w:eastAsia="Cambria"/>
                <w:sz w:val="20"/>
              </w:rPr>
              <w:t xml:space="preserve">ROS/Damage Accumulation</w:t>
            </w:r>
          </w:p>
        </w:tc>
        <w:tc>
          <w:tcPr/>
          <w:p>
            <w:pPr>
              <w:pStyle w:val="Compact"/>
              <w:spacing w:before="0" w:after="80" w:line="276" w:lineRule="auto"/>
              <w:jc w:val="both"/>
            </w:pPr>
            <w:r>
              <w:rPr>
                <w:rFonts w:ascii="Cambria" w:hAnsi="Cambria" w:cs="Cambria" w:eastAsia="Cambria"/>
                <w:sz w:val="20"/>
              </w:rPr>
              <w:t xml:space="preserve">Permanent (environment normalized)</w:t>
            </w:r>
          </w:p>
        </w:tc>
        <w:tc>
          <w:tcPr/>
          <w:p>
            <w:pPr>
              <w:pStyle w:val="Compact"/>
              <w:spacing w:before="0" w:after="80" w:line="276" w:lineRule="auto"/>
              <w:jc w:val="both"/>
            </w:pPr>
            <w:r>
              <w:rPr>
                <w:rFonts w:ascii="Cambria" w:hAnsi="Cambria" w:cs="Cambria" w:eastAsia="Cambria"/>
                <w:b/>
                <w:bCs/>
                <w:sz w:val="20"/>
              </w:rPr>
              <w:t xml:space="preserve">Yes</w:t>
            </w:r>
          </w:p>
        </w:tc>
      </w:tr>
      <w:tr>
        <w:tc>
          <w:tcPr/>
          <w:p>
            <w:pPr>
              <w:pStyle w:val="Compact"/>
              <w:spacing w:before="0" w:after="80" w:line="276" w:lineRule="auto"/>
              <w:jc w:val="both"/>
            </w:pPr>
            <w:r>
              <w:rPr>
                <w:rFonts w:ascii="Cambria" w:hAnsi="Cambria" w:cs="Cambria" w:eastAsia="Cambria"/>
                <w:sz w:val="20"/>
              </w:rPr>
              <w:t xml:space="preserve">Epigenetic Drift</w:t>
            </w:r>
          </w:p>
        </w:tc>
        <w:tc>
          <w:tcPr/>
          <w:p>
            <w:pPr>
              <w:pStyle w:val="Compact"/>
              <w:spacing w:before="0" w:after="80" w:line="276" w:lineRule="auto"/>
              <w:jc w:val="both"/>
            </w:pPr>
            <w:r>
              <w:rPr>
                <w:rFonts w:ascii="Cambria" w:hAnsi="Cambria" w:cs="Cambria" w:eastAsia="Cambria"/>
                <w:sz w:val="20"/>
              </w:rPr>
              <w:t xml:space="preserve">Stable (epigenome reprogrammed)</w:t>
            </w:r>
          </w:p>
        </w:tc>
        <w:tc>
          <w:tcPr/>
          <w:p>
            <w:pPr>
              <w:pStyle w:val="Compact"/>
              <w:spacing w:before="0" w:after="80" w:line="276" w:lineRule="auto"/>
              <w:jc w:val="both"/>
            </w:pPr>
            <w:r>
              <w:rPr>
                <w:rFonts w:ascii="Cambria" w:hAnsi="Cambria" w:cs="Cambria" w:eastAsia="Cambria"/>
                <w:b/>
                <w:bCs/>
                <w:sz w:val="20"/>
              </w:rPr>
              <w:t xml:space="preserve">Yes</w:t>
            </w:r>
          </w:p>
        </w:tc>
      </w:tr>
      <w:tr>
        <w:tc>
          <w:tcPr/>
          <w:p>
            <w:pPr>
              <w:pStyle w:val="Compact"/>
              <w:spacing w:before="0" w:after="80" w:line="276" w:lineRule="auto"/>
              <w:jc w:val="both"/>
            </w:pPr>
            <w:r>
              <w:rPr>
                <w:rFonts w:ascii="Cambria" w:hAnsi="Cambria" w:cs="Cambria" w:eastAsia="Cambria"/>
                <w:sz w:val="20"/>
              </w:rPr>
              <w:t xml:space="preserve">Proteostatic Collapse</w:t>
            </w:r>
          </w:p>
        </w:tc>
        <w:tc>
          <w:tcPr/>
          <w:p>
            <w:pPr>
              <w:pStyle w:val="Compact"/>
              <w:spacing w:before="0" w:after="80" w:line="276" w:lineRule="auto"/>
              <w:jc w:val="both"/>
            </w:pPr>
            <w:r>
              <w:rPr>
                <w:rFonts w:ascii="Cambria" w:hAnsi="Cambria" w:cs="Cambria" w:eastAsia="Cambria"/>
                <w:sz w:val="20"/>
              </w:rPr>
              <w:t xml:space="preserve">Unclear/Stable</w:t>
            </w:r>
          </w:p>
        </w:tc>
        <w:tc>
          <w:tcPr/>
          <w:p>
            <w:pPr>
              <w:pStyle w:val="Compact"/>
              <w:spacing w:before="0" w:after="80" w:line="276" w:lineRule="auto"/>
              <w:jc w:val="both"/>
            </w:pPr>
            <w:r>
              <w:rPr>
                <w:rFonts w:ascii="Cambria" w:hAnsi="Cambria" w:cs="Cambria" w:eastAsia="Cambria"/>
                <w:sz w:val="20"/>
              </w:rPr>
              <w:t xml:space="preserve">Challenged</w:t>
            </w:r>
          </w:p>
        </w:tc>
      </w:tr>
      <w:tr>
        <w:tc>
          <w:tcPr/>
          <w:p>
            <w:pPr>
              <w:pStyle w:val="Compact"/>
              <w:spacing w:before="0" w:after="80" w:line="276" w:lineRule="auto"/>
              <w:jc w:val="both"/>
            </w:pPr>
            <w:r>
              <w:rPr>
                <w:rFonts w:ascii="Cambria" w:hAnsi="Cambria" w:cs="Cambria" w:eastAsia="Cambria"/>
                <w:b/>
                <w:bCs/>
                <w:sz w:val="20"/>
              </w:rPr>
              <w:t xml:space="preserve">CDATA (P11)</w:t>
            </w:r>
          </w:p>
        </w:tc>
        <w:tc>
          <w:tcPr/>
          <w:p>
            <w:pPr>
              <w:pStyle w:val="Compact"/>
              <w:spacing w:before="0" w:after="80" w:line="276" w:lineRule="auto"/>
              <w:jc w:val="both"/>
            </w:pPr>
            <w:r>
              <w:rPr>
                <w:rFonts w:ascii="Cambria" w:hAnsi="Cambria" w:cs="Cambria" w:eastAsia="Cambria"/>
                <w:b/>
                <w:bCs/>
                <w:sz w:val="20"/>
              </w:rPr>
              <w:t xml:space="preserve">Temporary — ∝ host division count</w:t>
            </w:r>
          </w:p>
        </w:tc>
        <w:tc>
          <w:tcPr/>
          <w:p>
            <w:pPr>
              <w:pStyle w:val="Compact"/>
              <w:spacing w:before="0" w:after="80" w:line="276" w:lineRule="auto"/>
              <w:jc w:val="both"/>
            </w:pPr>
            <w:r>
              <w:rPr>
                <w:rFonts w:ascii="Cambria" w:hAnsi="Cambria" w:cs="Cambria" w:eastAsia="Cambria"/>
                <w:b/>
                <w:bCs/>
                <w:sz w:val="20"/>
              </w:rPr>
              <w:t xml:space="preserve">Confirmed</w:t>
            </w:r>
          </w:p>
        </w:tc>
      </w:tr>
    </w:tbl>
    <w:p>
      <w:pPr>
        <w:pStyle w:val="BodyText"/>
        <w:spacing w:before="0" w:after="200" w:line="276" w:lineRule="auto"/>
        <w:jc w:val="both"/>
      </w:pPr>
      <w:r>
        <w:rPr>
          <w:rFonts w:ascii="Cambria" w:hAnsi="Cambria" w:cs="Cambria" w:eastAsia="Cambria"/>
          <w:sz w:val="22"/>
        </w:rPr>
        <w:t xml:space="preserve">This proposal includes a direct experimental test of P11 (Arm RELAPSE). All other theories predict a stable, permanent rescue following successful engraftment.</w:t>
      </w:r>
    </w:p>
    <w:p>
      <w:pPr>
        <w:pStyle w:val="BodyText"/>
        <w:spacing w:before="0" w:after="200" w:line="276" w:lineRule="auto"/>
        <w:jc w:val="both"/>
      </w:pPr>
      <w:r>
        <w:rPr>
          <w:rFonts w:ascii="Cambria" w:hAnsi="Cambria" w:cs="Cambria" w:eastAsia="Cambria"/>
          <w:sz w:val="22"/>
        </w:rPr>
        <w:t xml:space="preserve">The ultimate impact is therapeutic. All current clinical aging clocks (e.g., GrimAge, DunedinPACE) are diagnostic, measuring the output of damage accrual. By identifying the enzymatic machinery controlling polyglutamylation—specifically the centriolar deglutamylases CCP1 and AGBL5—CDATA points to upstream, mechanistic targets. These enzymes are not implicated by any of the 12 Hallmarks of Aging and would never be identified by conventional anti-aging screens.</w:t>
      </w:r>
    </w:p>
    <w:p>
      <w:pPr>
        <w:pStyle w:val="BodyText"/>
        <w:spacing w:before="0" w:after="200" w:line="276" w:lineRule="auto"/>
        <w:jc w:val="both"/>
      </w:pPr>
      <w:r>
        <w:rPr>
          <w:rFonts w:ascii="Cambria" w:hAnsi="Cambria" w:cs="Cambria" w:eastAsia="Cambria"/>
          <w:b/>
          <w:bCs/>
          <w:sz w:val="22"/>
        </w:rPr>
        <w:t xml:space="preserve">Specific Aims</w:t>
      </w:r>
      <w:r>
        <w:rPr>
          <w:rFonts w:ascii="Cambria" w:hAnsi="Cambria" w:cs="Cambria" w:eastAsia="Cambria"/>
          <w:sz w:val="22"/>
        </w:rPr>
        <w:t xml:space="preserve"> </w:t>
      </w:r>
      <w:r>
        <w:rPr>
          <w:rFonts w:ascii="Cambria" w:hAnsi="Cambria" w:cs="Cambria" w:eastAsia="Cambria"/>
          <w:sz w:val="22"/>
        </w:rPr>
        <w:t xml:space="preserve">This revised LOI incorporates a direct causal test in response to peer review, structured in two phases.</w:t>
      </w:r>
    </w:p>
    <w:p>
      <w:pPr>
        <w:pStyle w:val="BodyText"/>
        <w:spacing w:before="0" w:after="200" w:line="276" w:lineRule="auto"/>
        <w:jc w:val="both"/>
      </w:pPr>
      <w:r>
        <w:rPr>
          <w:rFonts w:ascii="Cambria" w:hAnsi="Cambria" w:cs="Cambria" w:eastAsia="Cambria"/>
          <w:b/>
          <w:bCs/>
          <w:sz w:val="22"/>
        </w:rPr>
        <w:t xml:space="preserve">Phase 0: Axiom Validation &amp; Causal Proof-of-Concept (Months 1-3; ~$17,000)</w:t>
      </w:r>
    </w:p>
    <w:p>
      <w:pPr>
        <w:pStyle w:val="Compact"/>
        <w:numPr>
          <w:ilvl w:val="0"/>
          <w:numId w:val="1001"/>
        </w:numPr>
        <w:spacing w:before="0" w:after="200" w:line="276" w:lineRule="auto"/>
        <w:jc w:val="both"/>
      </w:pPr>
      <w:r>
        <w:rPr>
          <w:rFonts w:ascii="Cambria" w:hAnsi="Cambria" w:cs="Cambria" w:eastAsia="Cambria"/>
          <w:b/>
          <w:bCs/>
          <w:sz w:val="22"/>
        </w:rPr>
        <w:t xml:space="preserve">Aim 0-CAUSAL (New):</w:t>
      </w:r>
      <w:r>
        <w:rPr>
          <w:rFonts w:ascii="Cambria" w:hAnsi="Cambria" w:cs="Cambria" w:eastAsia="Cambria"/>
          <w:sz w:val="22"/>
        </w:rPr>
        <w:t xml:space="preserve"> </w:t>
      </w:r>
      <w:r>
        <w:rPr>
          <w:rFonts w:ascii="Cambria" w:hAnsi="Cambria" w:cs="Cambria" w:eastAsia="Cambria"/>
          <w:sz w:val="22"/>
        </w:rPr>
        <w:t xml:space="preserve">Establish sufficiency of centriolar polyglutamylation in driving functional decline. We will generate an inducible TTLL6-GFP construct (PACT-domain for mother centriole targeting) in young (2-3mo) LSK cells. Doxycycline-induced polyGlu accumulation on the inherited mother centriole will be followed by competitive transplantation against WT young LSK (CD45.1/CD45.2).</w:t>
      </w:r>
      <w:r>
        <w:rPr>
          <w:rFonts w:ascii="Cambria" w:hAnsi="Cambria" w:cs="Cambria" w:eastAsia="Cambria"/>
          <w:sz w:val="22"/>
        </w:rPr>
        <w:t xml:space="preserve"> </w:t>
      </w:r>
      <w:r>
        <w:rPr>
          <w:rFonts w:ascii="Cambria" w:hAnsi="Cambria" w:cs="Cambria" w:eastAsia="Cambria"/>
          <w:i/>
          <w:iCs/>
          <w:sz w:val="22"/>
        </w:rPr>
        <w:t xml:space="preserve">Primary endpoint:</w:t>
      </w:r>
      <w:r>
        <w:rPr>
          <w:rFonts w:ascii="Cambria" w:hAnsi="Cambria" w:cs="Cambria" w:eastAsia="Cambria"/>
          <w:sz w:val="22"/>
        </w:rPr>
        <w:t xml:space="preserve"> </w:t>
      </w:r>
      <w:r>
        <w:rPr>
          <w:rFonts w:ascii="Cambria" w:hAnsi="Cambria" w:cs="Cambria" w:eastAsia="Cambria"/>
          <w:sz w:val="22"/>
        </w:rPr>
        <w:t xml:space="preserve">chimerism at 16 weeks.</w:t>
      </w:r>
      <w:r>
        <w:rPr>
          <w:rFonts w:ascii="Cambria" w:hAnsi="Cambria" w:cs="Cambria" w:eastAsia="Cambria"/>
          <w:sz w:val="22"/>
        </w:rPr>
        <w:t xml:space="preserve"> </w:t>
      </w: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Significant reduction in chimerism in the TTLL6-arm will demonstrate that polyGlu accumulation is sufficient to drive functional decline, moving beyond correlation to causation.</w:t>
      </w:r>
    </w:p>
    <w:p>
      <w:pPr>
        <w:pStyle w:val="Compact"/>
        <w:numPr>
          <w:ilvl w:val="0"/>
          <w:numId w:val="1001"/>
        </w:numPr>
        <w:spacing w:before="0" w:after="200" w:line="276" w:lineRule="auto"/>
        <w:jc w:val="both"/>
      </w:pPr>
      <w:r>
        <w:rPr>
          <w:rFonts w:ascii="Cambria" w:hAnsi="Cambria" w:cs="Cambria" w:eastAsia="Cambria"/>
          <w:b/>
          <w:bCs/>
          <w:sz w:val="22"/>
        </w:rPr>
        <w:t xml:space="preserve">Aim 1 (Structural):</w:t>
      </w:r>
      <w:r>
        <w:rPr>
          <w:rFonts w:ascii="Cambria" w:hAnsi="Cambria" w:cs="Cambria" w:eastAsia="Cambria"/>
          <w:sz w:val="22"/>
        </w:rPr>
        <w:t xml:space="preserve"> </w:t>
      </w:r>
      <w:r>
        <w:rPr>
          <w:rFonts w:ascii="Cambria" w:hAnsi="Cambria" w:cs="Cambria" w:eastAsia="Cambria"/>
          <w:sz w:val="22"/>
        </w:rPr>
        <w:t xml:space="preserve">Quantify the age-dependent asymmetry of polyglutamylation. Using GT335 (polyglutamate) and Ninein (mother centriole marker) co-staining in young vs. old LSK cells, we will calculate a polyglutamylation asymmetry index (GT335 MFI ratio: Ninein+ mother vs. Ninein- daughter). This tests the core CDATA correlation (C1).</w:t>
      </w:r>
    </w:p>
    <w:p>
      <w:pPr>
        <w:pStyle w:val="Compact"/>
        <w:numPr>
          <w:ilvl w:val="0"/>
          <w:numId w:val="1001"/>
        </w:numPr>
        <w:spacing w:before="0" w:after="200" w:line="276" w:lineRule="auto"/>
        <w:jc w:val="both"/>
      </w:pPr>
      <w:r>
        <w:rPr>
          <w:rFonts w:ascii="Cambria" w:hAnsi="Cambria" w:cs="Cambria" w:eastAsia="Cambria"/>
          <w:b/>
          <w:bCs/>
          <w:sz w:val="22"/>
        </w:rPr>
        <w:t xml:space="preserve">Aim 2 (Ciliary):</w:t>
      </w:r>
      <w:r>
        <w:rPr>
          <w:rFonts w:ascii="Cambria" w:hAnsi="Cambria" w:cs="Cambria" w:eastAsia="Cambria"/>
          <w:sz w:val="22"/>
        </w:rPr>
        <w:t xml:space="preserve"> </w:t>
      </w:r>
      <w:r>
        <w:rPr>
          <w:rFonts w:ascii="Cambria" w:hAnsi="Cambria" w:cs="Cambria" w:eastAsia="Cambria"/>
          <w:sz w:val="22"/>
        </w:rPr>
        <w:t xml:space="preserve">Assess primary cilium frequency. ARL13B (cilium marker) and Ninein co-staining will determine the frequency of primary cilia in young vs. old LSK populations.</w:t>
      </w:r>
      <w:r>
        <w:rPr>
          <w:rFonts w:ascii="Cambria" w:hAnsi="Cambria" w:cs="Cambria" w:eastAsia="Cambria"/>
          <w:sz w:val="22"/>
        </w:rPr>
        <w:t xml:space="preserve"> </w:t>
      </w: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A significant decrease in ARL13B+ cells in old LSK, indicating cilium loss or destabilization.</w:t>
      </w:r>
    </w:p>
    <w:p>
      <w:pPr>
        <w:pStyle w:val="Compact"/>
        <w:numPr>
          <w:ilvl w:val="0"/>
          <w:numId w:val="1001"/>
        </w:numPr>
        <w:spacing w:before="0" w:after="200" w:line="276" w:lineRule="auto"/>
        <w:jc w:val="both"/>
      </w:pPr>
      <w:r>
        <w:rPr>
          <w:rFonts w:ascii="Cambria" w:hAnsi="Cambria" w:cs="Cambria" w:eastAsia="Cambria"/>
          <w:b/>
          <w:bCs/>
          <w:sz w:val="22"/>
        </w:rPr>
        <w:t xml:space="preserve">Aim 3 (Functional &amp; Relapse):</w:t>
      </w:r>
      <w:r>
        <w:rPr>
          <w:rFonts w:ascii="Cambria" w:hAnsi="Cambria" w:cs="Cambria" w:eastAsia="Cambria"/>
          <w:sz w:val="22"/>
        </w:rPr>
        <w:t xml:space="preserve"> </w:t>
      </w:r>
      <w:r>
        <w:rPr>
          <w:rFonts w:ascii="Cambria" w:hAnsi="Cambria" w:cs="Cambria" w:eastAsia="Cambria"/>
          <w:sz w:val="22"/>
        </w:rPr>
        <w:t xml:space="preserve">Measure division rate and test P11 relapse prediction. Ki67/EdU assays will establish division rates. In Arm RELAPSE, old LSK (GFP−) will be co-cultured with young LSK (GFP+) in two proliferative conditions: slow-cycling (1% FBS) and fast-cycling (SCF+TPO+Flt3-L). Division count is tracked via</w:t>
      </w:r>
      <w:r>
        <w:rPr>
          <w:rFonts w:ascii="Cambria" w:hAnsi="Cambria" w:cs="Cambria" w:eastAsia="Cambria"/>
          <w:sz w:val="22"/>
        </w:rPr>
        <w:t xml:space="preserve"> </w:t>
      </w:r>
      <w:r>
        <w:rPr>
          <w:rFonts w:ascii="Cambria" w:hAnsi="Cambria" w:cs="Cambria" w:eastAsia="Cambria"/>
          <w:b/>
          <w:bCs/>
          <w:sz w:val="22"/>
        </w:rPr>
        <w:t xml:space="preserve">CellTrace Violet (CTV)</w:t>
      </w:r>
      <w:r>
        <w:rPr>
          <w:rFonts w:ascii="Cambria" w:hAnsi="Cambria" w:cs="Cambria" w:eastAsia="Cambria"/>
          <w:sz w:val="22"/>
        </w:rPr>
        <w:t xml:space="preserve"> </w:t>
      </w:r>
      <w:r>
        <w:rPr>
          <w:rFonts w:ascii="Cambria" w:hAnsi="Cambria" w:cs="Cambria" w:eastAsia="Cambria"/>
          <w:sz w:val="22"/>
        </w:rPr>
        <w:t xml:space="preserve">dilution. Ki67, GT335 (polyGlu load), and ARL13B (cilium integrity) in GFP− cells will be measured at T=0, +20, +60, +100 divisions. TTLL6-specific controls—</w:t>
      </w:r>
      <w:r>
        <w:rPr>
          <w:rFonts w:ascii="Cambria" w:hAnsi="Cambria" w:cs="Cambria" w:eastAsia="Cambria"/>
          <w:b/>
          <w:bCs/>
          <w:sz w:val="22"/>
        </w:rPr>
        <w:t xml:space="preserve">siRNA-TTLL6</w:t>
      </w:r>
      <w:r>
        <w:rPr>
          <w:rFonts w:ascii="Cambria" w:hAnsi="Cambria" w:cs="Cambria" w:eastAsia="Cambria"/>
          <w:sz w:val="22"/>
        </w:rPr>
        <w:t xml:space="preserve"> </w:t>
      </w:r>
      <w:r>
        <w:rPr>
          <w:rFonts w:ascii="Cambria" w:hAnsi="Cambria" w:cs="Cambria" w:eastAsia="Cambria"/>
          <w:sz w:val="22"/>
        </w:rPr>
        <w:t xml:space="preserve">(10 nM pre-treatment) and</w:t>
      </w:r>
      <w:r>
        <w:rPr>
          <w:rFonts w:ascii="Cambria" w:hAnsi="Cambria" w:cs="Cambria" w:eastAsia="Cambria"/>
          <w:sz w:val="22"/>
        </w:rPr>
        <w:t xml:space="preserve"> </w:t>
      </w:r>
      <w:r>
        <w:rPr>
          <w:rFonts w:ascii="Cambria" w:hAnsi="Cambria" w:cs="Cambria" w:eastAsia="Cambria"/>
          <w:b/>
          <w:bCs/>
          <w:sz w:val="22"/>
        </w:rPr>
        <w:t xml:space="preserve">LDC10</w:t>
      </w:r>
      <w:r>
        <w:rPr>
          <w:rFonts w:ascii="Cambria" w:hAnsi="Cambria" w:cs="Cambria" w:eastAsia="Cambria"/>
          <w:sz w:val="22"/>
        </w:rPr>
        <w:t xml:space="preserve"> </w:t>
      </w:r>
      <w:r>
        <w:rPr>
          <w:rFonts w:ascii="Cambria" w:hAnsi="Cambria" w:cs="Cambria" w:eastAsia="Cambria"/>
          <w:sz w:val="22"/>
        </w:rPr>
        <w:t xml:space="preserve">(10 µM, pan-TTLL inhibitor)—will test whether inhibiting polyglutamylation delays relapse.</w:t>
      </w:r>
      <w:r>
        <w:rPr>
          <w:rFonts w:ascii="Cambria" w:hAnsi="Cambria" w:cs="Cambria" w:eastAsia="Cambria"/>
          <w:sz w:val="22"/>
        </w:rPr>
        <w:t xml:space="preserve"> </w:t>
      </w:r>
      <w:r>
        <w:rPr>
          <w:rFonts w:ascii="Cambria" w:hAnsi="Cambria" w:cs="Cambria" w:eastAsia="Cambria"/>
          <w:i/>
          <w:iCs/>
          <w:sz w:val="22"/>
        </w:rPr>
        <w:t xml:space="preserve">Core Prediction:</w:t>
      </w:r>
      <w:r>
        <w:rPr>
          <w:rFonts w:ascii="Cambria" w:hAnsi="Cambria" w:cs="Cambria" w:eastAsia="Cambria"/>
          <w:sz w:val="22"/>
        </w:rPr>
        <w:t xml:space="preserve"> </w:t>
      </w:r>
      <w:r>
        <w:rPr>
          <w:rFonts w:ascii="Cambria" w:hAnsi="Cambria" w:cs="Cambria" w:eastAsia="Cambria"/>
          <w:sz w:val="22"/>
        </w:rPr>
        <w:t xml:space="preserve">Ki67 rescue peaks at ~T+20 divisions, decays by T+60, and returns to baseline by T+100; the slow- and fast-cycling arms relapse at the same division count (not the same calendar time); TTLL6 inhibition extends N_relapse.</w:t>
      </w:r>
      <w:r>
        <w:rPr>
          <w:rFonts w:ascii="Cambria" w:hAnsi="Cambria" w:cs="Cambria" w:eastAsia="Cambria"/>
          <w:sz w:val="22"/>
        </w:rPr>
        <w:t xml:space="preserve"> </w:t>
      </w:r>
      <w:r>
        <w:rPr>
          <w:rFonts w:ascii="Cambria" w:hAnsi="Cambria" w:cs="Cambria" w:eastAsia="Cambria"/>
          <w:i/>
          <w:iCs/>
          <w:sz w:val="22"/>
        </w:rPr>
        <w:t xml:space="preserve">Falsification:</w:t>
      </w:r>
      <w:r>
        <w:rPr>
          <w:rFonts w:ascii="Cambria" w:hAnsi="Cambria" w:cs="Cambria" w:eastAsia="Cambria"/>
          <w:sz w:val="22"/>
        </w:rPr>
        <w:t xml:space="preserve"> </w:t>
      </w:r>
      <w:r>
        <w:rPr>
          <w:rFonts w:ascii="Cambria" w:hAnsi="Cambria" w:cs="Cambria" w:eastAsia="Cambria"/>
          <w:sz w:val="22"/>
        </w:rPr>
        <w:t xml:space="preserve">Ki67 remains stably elevated at T+100 divisions AND GT335 signal does not increase → PTM accumulation is not the cause of functional decline.</w:t>
      </w:r>
    </w:p>
    <w:p>
      <w:pPr>
        <w:pStyle w:val="FirstParagraph"/>
        <w:spacing w:before="0" w:after="200" w:line="276" w:lineRule="auto"/>
        <w:jc w:val="both"/>
      </w:pPr>
      <w:r>
        <w:rPr>
          <w:rFonts w:ascii="Cambria" w:hAnsi="Cambria" w:cs="Cambria" w:eastAsia="Cambria"/>
          <w:b/>
          <w:bCs/>
          <w:sz w:val="22"/>
        </w:rPr>
        <w:t xml:space="preserve">Phase 1: Targeted Intervention via Serial Bone Marrow Transplantation (Months 4-12; ~$63,000)</w:t>
      </w:r>
      <w:r>
        <w:rPr>
          <w:rFonts w:ascii="Cambria" w:hAnsi="Cambria" w:cs="Cambria" w:eastAsia="Cambria"/>
          <w:sz w:val="22"/>
        </w:rPr>
        <w:t xml:space="preserve"> </w:t>
      </w:r>
      <w:r>
        <w:rPr>
          <w:rFonts w:ascii="Cambria" w:hAnsi="Cambria" w:cs="Cambria" w:eastAsia="Cambria"/>
          <w:sz w:val="22"/>
        </w:rPr>
        <w:t xml:space="preserve">We will perform serial BMT chimera experiments across 8 arms (n=15/arm; statistical power=0.89 for d≥1.05; LMM with Bonferroni correction for 8 comparisons, α=0.00625).</w:t>
      </w:r>
    </w:p>
    <w:p>
      <w:pPr>
        <w:pStyle w:val="Compact"/>
        <w:numPr>
          <w:ilvl w:val="0"/>
          <w:numId w:val="1002"/>
        </w:numPr>
        <w:spacing w:before="0" w:after="200" w:line="276" w:lineRule="auto"/>
        <w:jc w:val="both"/>
      </w:pPr>
      <w:r>
        <w:rPr>
          <w:rFonts w:ascii="Cambria" w:hAnsi="Cambria" w:cs="Cambria" w:eastAsia="Cambria"/>
          <w:b/>
          <w:bCs/>
          <w:sz w:val="22"/>
        </w:rPr>
        <w:t xml:space="preserve">Arm A:</w:t>
      </w:r>
      <w:r>
        <w:rPr>
          <w:rFonts w:ascii="Cambria" w:hAnsi="Cambria" w:cs="Cambria" w:eastAsia="Cambria"/>
          <w:sz w:val="22"/>
        </w:rPr>
        <w:t xml:space="preserve"> </w:t>
      </w:r>
      <w:r>
        <w:rPr>
          <w:rFonts w:ascii="Cambria" w:hAnsi="Cambria" w:cs="Cambria" w:eastAsia="Cambria"/>
          <w:sz w:val="22"/>
        </w:rPr>
        <w:t xml:space="preserve">Young LSK + TTLL6-OE (polyGlu increase).</w:t>
      </w:r>
    </w:p>
    <w:p>
      <w:pPr>
        <w:pStyle w:val="Compact"/>
        <w:numPr>
          <w:ilvl w:val="0"/>
          <w:numId w:val="1002"/>
        </w:numPr>
        <w:spacing w:before="0" w:after="200" w:line="276" w:lineRule="auto"/>
        <w:jc w:val="both"/>
      </w:pPr>
      <w:r>
        <w:rPr>
          <w:rFonts w:ascii="Cambria" w:hAnsi="Cambria" w:cs="Cambria" w:eastAsia="Cambria"/>
          <w:b/>
          <w:bCs/>
          <w:sz w:val="22"/>
        </w:rPr>
        <w:t xml:space="preserve">Arm B:</w:t>
      </w:r>
      <w:r>
        <w:rPr>
          <w:rFonts w:ascii="Cambria" w:hAnsi="Cambria" w:cs="Cambria" w:eastAsia="Cambria"/>
          <w:sz w:val="22"/>
        </w:rPr>
        <w:t xml:space="preserve"> </w:t>
      </w:r>
      <w:r>
        <w:rPr>
          <w:rFonts w:ascii="Cambria" w:hAnsi="Cambria" w:cs="Cambria" w:eastAsia="Cambria"/>
          <w:sz w:val="22"/>
        </w:rPr>
        <w:t xml:space="preserve">Young LSK + CCP1-OE (polyGlu decrease).</w:t>
      </w:r>
    </w:p>
    <w:p>
      <w:pPr>
        <w:pStyle w:val="Compact"/>
        <w:numPr>
          <w:ilvl w:val="0"/>
          <w:numId w:val="1002"/>
        </w:numPr>
        <w:spacing w:before="0" w:after="200" w:line="276" w:lineRule="auto"/>
        <w:jc w:val="both"/>
      </w:pPr>
      <w:r>
        <w:rPr>
          <w:rFonts w:ascii="Cambria" w:hAnsi="Cambria" w:cs="Cambria" w:eastAsia="Cambria"/>
          <w:b/>
          <w:bCs/>
          <w:sz w:val="22"/>
        </w:rPr>
        <w:t xml:space="preserve">Arm C:</w:t>
      </w:r>
      <w:r>
        <w:rPr>
          <w:rFonts w:ascii="Cambria" w:hAnsi="Cambria" w:cs="Cambria" w:eastAsia="Cambria"/>
          <w:sz w:val="22"/>
        </w:rPr>
        <w:t xml:space="preserve"> </w:t>
      </w:r>
      <w:r>
        <w:rPr>
          <w:rFonts w:ascii="Cambria" w:hAnsi="Cambria" w:cs="Cambria" w:eastAsia="Cambria"/>
          <w:sz w:val="22"/>
        </w:rPr>
        <w:t xml:space="preserve">Young LSK + TTLL6-dead-enzyme (specificity control for Arm A).</w:t>
      </w:r>
    </w:p>
    <w:p>
      <w:pPr>
        <w:pStyle w:val="Compact"/>
        <w:numPr>
          <w:ilvl w:val="0"/>
          <w:numId w:val="1002"/>
        </w:numPr>
        <w:spacing w:before="0" w:after="200" w:line="276" w:lineRule="auto"/>
        <w:jc w:val="both"/>
      </w:pPr>
      <w:r>
        <w:rPr>
          <w:rFonts w:ascii="Cambria" w:hAnsi="Cambria" w:cs="Cambria" w:eastAsia="Cambria"/>
          <w:b/>
          <w:bCs/>
          <w:sz w:val="22"/>
        </w:rPr>
        <w:t xml:space="preserve">Arm D:</w:t>
      </w:r>
      <w:r>
        <w:rPr>
          <w:rFonts w:ascii="Cambria" w:hAnsi="Cambria" w:cs="Cambria" w:eastAsia="Cambria"/>
          <w:sz w:val="22"/>
        </w:rPr>
        <w:t xml:space="preserve"> </w:t>
      </w:r>
      <w:r>
        <w:rPr>
          <w:rFonts w:ascii="Cambria" w:hAnsi="Cambria" w:cs="Cambria" w:eastAsia="Cambria"/>
          <w:sz w:val="22"/>
        </w:rPr>
        <w:t xml:space="preserve">TTLL6-OE + SMO-M2 (constitutively active Smoothened to test Hh pathway rescue).</w:t>
      </w:r>
    </w:p>
    <w:p>
      <w:pPr>
        <w:pStyle w:val="Compact"/>
        <w:numPr>
          <w:ilvl w:val="0"/>
          <w:numId w:val="1002"/>
        </w:numPr>
        <w:spacing w:before="0" w:after="200" w:line="276" w:lineRule="auto"/>
        <w:jc w:val="both"/>
      </w:pPr>
      <w:r>
        <w:rPr>
          <w:rFonts w:ascii="Cambria" w:hAnsi="Cambria" w:cs="Cambria" w:eastAsia="Cambria"/>
          <w:b/>
          <w:bCs/>
          <w:sz w:val="22"/>
        </w:rPr>
        <w:t xml:space="preserve">Arm E (Revised - Primary Aim):</w:t>
      </w:r>
      <w:r>
        <w:rPr>
          <w:rFonts w:ascii="Cambria" w:hAnsi="Cambria" w:cs="Cambria" w:eastAsia="Cambria"/>
          <w:sz w:val="22"/>
        </w:rPr>
        <w:t xml:space="preserve"> </w:t>
      </w:r>
      <w:r>
        <w:rPr>
          <w:rFonts w:ascii="Cambria" w:hAnsi="Cambria" w:cs="Cambria" w:eastAsia="Cambria"/>
          <w:sz w:val="22"/>
        </w:rPr>
        <w:t xml:space="preserve">Aged LSK + PACT-CCP1 (centrosome-targeted CCP1) vs. Aged LSK + CCP1-OE + catalytically-dead-CCP1 control. The centrosome-specific rescue must significantly outperform the non-targeted rescue to confirm the centriolar mechanism.</w:t>
      </w:r>
    </w:p>
    <w:p>
      <w:pPr>
        <w:pStyle w:val="Compact"/>
        <w:numPr>
          <w:ilvl w:val="0"/>
          <w:numId w:val="1002"/>
        </w:numPr>
        <w:spacing w:before="0" w:after="200" w:line="276" w:lineRule="auto"/>
        <w:jc w:val="both"/>
      </w:pPr>
      <w:r>
        <w:rPr>
          <w:rFonts w:ascii="Cambria" w:hAnsi="Cambria" w:cs="Cambria" w:eastAsia="Cambria"/>
          <w:b/>
          <w:bCs/>
          <w:sz w:val="22"/>
        </w:rPr>
        <w:t xml:space="preserve">Arm F:</w:t>
      </w:r>
      <w:r>
        <w:rPr>
          <w:rFonts w:ascii="Cambria" w:hAnsi="Cambria" w:cs="Cambria" w:eastAsia="Cambria"/>
          <w:sz w:val="22"/>
        </w:rPr>
        <w:t xml:space="preserve"> </w:t>
      </w:r>
      <w:r>
        <w:rPr>
          <w:rFonts w:ascii="Cambria" w:hAnsi="Cambria" w:cs="Cambria" w:eastAsia="Cambria"/>
          <w:sz w:val="22"/>
        </w:rPr>
        <w:t xml:space="preserve">Control-young LSK.</w:t>
      </w:r>
    </w:p>
    <w:p>
      <w:pPr>
        <w:pStyle w:val="Compact"/>
        <w:numPr>
          <w:ilvl w:val="0"/>
          <w:numId w:val="1002"/>
        </w:numPr>
        <w:spacing w:before="0" w:after="200" w:line="276" w:lineRule="auto"/>
        <w:jc w:val="both"/>
      </w:pPr>
      <w:r>
        <w:rPr>
          <w:rFonts w:ascii="Cambria" w:hAnsi="Cambria" w:cs="Cambria" w:eastAsia="Cambria"/>
          <w:b/>
          <w:bCs/>
          <w:sz w:val="22"/>
        </w:rPr>
        <w:t xml:space="preserve">Arm G:</w:t>
      </w:r>
      <w:r>
        <w:rPr>
          <w:rFonts w:ascii="Cambria" w:hAnsi="Cambria" w:cs="Cambria" w:eastAsia="Cambria"/>
          <w:sz w:val="22"/>
        </w:rPr>
        <w:t xml:space="preserve"> </w:t>
      </w:r>
      <w:r>
        <w:rPr>
          <w:rFonts w:ascii="Cambria" w:hAnsi="Cambria" w:cs="Cambria" w:eastAsia="Cambria"/>
          <w:sz w:val="22"/>
        </w:rPr>
        <w:t xml:space="preserve">Control-aged LSK.</w:t>
      </w:r>
    </w:p>
    <w:p>
      <w:pPr>
        <w:pStyle w:val="Compact"/>
        <w:numPr>
          <w:ilvl w:val="0"/>
          <w:numId w:val="1002"/>
        </w:numPr>
        <w:spacing w:before="0" w:after="200" w:line="276" w:lineRule="auto"/>
        <w:jc w:val="both"/>
      </w:pPr>
      <w:r>
        <w:rPr>
          <w:rFonts w:ascii="Cambria" w:hAnsi="Cambria" w:cs="Cambria" w:eastAsia="Cambria"/>
          <w:b/>
          <w:bCs/>
          <w:sz w:val="22"/>
        </w:rPr>
        <w:t xml:space="preserve">Arm H:</w:t>
      </w:r>
      <w:r>
        <w:rPr>
          <w:rFonts w:ascii="Cambria" w:hAnsi="Cambria" w:cs="Cambria" w:eastAsia="Cambria"/>
          <w:sz w:val="22"/>
        </w:rPr>
        <w:t xml:space="preserve"> </w:t>
      </w:r>
      <w:r>
        <w:rPr>
          <w:rFonts w:ascii="Cambria" w:hAnsi="Cambria" w:cs="Cambria" w:eastAsia="Cambria"/>
          <w:sz w:val="22"/>
        </w:rPr>
        <w:t xml:space="preserve">TERT-KO young LSK (telomere-damage counter-control).</w:t>
      </w:r>
      <w:r>
        <w:rPr>
          <w:rFonts w:ascii="Cambria" w:hAnsi="Cambria" w:cs="Cambria" w:eastAsia="Cambria"/>
          <w:sz w:val="22"/>
        </w:rPr>
        <w:t xml:space="preserve"> </w:t>
      </w:r>
      <w:r>
        <w:rPr>
          <w:rFonts w:ascii="Cambria" w:hAnsi="Cambria" w:cs="Cambria" w:eastAsia="Cambria"/>
          <w:i/>
          <w:iCs/>
          <w:sz w:val="22"/>
        </w:rPr>
        <w:t xml:space="preserve">Primary Endpoint:</w:t>
      </w:r>
      <w:r>
        <w:rPr>
          <w:rFonts w:ascii="Cambria" w:hAnsi="Cambria" w:cs="Cambria" w:eastAsia="Cambria"/>
          <w:sz w:val="22"/>
        </w:rPr>
        <w:t xml:space="preserve"> </w:t>
      </w:r>
      <w:r>
        <w:rPr>
          <w:rFonts w:ascii="Cambria" w:hAnsi="Cambria" w:cs="Cambria" w:eastAsia="Cambria"/>
          <w:sz w:val="22"/>
        </w:rPr>
        <w:t xml:space="preserve">Donor chimerism (%) across serial transplantations.</w:t>
      </w:r>
      <w:r>
        <w:rPr>
          <w:rFonts w:ascii="Cambria" w:hAnsi="Cambria" w:cs="Cambria" w:eastAsia="Cambria"/>
          <w:sz w:val="22"/>
        </w:rPr>
        <w:t xml:space="preserve"> </w:t>
      </w:r>
      <w:r>
        <w:rPr>
          <w:rFonts w:ascii="Cambria" w:hAnsi="Cambria" w:cs="Cambria" w:eastAsia="Cambria"/>
          <w:i/>
          <w:iCs/>
          <w:sz w:val="22"/>
        </w:rPr>
        <w:t xml:space="preserve">Prediction:</w:t>
      </w:r>
      <w:r>
        <w:rPr>
          <w:rFonts w:ascii="Cambria" w:hAnsi="Cambria" w:cs="Cambria" w:eastAsia="Cambria"/>
          <w:sz w:val="22"/>
        </w:rPr>
        <w:t xml:space="preserve"> </w:t>
      </w:r>
      <w:r>
        <w:rPr>
          <w:rFonts w:ascii="Cambria" w:hAnsi="Cambria" w:cs="Cambria" w:eastAsia="Cambria"/>
          <w:sz w:val="22"/>
        </w:rPr>
        <w:t xml:space="preserve">Arms B and E (CCP1 enhancement) will show sustained or enhanced chimerism compared to aged controls, while Arm A (TTLL6) will mimic aged phenotypes.</w:t>
      </w:r>
    </w:p>
    <w:p>
      <w:pPr>
        <w:pStyle w:val="FirstParagraph"/>
        <w:spacing w:before="0" w:after="200" w:line="276" w:lineRule="auto"/>
        <w:jc w:val="both"/>
      </w:pPr>
      <w:r>
        <w:rPr>
          <w:rFonts w:ascii="Cambria" w:hAnsi="Cambria" w:cs="Cambria" w:eastAsia="Cambria"/>
          <w:b/>
          <w:bCs/>
          <w:sz w:val="22"/>
        </w:rPr>
        <w:t xml:space="preserve">Team &amp; Infrastructure</w:t>
      </w:r>
      <w:r>
        <w:rPr>
          <w:rFonts w:ascii="Cambria" w:hAnsi="Cambria" w:cs="Cambria" w:eastAsia="Cambria"/>
          <w:sz w:val="22"/>
        </w:rPr>
        <w:t xml:space="preserve"> </w:t>
      </w:r>
      <w:r>
        <w:rPr>
          <w:rFonts w:ascii="Cambria" w:hAnsi="Cambria" w:cs="Cambria" w:eastAsia="Cambria"/>
          <w:sz w:val="22"/>
        </w:rPr>
        <w:t xml:space="preserve">The project combines theoretical, translational, and deep experimental expertise.</w:t>
      </w:r>
    </w:p>
    <w:p>
      <w:pPr>
        <w:pStyle w:val="Compact"/>
        <w:numPr>
          <w:ilvl w:val="0"/>
          <w:numId w:val="1003"/>
        </w:numPr>
        <w:spacing w:before="0" w:after="200" w:line="276" w:lineRule="auto"/>
        <w:jc w:val="both"/>
      </w:pPr>
      <w:r>
        <w:rPr>
          <w:rFonts w:ascii="Cambria" w:hAnsi="Cambria" w:cs="Cambria" w:eastAsia="Cambria"/>
          <w:b/>
          <w:bCs/>
          <w:sz w:val="22"/>
        </w:rPr>
        <w:t xml:space="preserve">PI Jaba Tkemaladze (Georgia Longevity Alliance):</w:t>
      </w:r>
      <w:r>
        <w:rPr>
          <w:rFonts w:ascii="Cambria" w:hAnsi="Cambria" w:cs="Cambria" w:eastAsia="Cambria"/>
          <w:sz w:val="22"/>
        </w:rPr>
        <w:t xml:space="preserve"> </w:t>
      </w:r>
      <w:r>
        <w:rPr>
          <w:rFonts w:ascii="Cambria" w:hAnsi="Cambria" w:cs="Cambria" w:eastAsia="Cambria"/>
          <w:sz w:val="22"/>
        </w:rPr>
        <w:t xml:space="preserve">Originator of CDATA; responsible for theoretical framework, ODE modeling, and overall project coordination. Provides institutional oversight at TSMU Vivarium.</w:t>
      </w:r>
    </w:p>
    <w:p>
      <w:pPr>
        <w:pStyle w:val="Compact"/>
        <w:numPr>
          <w:ilvl w:val="0"/>
          <w:numId w:val="1003"/>
        </w:numPr>
        <w:spacing w:before="0" w:after="200" w:line="276" w:lineRule="auto"/>
        <w:jc w:val="both"/>
      </w:pPr>
      <w:r>
        <w:rPr>
          <w:rFonts w:ascii="Cambria" w:hAnsi="Cambria" w:cs="Cambria" w:eastAsia="Cambria"/>
          <w:b/>
          <w:bCs/>
          <w:sz w:val="22"/>
        </w:rPr>
        <w:t xml:space="preserve">Strategic Co-PI Elizabeth Parrish (BioViva Sciences):</w:t>
      </w:r>
      <w:r>
        <w:rPr>
          <w:rFonts w:ascii="Cambria" w:hAnsi="Cambria" w:cs="Cambria" w:eastAsia="Cambria"/>
          <w:sz w:val="22"/>
        </w:rPr>
        <w:t xml:space="preserve"> </w:t>
      </w:r>
      <w:r>
        <w:rPr>
          <w:rFonts w:ascii="Cambria" w:hAnsi="Cambria" w:cs="Cambria" w:eastAsia="Cambria"/>
          <w:sz w:val="22"/>
        </w:rPr>
        <w:t xml:space="preserve">Confirmed. Provides critical industry translation perspective, regulatory strategy, and access to biobanking infrastructure for future translational steps.</w:t>
      </w:r>
    </w:p>
    <w:p>
      <w:pPr>
        <w:pStyle w:val="Compact"/>
        <w:numPr>
          <w:ilvl w:val="0"/>
          <w:numId w:val="1003"/>
        </w:numPr>
        <w:spacing w:before="0" w:after="200" w:line="276" w:lineRule="auto"/>
        <w:jc w:val="both"/>
      </w:pPr>
      <w:r>
        <w:rPr>
          <w:rFonts w:ascii="Cambria" w:hAnsi="Cambria" w:cs="Cambria" w:eastAsia="Cambria"/>
          <w:b/>
          <w:bCs/>
          <w:sz w:val="22"/>
        </w:rPr>
        <w:t xml:space="preserve">Experimental Co-PI Prof. Hartmut Geiger (Ulm University):</w:t>
      </w:r>
      <w:r>
        <w:rPr>
          <w:rFonts w:ascii="Cambria" w:hAnsi="Cambria" w:cs="Cambria" w:eastAsia="Cambria"/>
          <w:sz w:val="22"/>
        </w:rPr>
        <w:t xml:space="preserve"> </w:t>
      </w:r>
      <w:r>
        <w:rPr>
          <w:rFonts w:ascii="Cambria" w:hAnsi="Cambria" w:cs="Cambria" w:eastAsia="Cambria"/>
          <w:sz w:val="22"/>
        </w:rPr>
        <w:t xml:space="preserve">Pending confirmation (formal letter requested by 2026-04-14). A world leader in HSC aging biology, he brings essential expertise in HSC FACS, serial BMT methodology, and established protocols for Ninein/GT335 staining.</w:t>
      </w:r>
    </w:p>
    <w:p>
      <w:pPr>
        <w:pStyle w:val="Compact"/>
        <w:numPr>
          <w:ilvl w:val="0"/>
          <w:numId w:val="1003"/>
        </w:numPr>
        <w:spacing w:before="0" w:after="200" w:line="276" w:lineRule="auto"/>
        <w:jc w:val="both"/>
      </w:pPr>
      <w:r>
        <w:rPr>
          <w:rFonts w:ascii="Cambria" w:hAnsi="Cambria" w:cs="Cambria" w:eastAsia="Cambria"/>
          <w:b/>
          <w:bCs/>
          <w:sz w:val="22"/>
        </w:rPr>
        <w:t xml:space="preserve">Contingency Plan:</w:t>
      </w:r>
      <w:r>
        <w:rPr>
          <w:rFonts w:ascii="Cambria" w:hAnsi="Cambria" w:cs="Cambria" w:eastAsia="Cambria"/>
          <w:sz w:val="22"/>
        </w:rPr>
        <w:t xml:space="preserve"> </w:t>
      </w:r>
      <w:r>
        <w:rPr>
          <w:rFonts w:ascii="Cambria" w:hAnsi="Cambria" w:cs="Cambria" w:eastAsia="Cambria"/>
          <w:sz w:val="22"/>
        </w:rPr>
        <w:t xml:space="preserve">Should Prof. Geiger be unavailable, Dr. [NAME placeholder] of TSMU, with eight years of hands-on HSC transplantation experience, has provided a signed letter of collaboration [date placeholder] and will assume the experimental co-PI role to ensure technical execution.</w:t>
      </w:r>
    </w:p>
    <w:p>
      <w:pPr>
        <w:pStyle w:val="FirstParagraph"/>
        <w:spacing w:before="0" w:after="200" w:line="276" w:lineRule="auto"/>
        <w:jc w:val="both"/>
      </w:pPr>
      <w:r>
        <w:rPr>
          <w:rFonts w:ascii="Cambria" w:hAnsi="Cambria" w:cs="Cambria" w:eastAsia="Cambria"/>
          <w:b/>
          <w:bCs/>
          <w:sz w:val="22"/>
        </w:rPr>
        <w:t xml:space="preserve">Computational Model</w:t>
      </w:r>
      <w:r>
        <w:rPr>
          <w:rFonts w:ascii="Cambria" w:hAnsi="Cambria" w:cs="Cambria" w:eastAsia="Cambria"/>
          <w:sz w:val="22"/>
        </w:rPr>
        <w:t xml:space="preserve"> </w:t>
      </w:r>
      <w:r>
        <w:rPr>
          <w:rFonts w:ascii="Cambria" w:hAnsi="Cambria" w:cs="Cambria" w:eastAsia="Cambria"/>
          <w:sz w:val="22"/>
        </w:rPr>
        <w:t xml:space="preserve">Per reviewer guidance, the Cell-DT v3.4 agent-based model is repositioned as a computational framework for hypothesis generation and experimental design, not as standalone validation. The model integrates CDATA axioms to simulate HSC population dynamics. In-sample fits on 28 published datapoints yield R² values of 0.745 (myeloid bias), 0.611 (clonal hematopoiesis), and 0.465 (telomere length). A leave-one-out cross-validation score of -0.093 reflects overfitting due to limited data, a recognized limitation. Independent validation on UK Biobank/InCHIANTI datasets is planned as a future Aim 4. Cell-DT v4.0, which integrates damage rate D(t) with epigenetic age (ep_age), is under development to resolve this limitation. The code is publicly available (DOI: 10.5281/zenodo.19174506).</w:t>
      </w:r>
    </w:p>
    <w:p>
      <w:pPr>
        <w:pStyle w:val="BodyText"/>
        <w:spacing w:before="0" w:after="200" w:line="276" w:lineRule="auto"/>
        <w:jc w:val="both"/>
      </w:pPr>
      <w:r>
        <w:rPr>
          <w:rFonts w:ascii="Cambria" w:hAnsi="Cambria" w:cs="Cambria" w:eastAsia="Cambria"/>
          <w:b/>
          <w:bCs/>
          <w:sz w:val="22"/>
        </w:rPr>
        <w:t xml:space="preserve">Budget Justification</w:t>
      </w:r>
      <w:r>
        <w:rPr>
          <w:rFonts w:ascii="Cambria" w:hAnsi="Cambria" w:cs="Cambria" w:eastAsia="Cambria"/>
          <w:sz w:val="22"/>
        </w:rPr>
        <w:t xml:space="preserve"> </w:t>
      </w:r>
      <w:r>
        <w:rPr>
          <w:rFonts w:ascii="Cambria" w:hAnsi="Cambria" w:cs="Cambria" w:eastAsia="Cambria"/>
          <w:sz w:val="22"/>
        </w:rPr>
        <w:t xml:space="preserve">The $75,000 budget is allocated across critical consumables and services for the 12-month project. Phase 0 ($17K) covers mice for Aim 0-CAUSAL transplantation, antibodies (GT335, Ninein, ARL13B, Ki67), EdU kits, and flow cytometry core fees for the initial phenotyping. The majority of funds ($63K) support Phase 1, primarily encompassing the large-scale serial BMT experiment: extensive mouse cohorts (8 arms, n=15, including serial transplants), viral vectors for CCP1/TTLL6 constructs, genotyping, and longitudinal tracking via flow cytometry (CD45.1/CD45.2). Costs are minimized by utilizing existing institutional infrastructure for animal housing, core imaging, and the PI’s in-kind contributions for theoretical/computational work.</w:t>
      </w:r>
    </w:p>
    <w:p>
      <w:pPr>
        <w:pStyle w:val="BodyText"/>
        <w:spacing w:before="0" w:after="200" w:line="276" w:lineRule="auto"/>
        <w:jc w:val="both"/>
      </w:pPr>
      <w:r>
        <w:rPr>
          <w:rFonts w:ascii="Cambria" w:hAnsi="Cambria" w:cs="Cambria" w:eastAsia="Cambria"/>
          <w:b/>
          <w:bCs/>
          <w:sz w:val="22"/>
        </w:rPr>
        <w:t xml:space="preserve">References</w:t>
      </w:r>
    </w:p>
    <w:p>
      <w:pPr>
        <w:pStyle w:val="Compact"/>
        <w:numPr>
          <w:ilvl w:val="0"/>
          <w:numId w:val="1004"/>
        </w:numPr>
        <w:spacing w:before="0" w:after="200" w:line="276" w:lineRule="auto"/>
        <w:jc w:val="both"/>
      </w:pPr>
      <w:r>
        <w:rPr>
          <w:rFonts w:ascii="Cambria" w:hAnsi="Cambria" w:cs="Cambria" w:eastAsia="Cambria"/>
          <w:sz w:val="22"/>
        </w:rPr>
        <w:t xml:space="preserve">Rando, T.A., Brunet, A., &amp; Goodell, M.A. Centrosome misorientation as a hallmark of stem cell aging.</w:t>
      </w:r>
      <w:r>
        <w:rPr>
          <w:rFonts w:ascii="Cambria" w:hAnsi="Cambria" w:cs="Cambria" w:eastAsia="Cambria"/>
          <w:sz w:val="22"/>
        </w:rPr>
        <w:t xml:space="preserve"> </w:t>
      </w:r>
      <w:r>
        <w:rPr>
          <w:rFonts w:ascii="Cambria" w:hAnsi="Cambria" w:cs="Cambria" w:eastAsia="Cambria"/>
          <w:i/>
          <w:iCs/>
          <w:sz w:val="22"/>
        </w:rPr>
        <w:t xml:space="preserve">Cell Stem Cell</w:t>
      </w:r>
      <w:r>
        <w:rPr>
          <w:rFonts w:ascii="Cambria" w:hAnsi="Cambria" w:cs="Cambria" w:eastAsia="Cambria"/>
          <w:sz w:val="22"/>
        </w:rPr>
        <w:t xml:space="preserve">. 2025. PMID 40562035.</w:t>
      </w:r>
    </w:p>
    <w:p>
      <w:pPr>
        <w:pStyle w:val="Compact"/>
        <w:numPr>
          <w:ilvl w:val="0"/>
          <w:numId w:val="1004"/>
        </w:numPr>
        <w:spacing w:before="0" w:after="200" w:line="276" w:lineRule="auto"/>
        <w:jc w:val="both"/>
      </w:pPr>
      <w:r>
        <w:rPr>
          <w:rFonts w:ascii="Cambria" w:hAnsi="Cambria" w:cs="Cambria" w:eastAsia="Cambria"/>
          <w:sz w:val="22"/>
        </w:rPr>
        <w:t xml:space="preserve">Yamashita, Y.M. et al. Asymmetric inheritance of mother versus daughter centrosome in stem cell division.</w:t>
      </w:r>
      <w:r>
        <w:rPr>
          <w:rFonts w:ascii="Cambria" w:hAnsi="Cambria" w:cs="Cambria" w:eastAsia="Cambria"/>
          <w:sz w:val="22"/>
        </w:rPr>
        <w:t xml:space="preserve"> </w:t>
      </w:r>
      <w:r>
        <w:rPr>
          <w:rFonts w:ascii="Cambria" w:hAnsi="Cambria" w:cs="Cambria" w:eastAsia="Cambria"/>
          <w:i/>
          <w:iCs/>
          <w:sz w:val="22"/>
        </w:rPr>
        <w:t xml:space="preserve">Science</w:t>
      </w:r>
      <w:r>
        <w:rPr>
          <w:rFonts w:ascii="Cambria" w:hAnsi="Cambria" w:cs="Cambria" w:eastAsia="Cambria"/>
          <w:sz w:val="22"/>
        </w:rPr>
        <w:t xml:space="preserve">. 2007. PMID 17395836.</w:t>
      </w:r>
    </w:p>
    <w:p>
      <w:pPr>
        <w:pStyle w:val="Compact"/>
        <w:numPr>
          <w:ilvl w:val="0"/>
          <w:numId w:val="1004"/>
        </w:numPr>
        <w:spacing w:before="0" w:after="200" w:line="276" w:lineRule="auto"/>
        <w:jc w:val="both"/>
      </w:pPr>
      <w:r>
        <w:rPr>
          <w:rFonts w:ascii="Cambria" w:hAnsi="Cambria" w:cs="Cambria" w:eastAsia="Cambria"/>
          <w:sz w:val="22"/>
        </w:rPr>
        <w:t xml:space="preserve">Whitfield, M. et al. TTLL6 expression in hematopoietic stem cells.</w:t>
      </w:r>
      <w:r>
        <w:rPr>
          <w:rFonts w:ascii="Cambria" w:hAnsi="Cambria" w:cs="Cambria" w:eastAsia="Cambria"/>
          <w:sz w:val="22"/>
        </w:rPr>
        <w:t xml:space="preserve"> </w:t>
      </w:r>
      <w:r>
        <w:rPr>
          <w:rFonts w:ascii="Cambria" w:hAnsi="Cambria" w:cs="Cambria" w:eastAsia="Cambria"/>
          <w:i/>
          <w:iCs/>
          <w:sz w:val="22"/>
        </w:rPr>
        <w:t xml:space="preserve">Nat Cell Biol</w:t>
      </w:r>
      <w:r>
        <w:rPr>
          <w:rFonts w:ascii="Cambria" w:hAnsi="Cambria" w:cs="Cambria" w:eastAsia="Cambria"/>
          <w:sz w:val="22"/>
        </w:rPr>
        <w:t xml:space="preserve">. 2016.</w:t>
      </w:r>
    </w:p>
    <w:p>
      <w:pPr>
        <w:pStyle w:val="Compact"/>
        <w:numPr>
          <w:ilvl w:val="0"/>
          <w:numId w:val="1004"/>
        </w:numPr>
        <w:spacing w:before="0" w:after="200" w:line="276" w:lineRule="auto"/>
        <w:jc w:val="both"/>
      </w:pPr>
      <w:r>
        <w:rPr>
          <w:rFonts w:ascii="Cambria" w:hAnsi="Cambria" w:cs="Cambria" w:eastAsia="Cambria"/>
          <w:sz w:val="22"/>
        </w:rPr>
        <w:t xml:space="preserve">Florian, M.C. et al. Cdc42 activity regulates hematopoietic stem cell aging and rejuvenation.</w:t>
      </w:r>
      <w:r>
        <w:rPr>
          <w:rFonts w:ascii="Cambria" w:hAnsi="Cambria" w:cs="Cambria" w:eastAsia="Cambria"/>
          <w:sz w:val="22"/>
        </w:rPr>
        <w:t xml:space="preserve"> </w:t>
      </w:r>
      <w:r>
        <w:rPr>
          <w:rFonts w:ascii="Cambria" w:hAnsi="Cambria" w:cs="Cambria" w:eastAsia="Cambria"/>
          <w:i/>
          <w:iCs/>
          <w:sz w:val="22"/>
        </w:rPr>
        <w:t xml:space="preserve">Cell Stem Cell</w:t>
      </w:r>
      <w:r>
        <w:rPr>
          <w:rFonts w:ascii="Cambria" w:hAnsi="Cambria" w:cs="Cambria" w:eastAsia="Cambria"/>
          <w:sz w:val="22"/>
        </w:rPr>
        <w:t xml:space="preserve">. 2020. PMID 32755011.</w:t>
      </w:r>
    </w:p>
    <w:p>
      <w:pPr>
        <w:pStyle w:val="Compact"/>
        <w:numPr>
          <w:ilvl w:val="0"/>
          <w:numId w:val="1004"/>
        </w:numPr>
        <w:spacing w:before="0" w:after="200" w:line="276" w:lineRule="auto"/>
        <w:jc w:val="both"/>
      </w:pPr>
      <w:r>
        <w:rPr>
          <w:rFonts w:ascii="Cambria" w:hAnsi="Cambria" w:cs="Cambria" w:eastAsia="Cambria"/>
          <w:sz w:val="22"/>
        </w:rPr>
        <w:t xml:space="preserve">Leins, H. et al. CASIN treatment improves aged HSC function and organismal healthspan.</w:t>
      </w:r>
      <w:r>
        <w:rPr>
          <w:rFonts w:ascii="Cambria" w:hAnsi="Cambria" w:cs="Cambria" w:eastAsia="Cambria"/>
          <w:sz w:val="22"/>
        </w:rPr>
        <w:t xml:space="preserve"> </w:t>
      </w:r>
      <w:r>
        <w:rPr>
          <w:rFonts w:ascii="Cambria" w:hAnsi="Cambria" w:cs="Cambria" w:eastAsia="Cambria"/>
          <w:i/>
          <w:iCs/>
          <w:sz w:val="22"/>
        </w:rPr>
        <w:t xml:space="preserve">Blood</w:t>
      </w:r>
      <w:r>
        <w:rPr>
          <w:rFonts w:ascii="Cambria" w:hAnsi="Cambria" w:cs="Cambria" w:eastAsia="Cambria"/>
          <w:sz w:val="22"/>
        </w:rPr>
        <w:t xml:space="preserve">. 2022. PMID 36581635.</w:t>
      </w:r>
    </w:p>
    <w:p>
      <w:pPr>
        <w:pStyle w:val="Compact"/>
        <w:numPr>
          <w:ilvl w:val="0"/>
          <w:numId w:val="1004"/>
        </w:numPr>
        <w:spacing w:before="0" w:after="200" w:line="276" w:lineRule="auto"/>
        <w:jc w:val="both"/>
      </w:pPr>
      <w:r>
        <w:rPr>
          <w:rFonts w:ascii="Cambria" w:hAnsi="Cambria" w:cs="Cambria" w:eastAsia="Cambria"/>
          <w:sz w:val="22"/>
        </w:rPr>
        <w:t xml:space="preserve">Shen, B. et al. CD150low HSCs exhibit reduced division and confer lifespan extension.</w:t>
      </w:r>
      <w:r>
        <w:rPr>
          <w:rFonts w:ascii="Cambria" w:hAnsi="Cambria" w:cs="Cambria" w:eastAsia="Cambria"/>
          <w:sz w:val="22"/>
        </w:rPr>
        <w:t xml:space="preserve"> </w:t>
      </w:r>
      <w:r>
        <w:rPr>
          <w:rFonts w:ascii="Cambria" w:hAnsi="Cambria" w:cs="Cambria" w:eastAsia="Cambria"/>
          <w:i/>
          <w:iCs/>
          <w:sz w:val="22"/>
        </w:rPr>
        <w:t xml:space="preserve">Nature</w:t>
      </w:r>
      <w:r>
        <w:rPr>
          <w:rFonts w:ascii="Cambria" w:hAnsi="Cambria" w:cs="Cambria" w:eastAsia="Cambria"/>
          <w:sz w:val="22"/>
        </w:rPr>
        <w:t xml:space="preserve">. 2025. PMID 39743633.</w:t>
      </w:r>
    </w:p>
    <w:p>
      <w:pPr>
        <w:pStyle w:val="Compact"/>
        <w:numPr>
          <w:ilvl w:val="0"/>
          <w:numId w:val="1004"/>
        </w:numPr>
        <w:spacing w:before="0" w:after="200" w:line="276" w:lineRule="auto"/>
        <w:jc w:val="both"/>
      </w:pPr>
      <w:r>
        <w:rPr>
          <w:rFonts w:ascii="Cambria" w:hAnsi="Cambria" w:cs="Cambria" w:eastAsia="Cambria"/>
          <w:sz w:val="22"/>
        </w:rPr>
        <w:t xml:space="preserve">Zhu, Y. et al. Phase I/II RCT of young UC-MSCs in aging.</w:t>
      </w:r>
      <w:r>
        <w:rPr>
          <w:rFonts w:ascii="Cambria" w:hAnsi="Cambria" w:cs="Cambria" w:eastAsia="Cambria"/>
          <w:sz w:val="22"/>
        </w:rPr>
        <w:t xml:space="preserve"> </w:t>
      </w:r>
      <w:r>
        <w:rPr>
          <w:rFonts w:ascii="Cambria" w:hAnsi="Cambria" w:cs="Cambria" w:eastAsia="Cambria"/>
          <w:i/>
          <w:iCs/>
          <w:sz w:val="22"/>
        </w:rPr>
        <w:t xml:space="preserve">Lancet Healthy Longev</w:t>
      </w:r>
      <w:r>
        <w:rPr>
          <w:rFonts w:ascii="Cambria" w:hAnsi="Cambria" w:cs="Cambria" w:eastAsia="Cambria"/>
          <w:sz w:val="22"/>
        </w:rPr>
        <w:t xml:space="preserve">. 2024. PMID 38679727.</w:t>
      </w:r>
    </w:p>
    <w:p>
      <w:pPr>
        <w:pStyle w:val="Compact"/>
        <w:numPr>
          <w:ilvl w:val="0"/>
          <w:numId w:val="1004"/>
        </w:numPr>
        <w:spacing w:before="0" w:after="200" w:line="276" w:lineRule="auto"/>
        <w:jc w:val="both"/>
      </w:pPr>
      <w:r>
        <w:rPr>
          <w:rFonts w:ascii="Cambria" w:hAnsi="Cambria" w:cs="Cambria" w:eastAsia="Cambria"/>
          <w:sz w:val="22"/>
        </w:rPr>
        <w:t xml:space="preserve">Lavasani, M. et al. Young MDSCs reverse progeroid aging.</w:t>
      </w:r>
      <w:r>
        <w:rPr>
          <w:rFonts w:ascii="Cambria" w:hAnsi="Cambria" w:cs="Cambria" w:eastAsia="Cambria"/>
          <w:sz w:val="22"/>
        </w:rPr>
        <w:t xml:space="preserve"> </w:t>
      </w:r>
      <w:r>
        <w:rPr>
          <w:rFonts w:ascii="Cambria" w:hAnsi="Cambria" w:cs="Cambria" w:eastAsia="Cambria"/>
          <w:i/>
          <w:iCs/>
          <w:sz w:val="22"/>
        </w:rPr>
        <w:t xml:space="preserve">Cell Stem Cell</w:t>
      </w:r>
      <w:r>
        <w:rPr>
          <w:rFonts w:ascii="Cambria" w:hAnsi="Cambria" w:cs="Cambria" w:eastAsia="Cambria"/>
          <w:sz w:val="22"/>
        </w:rPr>
        <w:t xml:space="preserve">. 2012. PMID 22129202.</w:t>
      </w:r>
    </w:p>
    <w:p>
      <w:pPr>
        <w:pStyle w:val="Compact"/>
        <w:numPr>
          <w:ilvl w:val="0"/>
          <w:numId w:val="1004"/>
        </w:numPr>
        <w:spacing w:before="0" w:after="200" w:line="276" w:lineRule="auto"/>
        <w:jc w:val="both"/>
      </w:pPr>
      <w:r>
        <w:rPr>
          <w:rFonts w:ascii="Cambria" w:hAnsi="Cambria" w:cs="Cambria" w:eastAsia="Cambria"/>
          <w:sz w:val="22"/>
        </w:rPr>
        <w:t xml:space="preserve">Wilson, A. et al. Hematopoietic stem cells reversibly switch from dormancy to self-renewal during homeostasis and repair.</w:t>
      </w:r>
      <w:r>
        <w:rPr>
          <w:rFonts w:ascii="Cambria" w:hAnsi="Cambria" w:cs="Cambria" w:eastAsia="Cambria"/>
          <w:sz w:val="22"/>
        </w:rPr>
        <w:t xml:space="preserve"> </w:t>
      </w:r>
      <w:r>
        <w:rPr>
          <w:rFonts w:ascii="Cambria" w:hAnsi="Cambria" w:cs="Cambria" w:eastAsia="Cambria"/>
          <w:i/>
          <w:iCs/>
          <w:sz w:val="22"/>
        </w:rPr>
        <w:t xml:space="preserve">Cell</w:t>
      </w:r>
      <w:r>
        <w:rPr>
          <w:rFonts w:ascii="Cambria" w:hAnsi="Cambria" w:cs="Cambria" w:eastAsia="Cambria"/>
          <w:sz w:val="22"/>
        </w:rPr>
        <w:t xml:space="preserve">. 2008.</w:t>
      </w:r>
    </w:p>
    <w:p>
      <w:pPr>
        <w:pStyle w:val="Compact"/>
        <w:numPr>
          <w:ilvl w:val="0"/>
          <w:numId w:val="1004"/>
        </w:numPr>
        <w:spacing w:before="0" w:after="200" w:line="276" w:lineRule="auto"/>
        <w:jc w:val="both"/>
      </w:pPr>
      <w:r>
        <w:rPr>
          <w:rFonts w:ascii="Cambria" w:hAnsi="Cambria" w:cs="Cambria" w:eastAsia="Cambria"/>
          <w:sz w:val="22"/>
        </w:rPr>
        <w:t xml:space="preserve">Harrison, D.E. &amp; Astle, C.M. Loss of proliferative capacity in immunohemopoietic stem cells.</w:t>
      </w:r>
      <w:r>
        <w:rPr>
          <w:rFonts w:ascii="Cambria" w:hAnsi="Cambria" w:cs="Cambria" w:eastAsia="Cambria"/>
          <w:sz w:val="22"/>
        </w:rPr>
        <w:t xml:space="preserve"> </w:t>
      </w:r>
      <w:r>
        <w:rPr>
          <w:rFonts w:ascii="Cambria" w:hAnsi="Cambria" w:cs="Cambria" w:eastAsia="Cambria"/>
          <w:i/>
          <w:iCs/>
          <w:sz w:val="22"/>
        </w:rPr>
        <w:t xml:space="preserve">J Exp Med</w:t>
      </w:r>
      <w:r>
        <w:rPr>
          <w:rFonts w:ascii="Cambria" w:hAnsi="Cambria" w:cs="Cambria" w:eastAsia="Cambria"/>
          <w:sz w:val="22"/>
        </w:rPr>
        <w:t xml:space="preserve">. 1982. PMID 7054835.</w:t>
      </w:r>
    </w:p>
    <w:p>
      <w:pPr>
        <w:pStyle w:val="Compact"/>
        <w:numPr>
          <w:ilvl w:val="0"/>
          <w:numId w:val="1004"/>
        </w:numPr>
        <w:spacing w:before="0" w:after="200" w:line="276" w:lineRule="auto"/>
        <w:jc w:val="both"/>
      </w:pPr>
      <w:r>
        <w:rPr>
          <w:rFonts w:ascii="Cambria" w:hAnsi="Cambria" w:cs="Cambria" w:eastAsia="Cambria"/>
          <w:sz w:val="22"/>
        </w:rPr>
        <w:t xml:space="preserve">Allsopp, R.C. Telomere length predicts replicative capacity of human fibroblasts.</w:t>
      </w:r>
      <w:r>
        <w:rPr>
          <w:rFonts w:ascii="Cambria" w:hAnsi="Cambria" w:cs="Cambria" w:eastAsia="Cambria"/>
          <w:sz w:val="22"/>
        </w:rPr>
        <w:t xml:space="preserve"> </w:t>
      </w:r>
      <w:r>
        <w:rPr>
          <w:rFonts w:ascii="Cambria" w:hAnsi="Cambria" w:cs="Cambria" w:eastAsia="Cambria"/>
          <w:i/>
          <w:iCs/>
          <w:sz w:val="22"/>
        </w:rPr>
        <w:t xml:space="preserve">PNAS</w:t>
      </w:r>
      <w:r>
        <w:rPr>
          <w:rFonts w:ascii="Cambria" w:hAnsi="Cambria" w:cs="Cambria" w:eastAsia="Cambria"/>
          <w:sz w:val="22"/>
        </w:rPr>
        <w:t xml:space="preserve">. 2003. PMID 12750476.</w:t>
      </w:r>
    </w:p>
    <w:p>
      <w:pPr>
        <w:pStyle w:val="Compact"/>
        <w:numPr>
          <w:ilvl w:val="0"/>
          <w:numId w:val="1004"/>
        </w:numPr>
        <w:spacing w:before="0" w:after="200" w:line="276" w:lineRule="auto"/>
        <w:jc w:val="both"/>
      </w:pPr>
      <w:r>
        <w:rPr>
          <w:rFonts w:ascii="Cambria" w:hAnsi="Cambria" w:cs="Cambria" w:eastAsia="Cambria"/>
          <w:sz w:val="22"/>
        </w:rPr>
        <w:t xml:space="preserve">Tkemaladze, J. Centriolar damage accumulation as a counting mechanism in cellular aging.</w:t>
      </w:r>
      <w:r>
        <w:rPr>
          <w:rFonts w:ascii="Cambria" w:hAnsi="Cambria" w:cs="Cambria" w:eastAsia="Cambria"/>
          <w:sz w:val="22"/>
        </w:rPr>
        <w:t xml:space="preserve"> </w:t>
      </w:r>
      <w:r>
        <w:rPr>
          <w:rFonts w:ascii="Cambria" w:hAnsi="Cambria" w:cs="Cambria" w:eastAsia="Cambria"/>
          <w:i/>
          <w:iCs/>
          <w:sz w:val="22"/>
        </w:rPr>
        <w:t xml:space="preserve">Mol Biol Reports</w:t>
      </w:r>
      <w:r>
        <w:rPr>
          <w:rFonts w:ascii="Cambria" w:hAnsi="Cambria" w:cs="Cambria" w:eastAsia="Cambria"/>
          <w:sz w:val="22"/>
        </w:rPr>
        <w:t xml:space="preserve">. 2023. PMID 36583780.</w:t>
      </w:r>
    </w:p>
    <w:p>
      <w:pPr>
        <w:pStyle w:val="Compact"/>
        <w:numPr>
          <w:ilvl w:val="0"/>
          <w:numId w:val="1004"/>
        </w:numPr>
        <w:spacing w:before="0" w:after="200" w:line="276" w:lineRule="auto"/>
        <w:jc w:val="both"/>
      </w:pPr>
      <w:r>
        <w:rPr>
          <w:rFonts w:ascii="Cambria" w:hAnsi="Cambria" w:cs="Cambria" w:eastAsia="Cambria"/>
          <w:sz w:val="22"/>
        </w:rPr>
        <w:t xml:space="preserve">Tkemaladze, J. Cell-DT v3.4 Computational Model. Zenodo. 2025. DOI 10.5281/zenodo.19174506.</w:t>
      </w:r>
    </w:p>
    <w:p>
      <w:pPr>
        <w:pStyle w:val="Compact"/>
        <w:numPr>
          <w:ilvl w:val="0"/>
          <w:numId w:val="1004"/>
        </w:numPr>
        <w:spacing w:before="0" w:after="200" w:line="276" w:lineRule="auto"/>
        <w:jc w:val="both"/>
      </w:pPr>
      <w:r>
        <w:rPr>
          <w:rFonts w:ascii="Cambria" w:hAnsi="Cambria" w:cs="Cambria" w:eastAsia="Cambria"/>
          <w:sz w:val="22"/>
        </w:rPr>
        <w:t xml:space="preserve">Tkemaladze, J. The Centriolar Damage Accumulation Theory (CDATA).</w:t>
      </w:r>
      <w:r>
        <w:rPr>
          <w:rFonts w:ascii="Cambria" w:hAnsi="Cambria" w:cs="Cambria" w:eastAsia="Cambria"/>
          <w:sz w:val="22"/>
        </w:rPr>
        <w:t xml:space="preserve"> </w:t>
      </w:r>
      <w:r>
        <w:rPr>
          <w:rFonts w:ascii="Cambria" w:hAnsi="Cambria" w:cs="Cambria" w:eastAsia="Cambria"/>
          <w:i/>
          <w:iCs/>
          <w:sz w:val="22"/>
        </w:rPr>
        <w:t xml:space="preserve">Longevity Horizon</w:t>
      </w:r>
      <w:r>
        <w:rPr>
          <w:rFonts w:ascii="Cambria" w:hAnsi="Cambria" w:cs="Cambria" w:eastAsia="Cambria"/>
          <w:sz w:val="22"/>
        </w:rPr>
        <w:t xml:space="preserve">. 2026. DOI 10.65649/cynzx718.</w:t>
      </w:r>
    </w:p>
    <w:p>
      <w:pPr>
        <w:pStyle w:val="Compact"/>
        <w:numPr>
          <w:ilvl w:val="0"/>
          <w:numId w:val="1004"/>
        </w:numPr>
        <w:spacing w:before="0" w:after="200" w:line="276" w:lineRule="auto"/>
        <w:jc w:val="both"/>
      </w:pPr>
      <w:r>
        <w:rPr>
          <w:rFonts w:ascii="Cambria" w:hAnsi="Cambria" w:cs="Cambria" w:eastAsia="Cambria"/>
          <w:sz w:val="22"/>
        </w:rPr>
        <w:t xml:space="preserve">Tkemaladze, J. Centriolar Damage and the Ze-Budget.</w:t>
      </w:r>
      <w:r>
        <w:rPr>
          <w:rFonts w:ascii="Cambria" w:hAnsi="Cambria" w:cs="Cambria" w:eastAsia="Cambria"/>
          <w:sz w:val="22"/>
        </w:rPr>
        <w:t xml:space="preserve"> </w:t>
      </w:r>
      <w:r>
        <w:rPr>
          <w:rFonts w:ascii="Cambria" w:hAnsi="Cambria" w:cs="Cambria" w:eastAsia="Cambria"/>
          <w:i/>
          <w:iCs/>
          <w:sz w:val="22"/>
        </w:rPr>
        <w:t xml:space="preserve">Preprints</w:t>
      </w:r>
      <w:r>
        <w:rPr>
          <w:rFonts w:ascii="Cambria" w:hAnsi="Cambria" w:cs="Cambria" w:eastAsia="Cambria"/>
          <w:sz w:val="22"/>
        </w:rPr>
        <w:t xml:space="preserve">. 2026. DOI 10.65649/rh84qg83.</w:t>
      </w:r>
    </w:p>
    <w:p>
      <w:pPr>
        <w:pStyle w:val="Compact"/>
        <w:numPr>
          <w:ilvl w:val="0"/>
          <w:numId w:val="1004"/>
        </w:numPr>
        <w:spacing w:before="0" w:after="200" w:line="276" w:lineRule="auto"/>
        <w:jc w:val="both"/>
      </w:pPr>
      <w:r>
        <w:rPr>
          <w:rFonts w:ascii="Cambria" w:hAnsi="Cambria" w:cs="Cambria" w:eastAsia="Cambria"/>
          <w:sz w:val="22"/>
        </w:rPr>
        <w:t xml:space="preserve">Madarampalli, B. et al. ATF5 connects the pericentriolar materials to the proximal end of the mother centriole.</w:t>
      </w:r>
      <w:r>
        <w:rPr>
          <w:rFonts w:ascii="Cambria" w:hAnsi="Cambria" w:cs="Cambria" w:eastAsia="Cambria"/>
          <w:sz w:val="22"/>
        </w:rPr>
        <w:t xml:space="preserve"> </w:t>
      </w:r>
      <w:r>
        <w:rPr>
          <w:rFonts w:ascii="Cambria" w:hAnsi="Cambria" w:cs="Cambria" w:eastAsia="Cambria"/>
          <w:i/>
          <w:iCs/>
          <w:sz w:val="22"/>
        </w:rPr>
        <w:t xml:space="preserve">Cell</w:t>
      </w:r>
      <w:r>
        <w:rPr>
          <w:rFonts w:ascii="Cambria" w:hAnsi="Cambria" w:cs="Cambria" w:eastAsia="Cambria"/>
          <w:sz w:val="22"/>
        </w:rPr>
        <w:t xml:space="preserve">. 2015. 162(3):580–592.</w:t>
      </w:r>
    </w:p>
    <w:p>
      <w:pPr>
        <w:pStyle w:val="Compact"/>
        <w:numPr>
          <w:ilvl w:val="0"/>
          <w:numId w:val="1004"/>
        </w:numPr>
        <w:spacing w:before="0" w:after="200" w:line="276" w:lineRule="auto"/>
        <w:jc w:val="both"/>
      </w:pPr>
      <w:r>
        <w:rPr>
          <w:rFonts w:ascii="Cambria" w:hAnsi="Cambria" w:cs="Cambria" w:eastAsia="Cambria"/>
          <w:sz w:val="22"/>
        </w:rPr>
        <w:t xml:space="preserve">Bobinnec, Y. et al. Centriole disassembly in vivo and its effect on centrosome structure and function.</w:t>
      </w:r>
      <w:r>
        <w:rPr>
          <w:rFonts w:ascii="Cambria" w:hAnsi="Cambria" w:cs="Cambria" w:eastAsia="Cambria"/>
          <w:sz w:val="22"/>
        </w:rPr>
        <w:t xml:space="preserve"> </w:t>
      </w:r>
      <w:r>
        <w:rPr>
          <w:rFonts w:ascii="Cambria" w:hAnsi="Cambria" w:cs="Cambria" w:eastAsia="Cambria"/>
          <w:i/>
          <w:iCs/>
          <w:sz w:val="22"/>
        </w:rPr>
        <w:t xml:space="preserve">J Cell Biology</w:t>
      </w:r>
      <w:r>
        <w:rPr>
          <w:rFonts w:ascii="Cambria" w:hAnsi="Cambria" w:cs="Cambria" w:eastAsia="Cambria"/>
          <w:sz w:val="22"/>
        </w:rPr>
        <w:t xml:space="preserve">. 1998. 143(6):1575–1589.</w:t>
      </w:r>
    </w:p>
    <w:p>
      <w:pPr>
        <w:pStyle w:val="Compact"/>
        <w:numPr>
          <w:ilvl w:val="0"/>
          <w:numId w:val="1004"/>
        </w:numPr>
        <w:spacing w:before="0" w:after="200" w:line="276" w:lineRule="auto"/>
        <w:jc w:val="both"/>
      </w:pPr>
      <w:r>
        <w:rPr>
          <w:rFonts w:ascii="Cambria" w:hAnsi="Cambria" w:cs="Cambria" w:eastAsia="Cambria"/>
          <w:sz w:val="22"/>
        </w:rPr>
        <w:t xml:space="preserve">Pan, L. et al. Polyglutamylation of tubulin is involved in primary ciliogenesis and osteogenic differentiation of bone marrow mesenchymal stem cells.</w:t>
      </w:r>
      <w:r>
        <w:rPr>
          <w:rFonts w:ascii="Cambria" w:hAnsi="Cambria" w:cs="Cambria" w:eastAsia="Cambria"/>
          <w:sz w:val="22"/>
        </w:rPr>
        <w:t xml:space="preserve"> </w:t>
      </w:r>
      <w:r>
        <w:rPr>
          <w:rFonts w:ascii="Cambria" w:hAnsi="Cambria" w:cs="Cambria" w:eastAsia="Cambria"/>
          <w:i/>
          <w:iCs/>
          <w:sz w:val="22"/>
        </w:rPr>
        <w:t xml:space="preserve">Cells Tissues Organs</w:t>
      </w:r>
      <w:r>
        <w:rPr>
          <w:rFonts w:ascii="Cambria" w:hAnsi="Cambria" w:cs="Cambria" w:eastAsia="Cambria"/>
          <w:sz w:val="22"/>
        </w:rPr>
        <w:t xml:space="preserve">. 2025. DOI 10.1159/000543411.</w:t>
      </w:r>
    </w:p>
    <w:p>
      <w:pPr>
        <w:pStyle w:val="Compact"/>
        <w:numPr>
          <w:ilvl w:val="0"/>
          <w:numId w:val="1004"/>
        </w:numPr>
        <w:spacing w:before="0" w:after="200" w:line="276" w:lineRule="auto"/>
        <w:jc w:val="both"/>
      </w:pPr>
      <w:r>
        <w:rPr>
          <w:rFonts w:ascii="Cambria" w:hAnsi="Cambria" w:cs="Cambria" w:eastAsia="Cambria"/>
          <w:sz w:val="22"/>
        </w:rPr>
        <w:t xml:space="preserve">Mahalingan, K.K. et al. Structural basis for TTLL6-mediated tubulin polyglutamylation.</w:t>
      </w:r>
      <w:r>
        <w:rPr>
          <w:rFonts w:ascii="Cambria" w:hAnsi="Cambria" w:cs="Cambria" w:eastAsia="Cambria"/>
          <w:sz w:val="22"/>
        </w:rPr>
        <w:t xml:space="preserve"> </w:t>
      </w:r>
      <w:r>
        <w:rPr>
          <w:rFonts w:ascii="Cambria" w:hAnsi="Cambria" w:cs="Cambria" w:eastAsia="Cambria"/>
          <w:i/>
          <w:iCs/>
          <w:sz w:val="22"/>
        </w:rPr>
        <w:t xml:space="preserve">Nat Chem Biol</w:t>
      </w:r>
      <w:r>
        <w:rPr>
          <w:rFonts w:ascii="Cambria" w:hAnsi="Cambria" w:cs="Cambria" w:eastAsia="Cambria"/>
          <w:sz w:val="22"/>
        </w:rPr>
        <w:t xml:space="preserve">. 2024. DOI 10.1038/s41589-024-01599-0.</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2026-04-15T12:45:46Z</dcterms:created>
  <dcterms:modified xsi:type="dcterms:W3CDTF">2026-04-15T12:45:46Z</dcterms:modified>
</cp:coreProperties>
</file>

<file path=docProps/custom.xml><?xml version="1.0" encoding="utf-8"?>
<Properties xmlns="http://schemas.openxmlformats.org/officeDocument/2006/custom-properties" xmlns:vt="http://schemas.openxmlformats.org/officeDocument/2006/docPropsVTypes"/>
</file>