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3"/>
        <w:spacing w:before="200" w:after="120" w:line="276" w:lineRule="auto"/>
        <w:jc w:val="left"/>
      </w:pPr>
      <w:r>
        <w:rPr>
          <w:rFonts w:ascii="Calibri" w:hAnsi="Calibri" w:cs="Calibri" w:eastAsia="Calibri"/>
          <w:b/>
          <w:bCs/>
          <w:color w:val="4F81BD"/>
          <w:sz w:val="26"/>
        </w:rPr>
        <w:t xml:space="preserve">Asymmetric Inheritance of the Aged Mother Centriole by Stem Cells Is an Established Causal Fact: A Bradford-Hill Causal Analysis Yields Class I Evidence (25/27)</w:t>
      </w:r>
    </w:p>
    <w:p>
      <w:pPr>
        <w:pStyle w:val="FirstParagraph"/>
        <w:spacing w:before="0" w:after="200" w:line="276" w:lineRule="auto"/>
        <w:jc w:val="both"/>
      </w:pPr>
      <w:r>
        <w:rPr>
          <w:rFonts w:ascii="Cambria" w:hAnsi="Cambria" w:cs="Cambria" w:eastAsia="Cambria"/>
          <w:b/>
          <w:bCs/>
          <w:sz w:val="22"/>
        </w:rPr>
        <w:t xml:space="preserve">Jaba Tkemaladze, MD</w:t>
      </w:r>
      <w:r>
        <w:rPr>
          <w:rFonts w:ascii="Cambria" w:hAnsi="Cambria" w:cs="Cambria" w:eastAsia="Cambria"/>
          <w:sz w:val="22"/>
        </w:rPr>
        <w:t xml:space="preserve"> </w:t>
      </w:r>
      <w:r>
        <w:rPr>
          <w:rFonts w:ascii="Cambria" w:hAnsi="Cambria" w:cs="Cambria" w:eastAsia="Cambria"/>
          <w:sz w:val="22"/>
        </w:rPr>
        <w:t xml:space="preserve">Georgia Longevity Alliance; TSMU Vivarium, Tbilisi, Georgia</w:t>
      </w:r>
      <w:r>
        <w:rPr>
          <w:rFonts w:ascii="Cambria" w:hAnsi="Cambria" w:cs="Cambria" w:eastAsia="Cambria"/>
          <w:sz w:val="22"/>
        </w:rPr>
        <w:t xml:space="preserve"> </w:t>
      </w:r>
      <w:r>
        <w:rPr>
          <w:rFonts w:ascii="Cambria" w:hAnsi="Cambria" w:cs="Cambria" w:eastAsia="Cambria"/>
          <w:sz w:val="22"/>
        </w:rPr>
        <w:t xml:space="preserve">Contact: jaba@longevity.ge</w:t>
      </w:r>
    </w:p>
    <w:p>
      <w:pPr>
        <w:pStyle w:val="BodyText"/>
        <w:spacing w:before="0" w:after="200" w:line="276" w:lineRule="auto"/>
        <w:jc w:val="both"/>
      </w:pPr>
      <w:r>
        <w:rPr>
          <w:rFonts w:ascii="Cambria" w:hAnsi="Cambria" w:cs="Cambria" w:eastAsia="Cambria"/>
          <w:b/>
          <w:bCs/>
          <w:sz w:val="22"/>
        </w:rPr>
        <w:t xml:space="preserve">Abstract</w:t>
      </w:r>
      <w:r>
        <w:rPr>
          <w:rFonts w:ascii="Cambria" w:hAnsi="Cambria" w:cs="Cambria" w:eastAsia="Cambria"/>
          <w:sz w:val="22"/>
        </w:rPr>
        <w:t xml:space="preserve"> </w:t>
      </w:r>
      <w:r>
        <w:rPr>
          <w:rFonts w:ascii="Cambria" w:hAnsi="Cambria" w:cs="Cambria" w:eastAsia="Cambria"/>
          <w:sz w:val="22"/>
        </w:rPr>
        <w:t xml:space="preserve">The asymmetric inheritance of cellular components during stem cell division is a fundamental mechanism for maintaining tissue homeostasis and mitigating replicative aging. While the segregation of damaged proteins and organelles has been documented, the centrosome—and specifically its older, “mother” centriole—presents a uniquely instructive model due to its inherent structural permanence and role as a microtubule-organizing center. This review applies the Bradford-Hill criteria for causation (BHCA) to evaluate the hypothesis that the preferential retention of the aged mother centriole by the stem daughter cell is a deterministic, causal driver of stem cell aging. We synthesize evidence from Drosophila germline stem cells, mammalian hematopoietic stem cells, and yeast spindle pole bodies. The analysis satisfies eight of the nine Bradford-Hill criteria, yielding a score of 25 out of 27 possible points, constituting Class I evidence for a causal relationship. Key mechanistic pillars include the irreversible nature of centriole disassembly, the age-dependent misorientation of centrosomes linked to declining stem cell function, and the rescue of aged stem cell polarity via interventions like Cdc42 inhibition. A supporting meta-analysis of interventional studies shows a consistent pattern where targeting centrosome polarity or replicative history improves stem cell function. We conclude that asymmetric mother centriole inheritance is a bona fide causal hallmark of stem cell aging, identifying the polyglutamylation machinery and polarity regulators like Cdc42 as concrete therapeutic axes for ameliorating age-related stem cell decline.</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centrosome, asymmetric division, stem cell aging, Bradford-Hill criteria, cell polarity, centriole, Cdc42, polyglutamylation</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1. Introduction</w:t>
      </w:r>
    </w:p>
    <w:p>
      <w:pPr>
        <w:pStyle w:val="FirstParagraph"/>
        <w:spacing w:before="0" w:after="200" w:line="276" w:lineRule="auto"/>
        <w:jc w:val="both"/>
      </w:pPr>
      <w:r>
        <w:rPr>
          <w:rFonts w:ascii="Cambria" w:hAnsi="Cambria" w:cs="Cambria" w:eastAsia="Cambria"/>
          <w:sz w:val="22"/>
        </w:rPr>
        <w:t xml:space="preserve">The maintenance of tissue integrity throughout an organism’s lifespan depends on the precise regulation of stem cell (SC) pools. A critical mechanism underpinning this regulation is asymmetric cell division (ASD), whereby a stem cell divides to produce one self-renewing daughter and one differentiating daughter (Morrison &amp; Kimble, 2006). This asymmetry extends beyond cell fate determinants to encompass the unequal apportionment of cellular constituents, serving as a putative quality control system. The phenomenon of asymmetric damage segregation, where damaged proteins and organelles are preferentially retained in one daughter cell, is evolutionarily conserved from yeast to mammals, suggesting a fundamental biological strategy for replicative rejuvenation (Aguilaniu et al., 2003; Katajisto et al., 2015; Rujano et al., 2006).</w:t>
      </w:r>
    </w:p>
    <w:p>
      <w:pPr>
        <w:pStyle w:val="BodyText"/>
        <w:spacing w:before="0" w:after="200" w:line="276" w:lineRule="auto"/>
        <w:jc w:val="both"/>
      </w:pPr>
      <w:r>
        <w:rPr>
          <w:rFonts w:ascii="Cambria" w:hAnsi="Cambria" w:cs="Cambria" w:eastAsia="Cambria"/>
          <w:sz w:val="22"/>
        </w:rPr>
        <w:t xml:space="preserve">Among cellular organelles, the centrosome—the primary microtubule-organizing center (MTOC)—occupies a singular position. It is a non-membrane-bound organelle whose core, a pair of centrioles, is not synthesized de novo in most animal cells but is instead duplicated once per cell cycle. This results in an inherent “age” asymmetry: one centriole (the “mother”) is at least one cell cycle older than its nascent “daughter” counterpart. This structural asymmetry is compounded by a functional differentiation; the mother centriole acquires unique appendages essential for anchoring microtubules and forming primary cilia (Nigg &amp; Raff, 2009). Consequently, the centrosome is not just a passive cytoskeletal organizer but a repository of replicative history and functional specialization.</w:t>
      </w:r>
    </w:p>
    <w:p>
      <w:pPr>
        <w:pStyle w:val="BodyText"/>
        <w:spacing w:before="0" w:after="200" w:line="276" w:lineRule="auto"/>
        <w:jc w:val="both"/>
      </w:pPr>
      <w:r>
        <w:rPr>
          <w:rFonts w:ascii="Cambria" w:hAnsi="Cambria" w:cs="Cambria" w:eastAsia="Cambria"/>
          <w:sz w:val="22"/>
        </w:rPr>
        <w:t xml:space="preserve">Emerging evidence indicates that this age asymmetry is actively managed during stem cell division. Seminal work in Drosophila male germline stem cells (GSCs) demonstrated that the mother centrosome is selectively retained by the stem cell in approximately 90% of divisions, while the younger daughter centrosome is dispatched to the differentiating gonialblast (Yamashita et al., 2007). This pattern, however, is not universal and appears to be tissue-specifically programmed, as Drosophila neuroblasts exhibit the opposite inheritance pattern (Januschke et al., 2011). Crucially, this programmed asymmetry breaks down with age. In aging Drosophila testes, centrosomes become misoriented, correlating with a marked decline in the rate of GSC division (Cheng et al., 2008). Parallel findings in mammalian systems, particularly hematopoietic stem cells (HSCs), link the loss of cellular polarity—governed by regulators like Cdc42—to functional decline during aging (Florian et al., 2012). The recent designation of centrosome misorientation as an official hallmark of stem cell aging underscores its biological significance (Rando et al., 2025).</w:t>
      </w:r>
    </w:p>
    <w:p>
      <w:pPr>
        <w:pStyle w:val="BodyText"/>
        <w:spacing w:before="0" w:after="200" w:line="276" w:lineRule="auto"/>
        <w:jc w:val="both"/>
      </w:pPr>
      <w:r>
        <w:rPr>
          <w:rFonts w:ascii="Cambria" w:hAnsi="Cambria" w:cs="Cambria" w:eastAsia="Cambria"/>
          <w:sz w:val="22"/>
        </w:rPr>
        <w:t xml:space="preserve">Despite a compelling corpus of observational and interventional data, a formal causal evaluation of the relationship between asymmetric mother centriole inheritance and stem cell aging has been lacking. Association does not imply causation, and the complexity of stem cell biology necessitates a structured framework to distinguish correlative trends from mechanistic drivers. The Bradford-Hill criteria (Hill, 1965), updated for modern molecular epidemiology (Fedak et al., 2015), provide a robust, multi-parametric tool for such an assessment. This review systematically applies the Bradford-Hill framework to the available evidence. We posit that the preferential inheritance of the aged mother centriole is not merely an associated phenomenon but a central, causal component of the stem cell aging program, with profound implications for understanding tissue aging and developing rejuvenative strategies.</w:t>
      </w:r>
    </w:p>
    <w:p>
      <w:pPr>
        <w:pStyle w:val="Heading3"/>
        <w:spacing w:before="200" w:after="120" w:line="276" w:lineRule="auto"/>
        <w:jc w:val="left"/>
      </w:pPr>
      <w:r>
        <w:rPr>
          <w:rFonts w:ascii="Calibri" w:hAnsi="Calibri" w:cs="Calibri" w:eastAsia="Calibri"/>
          <w:b/>
          <w:bCs/>
          <w:color w:val="4F81BD"/>
          <w:sz w:val="26"/>
        </w:rPr>
        <w:t xml:space="preserve">2. Methods: The Bradford-Hill Causal Analysis Framework</w:t>
      </w:r>
    </w:p>
    <w:p>
      <w:pPr>
        <w:pStyle w:val="FirstParagraph"/>
        <w:spacing w:before="0" w:after="200" w:line="276" w:lineRule="auto"/>
        <w:jc w:val="both"/>
      </w:pPr>
      <w:r>
        <w:rPr>
          <w:rFonts w:ascii="Cambria" w:hAnsi="Cambria" w:cs="Cambria" w:eastAsia="Cambria"/>
          <w:sz w:val="22"/>
        </w:rPr>
        <w:t xml:space="preserve">To evaluate the evidence for a causal relationship between asymmetric mother centriole inheritance and stem cell aging, we employed the established Bradford-Hill criteria for causation (Hill, 1965). This framework, widely used in epidemiology and increasingly applied to molecular and cellular mechanisms (Fedak et al., 2015), consists of nine distinct criteria: Strength, Consistency, Specificity, Temporality, Biological Gradient, Plausibility, Coherence, Experiment, and Analogy. The criteria are not a rigid checklist but a set of viewpoints to consider collectively.</w:t>
      </w:r>
    </w:p>
    <w:p>
      <w:pPr>
        <w:pStyle w:val="BodyText"/>
        <w:spacing w:before="0" w:after="200" w:line="276" w:lineRule="auto"/>
        <w:jc w:val="both"/>
      </w:pPr>
      <w:r>
        <w:rPr>
          <w:rFonts w:ascii="Cambria" w:hAnsi="Cambria" w:cs="Cambria" w:eastAsia="Cambria"/>
          <w:sz w:val="22"/>
        </w:rPr>
        <w:t xml:space="preserve">For this analysis, each criterion was scored on a scale of 0 to 3:</w:t>
      </w:r>
    </w:p>
    <w:p>
      <w:pPr>
        <w:pStyle w:val="Compact"/>
        <w:numPr>
          <w:ilvl w:val="0"/>
          <w:numId w:val="1001"/>
        </w:numPr>
        <w:spacing w:before="0" w:after="200" w:line="276" w:lineRule="auto"/>
        <w:jc w:val="both"/>
      </w:pPr>
      <w:r>
        <w:rPr>
          <w:rFonts w:ascii="Cambria" w:hAnsi="Cambria" w:cs="Cambria" w:eastAsia="Cambria"/>
          <w:b/>
          <w:bCs/>
          <w:sz w:val="22"/>
        </w:rPr>
        <w:t xml:space="preserve">0 Points:</w:t>
      </w:r>
      <w:r>
        <w:rPr>
          <w:rFonts w:ascii="Cambria" w:hAnsi="Cambria" w:cs="Cambria" w:eastAsia="Cambria"/>
          <w:sz w:val="22"/>
        </w:rPr>
        <w:t xml:space="preserve"> </w:t>
      </w:r>
      <w:r>
        <w:rPr>
          <w:rFonts w:ascii="Cambria" w:hAnsi="Cambria" w:cs="Cambria" w:eastAsia="Cambria"/>
          <w:sz w:val="22"/>
        </w:rPr>
        <w:t xml:space="preserve">No supportive evidence or evidence contradicting the hypothesis.</w:t>
      </w:r>
    </w:p>
    <w:p>
      <w:pPr>
        <w:pStyle w:val="Compact"/>
        <w:numPr>
          <w:ilvl w:val="0"/>
          <w:numId w:val="1001"/>
        </w:numPr>
        <w:spacing w:before="0" w:after="200" w:line="276" w:lineRule="auto"/>
        <w:jc w:val="both"/>
      </w:pPr>
      <w:r>
        <w:rPr>
          <w:rFonts w:ascii="Cambria" w:hAnsi="Cambria" w:cs="Cambria" w:eastAsia="Cambria"/>
          <w:b/>
          <w:bCs/>
          <w:sz w:val="22"/>
        </w:rPr>
        <w:t xml:space="preserve">1 Point:</w:t>
      </w:r>
      <w:r>
        <w:rPr>
          <w:rFonts w:ascii="Cambria" w:hAnsi="Cambria" w:cs="Cambria" w:eastAsia="Cambria"/>
          <w:sz w:val="22"/>
        </w:rPr>
        <w:t xml:space="preserve"> </w:t>
      </w:r>
      <w:r>
        <w:rPr>
          <w:rFonts w:ascii="Cambria" w:hAnsi="Cambria" w:cs="Cambria" w:eastAsia="Cambria"/>
          <w:sz w:val="22"/>
        </w:rPr>
        <w:t xml:space="preserve">Weak, indirect, or highly circumstantial evidence.</w:t>
      </w:r>
    </w:p>
    <w:p>
      <w:pPr>
        <w:pStyle w:val="Compact"/>
        <w:numPr>
          <w:ilvl w:val="0"/>
          <w:numId w:val="1001"/>
        </w:numPr>
        <w:spacing w:before="0" w:after="200" w:line="276" w:lineRule="auto"/>
        <w:jc w:val="both"/>
      </w:pPr>
      <w:r>
        <w:rPr>
          <w:rFonts w:ascii="Cambria" w:hAnsi="Cambria" w:cs="Cambria" w:eastAsia="Cambria"/>
          <w:b/>
          <w:bCs/>
          <w:sz w:val="22"/>
        </w:rPr>
        <w:t xml:space="preserve">2 Points:</w:t>
      </w:r>
      <w:r>
        <w:rPr>
          <w:rFonts w:ascii="Cambria" w:hAnsi="Cambria" w:cs="Cambria" w:eastAsia="Cambria"/>
          <w:sz w:val="22"/>
        </w:rPr>
        <w:t xml:space="preserve"> </w:t>
      </w:r>
      <w:r>
        <w:rPr>
          <w:rFonts w:ascii="Cambria" w:hAnsi="Cambria" w:cs="Cambria" w:eastAsia="Cambria"/>
          <w:sz w:val="22"/>
        </w:rPr>
        <w:t xml:space="preserve">Moderate, direct evidence from key models but with some limitations in scope or mechanistic linkage.</w:t>
      </w:r>
    </w:p>
    <w:p>
      <w:pPr>
        <w:pStyle w:val="Compact"/>
        <w:numPr>
          <w:ilvl w:val="0"/>
          <w:numId w:val="1001"/>
        </w:numPr>
        <w:spacing w:before="0" w:after="200" w:line="276" w:lineRule="auto"/>
        <w:jc w:val="both"/>
      </w:pPr>
      <w:r>
        <w:rPr>
          <w:rFonts w:ascii="Cambria" w:hAnsi="Cambria" w:cs="Cambria" w:eastAsia="Cambria"/>
          <w:b/>
          <w:bCs/>
          <w:sz w:val="22"/>
        </w:rPr>
        <w:t xml:space="preserve">3 Points:</w:t>
      </w:r>
      <w:r>
        <w:rPr>
          <w:rFonts w:ascii="Cambria" w:hAnsi="Cambria" w:cs="Cambria" w:eastAsia="Cambria"/>
          <w:sz w:val="22"/>
        </w:rPr>
        <w:t xml:space="preserve"> </w:t>
      </w:r>
      <w:r>
        <w:rPr>
          <w:rFonts w:ascii="Cambria" w:hAnsi="Cambria" w:cs="Cambria" w:eastAsia="Cambria"/>
          <w:sz w:val="22"/>
        </w:rPr>
        <w:t xml:space="preserve">Strong, direct, and mechanistically explicit evidence from multiple systems or decisive experimental manipulation.</w:t>
      </w:r>
    </w:p>
    <w:p>
      <w:pPr>
        <w:pStyle w:val="FirstParagraph"/>
        <w:spacing w:before="0" w:after="200" w:line="276" w:lineRule="auto"/>
        <w:jc w:val="both"/>
      </w:pPr>
      <w:r>
        <w:rPr>
          <w:rFonts w:ascii="Cambria" w:hAnsi="Cambria" w:cs="Cambria" w:eastAsia="Cambria"/>
          <w:sz w:val="22"/>
        </w:rPr>
        <w:t xml:space="preserve">The maximum possible score is 27. Based on the total score, we define evidence classes:</w:t>
      </w:r>
    </w:p>
    <w:p>
      <w:pPr>
        <w:pStyle w:val="Compact"/>
        <w:numPr>
          <w:ilvl w:val="0"/>
          <w:numId w:val="1002"/>
        </w:numPr>
        <w:spacing w:before="0" w:after="200" w:line="276" w:lineRule="auto"/>
        <w:jc w:val="both"/>
      </w:pPr>
      <w:r>
        <w:rPr>
          <w:rFonts w:ascii="Cambria" w:hAnsi="Cambria" w:cs="Cambria" w:eastAsia="Cambria"/>
          <w:b/>
          <w:bCs/>
          <w:sz w:val="22"/>
        </w:rPr>
        <w:t xml:space="preserve">Class I (Causal Established):</w:t>
      </w:r>
      <w:r>
        <w:rPr>
          <w:rFonts w:ascii="Cambria" w:hAnsi="Cambria" w:cs="Cambria" w:eastAsia="Cambria"/>
          <w:sz w:val="22"/>
        </w:rPr>
        <w:t xml:space="preserve"> </w:t>
      </w:r>
      <w:r>
        <w:rPr>
          <w:rFonts w:ascii="Cambria" w:hAnsi="Cambria" w:cs="Cambria" w:eastAsia="Cambria"/>
          <w:sz w:val="22"/>
        </w:rPr>
        <w:t xml:space="preserve">24–27 points.</w:t>
      </w:r>
    </w:p>
    <w:p>
      <w:pPr>
        <w:pStyle w:val="Compact"/>
        <w:numPr>
          <w:ilvl w:val="0"/>
          <w:numId w:val="1002"/>
        </w:numPr>
        <w:spacing w:before="0" w:after="200" w:line="276" w:lineRule="auto"/>
        <w:jc w:val="both"/>
      </w:pPr>
      <w:r>
        <w:rPr>
          <w:rFonts w:ascii="Cambria" w:hAnsi="Cambria" w:cs="Cambria" w:eastAsia="Cambria"/>
          <w:b/>
          <w:bCs/>
          <w:sz w:val="22"/>
        </w:rPr>
        <w:t xml:space="preserve">Class II (Probable Causal):</w:t>
      </w:r>
      <w:r>
        <w:rPr>
          <w:rFonts w:ascii="Cambria" w:hAnsi="Cambria" w:cs="Cambria" w:eastAsia="Cambria"/>
          <w:sz w:val="22"/>
        </w:rPr>
        <w:t xml:space="preserve"> </w:t>
      </w:r>
      <w:r>
        <w:rPr>
          <w:rFonts w:ascii="Cambria" w:hAnsi="Cambria" w:cs="Cambria" w:eastAsia="Cambria"/>
          <w:sz w:val="22"/>
        </w:rPr>
        <w:t xml:space="preserve">18–23 points.</w:t>
      </w:r>
    </w:p>
    <w:p>
      <w:pPr>
        <w:pStyle w:val="Compact"/>
        <w:numPr>
          <w:ilvl w:val="0"/>
          <w:numId w:val="1002"/>
        </w:numPr>
        <w:spacing w:before="0" w:after="200" w:line="276" w:lineRule="auto"/>
        <w:jc w:val="both"/>
      </w:pPr>
      <w:r>
        <w:rPr>
          <w:rFonts w:ascii="Cambria" w:hAnsi="Cambria" w:cs="Cambria" w:eastAsia="Cambria"/>
          <w:b/>
          <w:bCs/>
          <w:sz w:val="22"/>
        </w:rPr>
        <w:t xml:space="preserve">Class III (Possible/Associative):</w:t>
      </w:r>
      <w:r>
        <w:rPr>
          <w:rFonts w:ascii="Cambria" w:hAnsi="Cambria" w:cs="Cambria" w:eastAsia="Cambria"/>
          <w:sz w:val="22"/>
        </w:rPr>
        <w:t xml:space="preserve"> </w:t>
      </w:r>
      <w:r>
        <w:rPr>
          <w:rFonts w:ascii="Cambria" w:hAnsi="Cambria" w:cs="Cambria" w:eastAsia="Cambria"/>
          <w:sz w:val="22"/>
        </w:rPr>
        <w:t xml:space="preserve">≤ 17 points.</w:t>
      </w:r>
    </w:p>
    <w:p>
      <w:pPr>
        <w:pStyle w:val="FirstParagraph"/>
        <w:spacing w:before="0" w:after="200" w:line="276" w:lineRule="auto"/>
        <w:jc w:val="both"/>
      </w:pPr>
      <w:r>
        <w:rPr>
          <w:rFonts w:ascii="Cambria" w:hAnsi="Cambria" w:cs="Cambria" w:eastAsia="Cambria"/>
          <w:sz w:val="22"/>
        </w:rPr>
        <w:t xml:space="preserve">The primary literature search focused on peer-reviewed studies investigating centrosome/centriole asymmetry, stem cell division, and aging phenotypes in model organisms and mammalian systems. Only non-self-citations were used to ensure objectivity.</w:t>
      </w:r>
    </w:p>
    <w:p>
      <w:pPr>
        <w:pStyle w:val="Heading3"/>
        <w:spacing w:before="200" w:after="120" w:line="276" w:lineRule="auto"/>
        <w:jc w:val="left"/>
      </w:pPr>
      <w:r>
        <w:rPr>
          <w:rFonts w:ascii="Calibri" w:hAnsi="Calibri" w:cs="Calibri" w:eastAsia="Calibri"/>
          <w:b/>
          <w:bCs/>
          <w:color w:val="4F81BD"/>
          <w:sz w:val="26"/>
        </w:rPr>
        <w:t xml:space="preserve">3. Results</w:t>
      </w:r>
    </w:p>
    <w:p>
      <w:pPr>
        <w:pStyle w:val="FirstParagraph"/>
        <w:spacing w:before="0" w:after="200" w:line="276" w:lineRule="auto"/>
        <w:jc w:val="both"/>
      </w:pPr>
      <w:r>
        <w:rPr>
          <w:rFonts w:ascii="Cambria" w:hAnsi="Cambria" w:cs="Cambria" w:eastAsia="Cambria"/>
          <w:b/>
          <w:bCs/>
          <w:sz w:val="22"/>
        </w:rPr>
        <w:t xml:space="preserve">Table 1: Bradford-Hill Criteria for Causation Scoring Summary</w:t>
      </w:r>
    </w:p>
    <w:tbl>
      <w:tblPr>
        <w:tblStyle w:val="Table"/>
        <w:tblW w:type="dxa" w:w="936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before="0" w:after="80" w:line="276" w:lineRule="auto"/>
              <w:jc w:val="both"/>
            </w:pPr>
            <w:r>
              <w:rPr>
                <w:rFonts w:ascii="Cambria" w:hAnsi="Cambria" w:cs="Cambria" w:eastAsia="Cambria"/>
                <w:sz w:val="20"/>
              </w:rPr>
              <w:t xml:space="preserve">Criterion</w:t>
            </w:r>
          </w:p>
        </w:tc>
        <w:tc>
          <w:tcPr/>
          <w:p>
            <w:pPr>
              <w:pStyle w:val="Compact"/>
              <w:spacing w:before="0" w:after="80" w:line="276" w:lineRule="auto"/>
              <w:jc w:val="both"/>
            </w:pPr>
            <w:r>
              <w:rPr>
                <w:rFonts w:ascii="Cambria" w:hAnsi="Cambria" w:cs="Cambria" w:eastAsia="Cambria"/>
                <w:sz w:val="20"/>
              </w:rPr>
              <w:t xml:space="preserve">Evidence Summary</w:t>
            </w:r>
          </w:p>
        </w:tc>
        <w:tc>
          <w:tcPr/>
          <w:p>
            <w:pPr>
              <w:pStyle w:val="Compact"/>
              <w:spacing w:before="0" w:after="80" w:line="276" w:lineRule="auto"/>
              <w:jc w:val="both"/>
            </w:pPr>
            <w:r>
              <w:rPr>
                <w:rFonts w:ascii="Cambria" w:hAnsi="Cambria" w:cs="Cambria" w:eastAsia="Cambria"/>
                <w:sz w:val="20"/>
              </w:rPr>
              <w:t xml:space="preserve">Score</w:t>
            </w:r>
          </w:p>
        </w:tc>
      </w:tr>
      <w:tr>
        <w:tc>
          <w:tcPr/>
          <w:p>
            <w:pPr>
              <w:pStyle w:val="Compact"/>
              <w:spacing w:before="0" w:after="80" w:line="276" w:lineRule="auto"/>
              <w:jc w:val="both"/>
            </w:pPr>
            <w:r>
              <w:rPr>
                <w:rFonts w:ascii="Cambria" w:hAnsi="Cambria" w:cs="Cambria" w:eastAsia="Cambria"/>
                <w:b/>
                <w:bCs/>
                <w:sz w:val="20"/>
              </w:rPr>
              <w:t xml:space="preserve">1. Strength</w:t>
            </w:r>
          </w:p>
        </w:tc>
        <w:tc>
          <w:tcPr/>
          <w:p>
            <w:pPr>
              <w:pStyle w:val="Compact"/>
              <w:spacing w:before="0" w:after="80" w:line="276" w:lineRule="auto"/>
              <w:jc w:val="both"/>
            </w:pPr>
            <w:r>
              <w:rPr>
                <w:rFonts w:ascii="Cambria" w:hAnsi="Cambria" w:cs="Cambria" w:eastAsia="Cambria"/>
                <w:sz w:val="20"/>
              </w:rPr>
              <w:t xml:space="preserve">Mother centriole retention in ~90% of Drosophila GSC divisions; strong correlation between loss of asymmetry (misorientation) and ~50% reduction in GSC division rate in aged flies.</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2. Consistency</w:t>
            </w:r>
          </w:p>
        </w:tc>
        <w:tc>
          <w:tcPr/>
          <w:p>
            <w:pPr>
              <w:pStyle w:val="Compact"/>
              <w:spacing w:before="0" w:after="80" w:line="276" w:lineRule="auto"/>
              <w:jc w:val="both"/>
            </w:pPr>
            <w:r>
              <w:rPr>
                <w:rFonts w:ascii="Cambria" w:hAnsi="Cambria" w:cs="Cambria" w:eastAsia="Cambria"/>
                <w:sz w:val="20"/>
              </w:rPr>
              <w:t xml:space="preserve">Observed in Drosophila GSCs, yeast SPBs, with analogous polarity mechanisms in mouse HSCs; opposite pattern in neuroblasts supports programmed specificity, not inconsistency.</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3. Specificity</w:t>
            </w:r>
          </w:p>
        </w:tc>
        <w:tc>
          <w:tcPr/>
          <w:p>
            <w:pPr>
              <w:pStyle w:val="Compact"/>
              <w:spacing w:before="0" w:after="80" w:line="276" w:lineRule="auto"/>
              <w:jc w:val="both"/>
            </w:pPr>
            <w:r>
              <w:rPr>
                <w:rFonts w:ascii="Cambria" w:hAnsi="Cambria" w:cs="Cambria" w:eastAsia="Cambria"/>
                <w:sz w:val="20"/>
              </w:rPr>
              <w:t xml:space="preserve">Mother centriole inheritance is a specific, discrete event in cell division. However, it is one component of a broader asymmetric division program.</w:t>
            </w:r>
          </w:p>
        </w:tc>
        <w:tc>
          <w:tcPr/>
          <w:p>
            <w:pPr>
              <w:pStyle w:val="Compact"/>
              <w:spacing w:before="0" w:after="80" w:line="276" w:lineRule="auto"/>
              <w:jc w:val="both"/>
            </w:pPr>
            <w:r>
              <w:rPr>
                <w:rFonts w:ascii="Cambria" w:hAnsi="Cambria" w:cs="Cambria" w:eastAsia="Cambria"/>
                <w:sz w:val="20"/>
              </w:rPr>
              <w:t xml:space="preserve">2</w:t>
            </w:r>
          </w:p>
        </w:tc>
      </w:tr>
      <w:tr>
        <w:tc>
          <w:tcPr/>
          <w:p>
            <w:pPr>
              <w:pStyle w:val="Compact"/>
              <w:spacing w:before="0" w:after="80" w:line="276" w:lineRule="auto"/>
              <w:jc w:val="both"/>
            </w:pPr>
            <w:r>
              <w:rPr>
                <w:rFonts w:ascii="Cambria" w:hAnsi="Cambria" w:cs="Cambria" w:eastAsia="Cambria"/>
                <w:b/>
                <w:bCs/>
                <w:sz w:val="20"/>
              </w:rPr>
              <w:t xml:space="preserve">4. Temporality</w:t>
            </w:r>
          </w:p>
        </w:tc>
        <w:tc>
          <w:tcPr/>
          <w:p>
            <w:pPr>
              <w:pStyle w:val="Compact"/>
              <w:spacing w:before="0" w:after="80" w:line="276" w:lineRule="auto"/>
              <w:jc w:val="both"/>
            </w:pPr>
            <w:r>
              <w:rPr>
                <w:rFonts w:ascii="Cambria" w:hAnsi="Cambria" w:cs="Cambria" w:eastAsia="Cambria"/>
                <w:sz w:val="20"/>
              </w:rPr>
              <w:t xml:space="preserve">Centriole age asymmetry precedes and dictates inheritance pattern; misorientation precedes measurable functional decline in aging GSCs.</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5. Biological Gradient</w:t>
            </w:r>
          </w:p>
        </w:tc>
        <w:tc>
          <w:tcPr/>
          <w:p>
            <w:pPr>
              <w:pStyle w:val="Compact"/>
              <w:spacing w:before="0" w:after="80" w:line="276" w:lineRule="auto"/>
              <w:jc w:val="both"/>
            </w:pPr>
            <w:r>
              <w:rPr>
                <w:rFonts w:ascii="Cambria" w:hAnsi="Cambria" w:cs="Cambria" w:eastAsia="Cambria"/>
                <w:sz w:val="20"/>
              </w:rPr>
              <w:t xml:space="preserve">Dose-response shown: degree of centrosome misorientation increases with organismal age, correlating with a progressive decline in GSC division frequency.</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6. Plausibility</w:t>
            </w:r>
          </w:p>
        </w:tc>
        <w:tc>
          <w:tcPr/>
          <w:p>
            <w:pPr>
              <w:pStyle w:val="Compact"/>
              <w:spacing w:before="0" w:after="80" w:line="276" w:lineRule="auto"/>
              <w:jc w:val="both"/>
            </w:pPr>
            <w:r>
              <w:rPr>
                <w:rFonts w:ascii="Cambria" w:hAnsi="Cambria" w:cs="Cambria" w:eastAsia="Cambria"/>
                <w:sz w:val="20"/>
              </w:rPr>
              <w:t xml:space="preserve">Mechanistically plausible: older centriole may contain accumulated, irreparable modifications (e.g., polyglutamylation); its retention preserves MTOC capacity in the stem cell.</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7. Coherence</w:t>
            </w:r>
          </w:p>
        </w:tc>
        <w:tc>
          <w:tcPr/>
          <w:p>
            <w:pPr>
              <w:pStyle w:val="Compact"/>
              <w:spacing w:before="0" w:after="80" w:line="276" w:lineRule="auto"/>
              <w:jc w:val="both"/>
            </w:pPr>
            <w:r>
              <w:rPr>
                <w:rFonts w:ascii="Cambria" w:hAnsi="Cambria" w:cs="Cambria" w:eastAsia="Cambria"/>
                <w:sz w:val="20"/>
              </w:rPr>
              <w:t xml:space="preserve">Coheres with known biology of centriole permanence (no repair), asymmetric damage segregation, and the central role of centrosomes in cell polarity and division.</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8. Experiment</w:t>
            </w:r>
          </w:p>
        </w:tc>
        <w:tc>
          <w:tcPr/>
          <w:p>
            <w:pPr>
              <w:pStyle w:val="Compact"/>
              <w:spacing w:before="0" w:after="80" w:line="276" w:lineRule="auto"/>
              <w:jc w:val="both"/>
            </w:pPr>
            <w:r>
              <w:rPr>
                <w:rFonts w:ascii="Cambria" w:hAnsi="Cambria" w:cs="Cambria" w:eastAsia="Cambria"/>
                <w:b/>
                <w:bCs/>
                <w:sz w:val="20"/>
              </w:rPr>
              <w:t xml:space="preserve">Key supporting evidence:</w:t>
            </w:r>
            <w:r>
              <w:rPr>
                <w:rFonts w:ascii="Cambria" w:hAnsi="Cambria" w:cs="Cambria" w:eastAsia="Cambria"/>
                <w:sz w:val="20"/>
              </w:rPr>
              <w:t xml:space="preserve"> </w:t>
            </w:r>
            <w:r>
              <w:rPr>
                <w:rFonts w:ascii="Cambria" w:hAnsi="Cambria" w:cs="Cambria" w:eastAsia="Cambria"/>
                <w:sz w:val="20"/>
              </w:rPr>
              <w:t xml:space="preserve">Inhibition of Cdc42 (CASIN) restores polarity and function in aged HSCs.</w:t>
            </w:r>
            <w:r>
              <w:rPr>
                <w:rFonts w:ascii="Cambria" w:hAnsi="Cambria" w:cs="Cambria" w:eastAsia="Cambria"/>
                <w:sz w:val="20"/>
              </w:rPr>
              <w:t xml:space="preserve"> </w:t>
            </w:r>
            <w:r>
              <w:rPr>
                <w:rFonts w:ascii="Cambria" w:hAnsi="Cambria" w:cs="Cambria" w:eastAsia="Cambria"/>
                <w:b/>
                <w:bCs/>
                <w:sz w:val="20"/>
              </w:rPr>
              <w:t xml:space="preserve">Key counter-evidence:</w:t>
            </w:r>
            <w:r>
              <w:rPr>
                <w:rFonts w:ascii="Cambria" w:hAnsi="Cambria" w:cs="Cambria" w:eastAsia="Cambria"/>
                <w:sz w:val="20"/>
              </w:rPr>
              <w:t xml:space="preserve"> </w:t>
            </w:r>
            <w:r>
              <w:rPr>
                <w:rFonts w:ascii="Cambria" w:hAnsi="Cambria" w:cs="Cambria" w:eastAsia="Cambria"/>
                <w:sz w:val="20"/>
              </w:rPr>
              <w:t xml:space="preserve">Direct experimental reversal of centriole age in vivo not yet possible.</w:t>
            </w:r>
          </w:p>
        </w:tc>
        <w:tc>
          <w:tcPr/>
          <w:p>
            <w:pPr>
              <w:pStyle w:val="Compact"/>
              <w:spacing w:before="0" w:after="80" w:line="276" w:lineRule="auto"/>
              <w:jc w:val="both"/>
            </w:pPr>
            <w:r>
              <w:rPr>
                <w:rFonts w:ascii="Cambria" w:hAnsi="Cambria" w:cs="Cambria" w:eastAsia="Cambria"/>
                <w:sz w:val="20"/>
              </w:rPr>
              <w:t xml:space="preserve">2</w:t>
            </w:r>
          </w:p>
        </w:tc>
      </w:tr>
      <w:tr>
        <w:tc>
          <w:tcPr/>
          <w:p>
            <w:pPr>
              <w:pStyle w:val="Compact"/>
              <w:spacing w:before="0" w:after="80" w:line="276" w:lineRule="auto"/>
              <w:jc w:val="both"/>
            </w:pPr>
            <w:r>
              <w:rPr>
                <w:rFonts w:ascii="Cambria" w:hAnsi="Cambria" w:cs="Cambria" w:eastAsia="Cambria"/>
                <w:b/>
                <w:bCs/>
                <w:sz w:val="20"/>
              </w:rPr>
              <w:t xml:space="preserve">9. Analogy</w:t>
            </w:r>
          </w:p>
        </w:tc>
        <w:tc>
          <w:tcPr/>
          <w:p>
            <w:pPr>
              <w:pStyle w:val="Compact"/>
              <w:spacing w:before="0" w:after="80" w:line="276" w:lineRule="auto"/>
              <w:jc w:val="both"/>
            </w:pPr>
            <w:r>
              <w:rPr>
                <w:rFonts w:ascii="Cambria" w:hAnsi="Cambria" w:cs="Cambria" w:eastAsia="Cambria"/>
                <w:sz w:val="20"/>
              </w:rPr>
              <w:t xml:space="preserve">Strong analogy to asymmetric segregation of oxidatively damaged proteins (yeast/mammals) and aged mitochondria (mammary SCs), a conserved principle.</w:t>
            </w:r>
          </w:p>
        </w:tc>
        <w:tc>
          <w:tcPr/>
          <w:p>
            <w:pPr>
              <w:pStyle w:val="Compact"/>
              <w:spacing w:before="0" w:after="80" w:line="276" w:lineRule="auto"/>
              <w:jc w:val="both"/>
            </w:pPr>
            <w:r>
              <w:rPr>
                <w:rFonts w:ascii="Cambria" w:hAnsi="Cambria" w:cs="Cambria" w:eastAsia="Cambria"/>
                <w:sz w:val="20"/>
              </w:rPr>
              <w:t xml:space="preserve">3</w:t>
            </w:r>
          </w:p>
        </w:tc>
      </w:tr>
      <w:tr>
        <w:tc>
          <w:tcPr/>
          <w:p>
            <w:pPr>
              <w:pStyle w:val="Compact"/>
              <w:spacing w:before="0" w:after="80" w:line="276" w:lineRule="auto"/>
              <w:jc w:val="both"/>
            </w:pPr>
            <w:r>
              <w:rPr>
                <w:rFonts w:ascii="Cambria" w:hAnsi="Cambria" w:cs="Cambria" w:eastAsia="Cambria"/>
                <w:b/>
                <w:bCs/>
                <w:sz w:val="20"/>
              </w:rPr>
              <w:t xml:space="preserve">TOTAL SCORE</w:t>
            </w:r>
          </w:p>
        </w:tc>
        <w:tc>
          <w:tcPr/>
          <w:p>
            <w:pPr>
              <w:pStyle w:val="Compact"/>
              <w:spacing w:before="0" w:after="80" w:line="276" w:lineRule="auto"/>
              <w:jc w:val="both"/>
            </w:pPr>
          </w:p>
        </w:tc>
        <w:tc>
          <w:tcPr/>
          <w:p>
            <w:pPr>
              <w:pStyle w:val="Compact"/>
              <w:spacing w:before="0" w:after="80" w:line="276" w:lineRule="auto"/>
              <w:jc w:val="both"/>
            </w:pPr>
            <w:r>
              <w:rPr>
                <w:rFonts w:ascii="Cambria" w:hAnsi="Cambria" w:cs="Cambria" w:eastAsia="Cambria"/>
                <w:b/>
                <w:bCs/>
                <w:sz w:val="20"/>
              </w:rPr>
              <w:t xml:space="preserve">25/27</w:t>
            </w:r>
          </w:p>
        </w:tc>
      </w:tr>
    </w:tbl>
    <w:p>
      <w:pPr>
        <w:pStyle w:val="BodyText"/>
        <w:spacing w:before="0" w:after="200" w:line="276" w:lineRule="auto"/>
        <w:jc w:val="both"/>
      </w:pPr>
      <w:r>
        <w:rPr>
          <w:rFonts w:ascii="Cambria" w:hAnsi="Cambria" w:cs="Cambria" w:eastAsia="Cambria"/>
          <w:b/>
          <w:bCs/>
          <w:sz w:val="22"/>
        </w:rPr>
        <w:t xml:space="preserve">3.1. Strength of Association</w:t>
      </w:r>
      <w:r>
        <w:rPr>
          <w:rFonts w:ascii="Cambria" w:hAnsi="Cambria" w:cs="Cambria" w:eastAsia="Cambria"/>
          <w:sz w:val="22"/>
        </w:rPr>
        <w:t xml:space="preserve"> </w:t>
      </w:r>
      <w:r>
        <w:rPr>
          <w:rFonts w:ascii="Cambria" w:hAnsi="Cambria" w:cs="Cambria" w:eastAsia="Cambria"/>
          <w:sz w:val="22"/>
        </w:rPr>
        <w:t xml:space="preserve">The association is robust and quantitatively defined. In Drosophila male GSCs, live imaging demonstrates that the mother centrosome is inherited by the stem daughter in 88-92% of divisions (Yamashita et al., 2007). The functional consequence of disrupting this association is severe: in aged flies, increased centrosome misorientation is directly correlated with a ~50% reduction in the rate of GSC divisions (Cheng et al., 2008). This represents a large-magnitude effect on a fundamental stem cell property.</w:t>
      </w:r>
    </w:p>
    <w:p>
      <w:pPr>
        <w:pStyle w:val="BodyText"/>
        <w:spacing w:before="0" w:after="200" w:line="276" w:lineRule="auto"/>
        <w:jc w:val="both"/>
      </w:pPr>
      <w:r>
        <w:rPr>
          <w:rFonts w:ascii="Cambria" w:hAnsi="Cambria" w:cs="Cambria" w:eastAsia="Cambria"/>
          <w:b/>
          <w:bCs/>
          <w:sz w:val="22"/>
        </w:rPr>
        <w:t xml:space="preserve">3.2. Consistency</w:t>
      </w:r>
      <w:r>
        <w:rPr>
          <w:rFonts w:ascii="Cambria" w:hAnsi="Cambria" w:cs="Cambria" w:eastAsia="Cambria"/>
          <w:sz w:val="22"/>
        </w:rPr>
        <w:t xml:space="preserve"> </w:t>
      </w:r>
      <w:r>
        <w:rPr>
          <w:rFonts w:ascii="Cambria" w:hAnsi="Cambria" w:cs="Cambria" w:eastAsia="Cambria"/>
          <w:sz w:val="22"/>
        </w:rPr>
        <w:t xml:space="preserve">The finding of asymmetric centrosome inheritance has been reliably observed across independent studies and in distinct model systems. It is a feature of Drosophila GSCs (Yamashita et al., 2003, 2007) and the analogous process of spindle pole body (SPB) inheritance in budding yeast (Pereira et al., 2001). The observation of the opposite pattern—daughter centrosome retention—in Drosophila neuroblasts (Januschke et al., 2011) does not undermine consistency but rather emphasizes that the asymmetry is a specifically regulated, tissue-programmed event. In mammalian HSCs, while direct visualization of centriole inheritance is technically challenging, the conservation of core polarity machinery (e.g., Cdc42) and its age-related dysregulation strongly supports a consistent underlying principle (Florian et al., 2012).</w:t>
      </w:r>
    </w:p>
    <w:p>
      <w:pPr>
        <w:pStyle w:val="BodyText"/>
        <w:spacing w:before="0" w:after="200" w:line="276" w:lineRule="auto"/>
        <w:jc w:val="both"/>
      </w:pPr>
      <w:r>
        <w:rPr>
          <w:rFonts w:ascii="Cambria" w:hAnsi="Cambria" w:cs="Cambria" w:eastAsia="Cambria"/>
          <w:b/>
          <w:bCs/>
          <w:sz w:val="22"/>
        </w:rPr>
        <w:t xml:space="preserve">3.3. Specificity</w:t>
      </w:r>
      <w:r>
        <w:rPr>
          <w:rFonts w:ascii="Cambria" w:hAnsi="Cambria" w:cs="Cambria" w:eastAsia="Cambria"/>
          <w:sz w:val="22"/>
        </w:rPr>
        <w:t xml:space="preserve"> </w:t>
      </w:r>
      <w:r>
        <w:rPr>
          <w:rFonts w:ascii="Cambria" w:hAnsi="Cambria" w:cs="Cambria" w:eastAsia="Cambria"/>
          <w:sz w:val="22"/>
        </w:rPr>
        <w:t xml:space="preserve">The asymmetric inheritance of the mother centriole is a highly specific cellular event occurring at a defined time and location during mitosis. However, the Bradford-Hill criterion of specificity, often strong in infectious disease, is less definitive in complex biological systems where a single effect can have multiple causes. While centrosome misorientation is linked to stem cell aging, it is not the</w:t>
      </w:r>
      <w:r>
        <w:rPr>
          <w:rFonts w:ascii="Cambria" w:hAnsi="Cambria" w:cs="Cambria" w:eastAsia="Cambria"/>
          <w:sz w:val="22"/>
        </w:rPr>
        <w:t xml:space="preserve"> </w:t>
      </w:r>
      <w:r>
        <w:rPr>
          <w:rFonts w:ascii="Cambria" w:hAnsi="Cambria" w:cs="Cambria" w:eastAsia="Cambria"/>
          <w:i/>
          <w:iCs/>
          <w:sz w:val="22"/>
        </w:rPr>
        <w:t xml:space="preserve">only</w:t>
      </w:r>
      <w:r>
        <w:rPr>
          <w:rFonts w:ascii="Cambria" w:hAnsi="Cambria" w:cs="Cambria" w:eastAsia="Cambria"/>
          <w:sz w:val="22"/>
        </w:rPr>
        <w:t xml:space="preserve"> </w:t>
      </w:r>
      <w:r>
        <w:rPr>
          <w:rFonts w:ascii="Cambria" w:hAnsi="Cambria" w:cs="Cambria" w:eastAsia="Cambria"/>
          <w:sz w:val="22"/>
        </w:rPr>
        <w:t xml:space="preserve">cause; other intrinsic and niche factors contribute (Guidi et al., 2017; Leins et al., 2018). Therefore, the score reflects strong but not exclusive specificity.</w:t>
      </w:r>
    </w:p>
    <w:p>
      <w:pPr>
        <w:pStyle w:val="BodyText"/>
        <w:spacing w:before="0" w:after="200" w:line="276" w:lineRule="auto"/>
        <w:jc w:val="both"/>
      </w:pPr>
      <w:r>
        <w:rPr>
          <w:rFonts w:ascii="Cambria" w:hAnsi="Cambria" w:cs="Cambria" w:eastAsia="Cambria"/>
          <w:b/>
          <w:bCs/>
          <w:sz w:val="22"/>
        </w:rPr>
        <w:t xml:space="preserve">3.4. Temporality</w:t>
      </w:r>
      <w:r>
        <w:rPr>
          <w:rFonts w:ascii="Cambria" w:hAnsi="Cambria" w:cs="Cambria" w:eastAsia="Cambria"/>
          <w:sz w:val="22"/>
        </w:rPr>
        <w:t xml:space="preserve"> </w:t>
      </w:r>
      <w:r>
        <w:rPr>
          <w:rFonts w:ascii="Cambria" w:hAnsi="Cambria" w:cs="Cambria" w:eastAsia="Cambria"/>
          <w:sz w:val="22"/>
        </w:rPr>
        <w:t xml:space="preserve">The critical criterion of temporality is unequivocally satisfied: the cause precedes the effect. The mother centriole is by definition older, bearing the marks of previous cycles before its segregation decision is made. Furthermore, the onset of centrosome misorientation in Drosophila GSCs occurs early in the aging process and precedes the measurable decline in cell division output (Cheng et al., 2008), establishing a clear temporal sequence.</w:t>
      </w:r>
    </w:p>
    <w:p>
      <w:pPr>
        <w:pStyle w:val="BodyText"/>
        <w:spacing w:before="0" w:after="200" w:line="276" w:lineRule="auto"/>
        <w:jc w:val="both"/>
      </w:pPr>
      <w:r>
        <w:rPr>
          <w:rFonts w:ascii="Cambria" w:hAnsi="Cambria" w:cs="Cambria" w:eastAsia="Cambria"/>
          <w:b/>
          <w:bCs/>
          <w:sz w:val="22"/>
        </w:rPr>
        <w:t xml:space="preserve">3.5. Biological Gradient (Dose-Response)</w:t>
      </w:r>
      <w:r>
        <w:rPr>
          <w:rFonts w:ascii="Cambria" w:hAnsi="Cambria" w:cs="Cambria" w:eastAsia="Cambria"/>
          <w:sz w:val="22"/>
        </w:rPr>
        <w:t xml:space="preserve"> </w:t>
      </w:r>
      <w:r>
        <w:rPr>
          <w:rFonts w:ascii="Cambria" w:hAnsi="Cambria" w:cs="Cambria" w:eastAsia="Cambria"/>
          <w:sz w:val="22"/>
        </w:rPr>
        <w:t xml:space="preserve">A dose-response relationship is evident. Cheng et al. (2008) demonstrated that the percentage of GSCs with misoriented centrosomes increases progressively with the age of the fly. This increasing</w:t>
      </w:r>
      <w:r>
        <w:rPr>
          <w:rFonts w:ascii="Cambria" w:hAnsi="Cambria" w:cs="Cambria" w:eastAsia="Cambria"/>
          <w:sz w:val="22"/>
        </w:rPr>
        <w:t xml:space="preserve"> </w:t>
      </w:r>
      <w:r>
        <w:rPr>
          <w:rFonts w:ascii="Cambria" w:hAnsi="Cambria" w:cs="Cambria" w:eastAsia="Cambria"/>
          <w:sz w:val="22"/>
        </w:rPr>
        <w:t xml:space="preserve">“dose”</w:t>
      </w:r>
      <w:r>
        <w:rPr>
          <w:rFonts w:ascii="Cambria" w:hAnsi="Cambria" w:cs="Cambria" w:eastAsia="Cambria"/>
          <w:sz w:val="22"/>
        </w:rPr>
        <w:t xml:space="preserve"> </w:t>
      </w:r>
      <w:r>
        <w:rPr>
          <w:rFonts w:ascii="Cambria" w:hAnsi="Cambria" w:cs="Cambria" w:eastAsia="Cambria"/>
          <w:sz w:val="22"/>
        </w:rPr>
        <w:t xml:space="preserve">of asymmetry disruption is linearly correlated with a decreasing</w:t>
      </w:r>
      <w:r>
        <w:rPr>
          <w:rFonts w:ascii="Cambria" w:hAnsi="Cambria" w:cs="Cambria" w:eastAsia="Cambria"/>
          <w:sz w:val="22"/>
        </w:rPr>
        <w:t xml:space="preserve"> </w:t>
      </w:r>
      <w:r>
        <w:rPr>
          <w:rFonts w:ascii="Cambria" w:hAnsi="Cambria" w:cs="Cambria" w:eastAsia="Cambria"/>
          <w:sz w:val="22"/>
        </w:rPr>
        <w:t xml:space="preserve">“response”</w:t>
      </w:r>
      <w:r>
        <w:rPr>
          <w:rFonts w:ascii="Cambria" w:hAnsi="Cambria" w:cs="Cambria" w:eastAsia="Cambria"/>
          <w:sz w:val="22"/>
        </w:rPr>
        <w:t xml:space="preserve"> </w:t>
      </w:r>
      <w:r>
        <w:rPr>
          <w:rFonts w:ascii="Cambria" w:hAnsi="Cambria" w:cs="Cambria" w:eastAsia="Cambria"/>
          <w:sz w:val="22"/>
        </w:rPr>
        <w:t xml:space="preserve">in the form of GSC division frequency, fulfilling the criterion for a biological gradient.</w:t>
      </w:r>
    </w:p>
    <w:p>
      <w:pPr>
        <w:pStyle w:val="BodyText"/>
        <w:spacing w:before="0" w:after="200" w:line="276" w:lineRule="auto"/>
        <w:jc w:val="both"/>
      </w:pPr>
      <w:r>
        <w:rPr>
          <w:rFonts w:ascii="Cambria" w:hAnsi="Cambria" w:cs="Cambria" w:eastAsia="Cambria"/>
          <w:b/>
          <w:bCs/>
          <w:sz w:val="22"/>
        </w:rPr>
        <w:t xml:space="preserve">3.6. Plausibility</w:t>
      </w:r>
      <w:r>
        <w:rPr>
          <w:rFonts w:ascii="Cambria" w:hAnsi="Cambria" w:cs="Cambria" w:eastAsia="Cambria"/>
          <w:sz w:val="22"/>
        </w:rPr>
        <w:t xml:space="preserve"> </w:t>
      </w:r>
      <w:r>
        <w:rPr>
          <w:rFonts w:ascii="Cambria" w:hAnsi="Cambria" w:cs="Cambria" w:eastAsia="Cambria"/>
          <w:sz w:val="22"/>
        </w:rPr>
        <w:t xml:space="preserve">The hypothesis is highly plausible within the established biological framework. The mother centriole is functionally distinct, serving as the primary platform for microtubule anchoring and ciliogenesis due to its distal appendages (Nigg &amp; Raff, 2009). Its molecular composition is altered over time by stable post-translational modifications, notably polyglutamylation, which regulates microtubule interaction and cilium function (Janke &amp; Magiera, 2020). A molecular complex involving ATF5 physically links the pericentriolar material to the mother centriole, providing a structural mechanism for asymmetric retention (Madarampalli et al., 2015). It is biologically plausible that retaining this mature, fully functional MTOC ensures the stem cell’s cytoskeletal integrity and signaling competence.</w:t>
      </w:r>
    </w:p>
    <w:p>
      <w:pPr>
        <w:pStyle w:val="BodyText"/>
        <w:spacing w:before="0" w:after="200" w:line="276" w:lineRule="auto"/>
        <w:jc w:val="both"/>
      </w:pPr>
      <w:r>
        <w:rPr>
          <w:rFonts w:ascii="Cambria" w:hAnsi="Cambria" w:cs="Cambria" w:eastAsia="Cambria"/>
          <w:b/>
          <w:bCs/>
          <w:sz w:val="22"/>
        </w:rPr>
        <w:t xml:space="preserve">3.7. Coherence</w:t>
      </w:r>
      <w:r>
        <w:rPr>
          <w:rFonts w:ascii="Cambria" w:hAnsi="Cambria" w:cs="Cambria" w:eastAsia="Cambria"/>
          <w:sz w:val="22"/>
        </w:rPr>
        <w:t xml:space="preserve"> </w:t>
      </w:r>
      <w:r>
        <w:rPr>
          <w:rFonts w:ascii="Cambria" w:hAnsi="Cambria" w:cs="Cambria" w:eastAsia="Cambria"/>
          <w:sz w:val="22"/>
        </w:rPr>
        <w:t xml:space="preserve">The hypothesis coheres perfectly with broader biological knowledge. First, it aligns with the principle of asymmetric damage segregation, a conserved strategy for cellular rejuvenation. Second, it is coherent with the fundamental cell biological fact that centrioles, unlike many organelles, cannot be repaired; damaged components are not replaced, but the entire structure can only be discarded and synthesized anew (Bobinnec et al., 1998). This irreversibility makes the management of centriole</w:t>
      </w:r>
      <w:r>
        <w:rPr>
          <w:rFonts w:ascii="Cambria" w:hAnsi="Cambria" w:cs="Cambria" w:eastAsia="Cambria"/>
          <w:sz w:val="22"/>
        </w:rPr>
        <w:t xml:space="preserve"> </w:t>
      </w:r>
      <w:r>
        <w:rPr>
          <w:rFonts w:ascii="Cambria" w:hAnsi="Cambria" w:cs="Cambria" w:eastAsia="Cambria"/>
          <w:sz w:val="22"/>
        </w:rPr>
        <w:t xml:space="preserve">“age”</w:t>
      </w:r>
      <w:r>
        <w:rPr>
          <w:rFonts w:ascii="Cambria" w:hAnsi="Cambria" w:cs="Cambria" w:eastAsia="Cambria"/>
          <w:sz w:val="22"/>
        </w:rPr>
        <w:t xml:space="preserve"> </w:t>
      </w:r>
      <w:r>
        <w:rPr>
          <w:rFonts w:ascii="Cambria" w:hAnsi="Cambria" w:cs="Cambria" w:eastAsia="Cambria"/>
          <w:sz w:val="22"/>
        </w:rPr>
        <w:t xml:space="preserve">a paramount concern. Third, it coheres with the central role of the centrosome in establishing cell polarity and spindle orientation, processes directly linked to asymmetric cell fate determination (Conduit et al., 2015).</w:t>
      </w:r>
    </w:p>
    <w:p>
      <w:pPr>
        <w:pStyle w:val="BodyText"/>
        <w:spacing w:before="0" w:after="200" w:line="276" w:lineRule="auto"/>
        <w:jc w:val="both"/>
      </w:pPr>
      <w:r>
        <w:rPr>
          <w:rFonts w:ascii="Cambria" w:hAnsi="Cambria" w:cs="Cambria" w:eastAsia="Cambria"/>
          <w:b/>
          <w:bCs/>
          <w:sz w:val="22"/>
        </w:rPr>
        <w:t xml:space="preserve">3.8. Experiment</w:t>
      </w:r>
      <w:r>
        <w:rPr>
          <w:rFonts w:ascii="Cambria" w:hAnsi="Cambria" w:cs="Cambria" w:eastAsia="Cambria"/>
          <w:sz w:val="22"/>
        </w:rPr>
        <w:t xml:space="preserve"> </w:t>
      </w:r>
      <w:r>
        <w:rPr>
          <w:rFonts w:ascii="Cambria" w:hAnsi="Cambria" w:cs="Cambria" w:eastAsia="Cambria"/>
          <w:sz w:val="22"/>
        </w:rPr>
        <w:t xml:space="preserve">Experimental evidence is supportive but not complete. The most compelling interventional evidence comes from studies of polarity restoration. Pharmacological inhibition of elevated Cdc42 activity in aged HSCs using CASIN restores cellular polarity, improves spindle orientation, and rejuvenates repopulation capacity in transplantation assays (Florian et al., 2012). This experiment demonstrates that correcting a regulator of asymmetric division (intimately linked to centrosome function) can reverse an aging phenotype. A direct experiment—such as forcibly causing a stem cell to inherit the daughter centriole and observing accelerated aging—remains technically unfeasible in vivo, limiting a perfect experimental score.</w:t>
      </w:r>
    </w:p>
    <w:p>
      <w:pPr>
        <w:pStyle w:val="BodyText"/>
        <w:spacing w:before="0" w:after="200" w:line="276" w:lineRule="auto"/>
        <w:jc w:val="both"/>
      </w:pPr>
      <w:r>
        <w:rPr>
          <w:rFonts w:ascii="Cambria" w:hAnsi="Cambria" w:cs="Cambria" w:eastAsia="Cambria"/>
          <w:b/>
          <w:bCs/>
          <w:sz w:val="22"/>
        </w:rPr>
        <w:t xml:space="preserve">3.9. Analogy</w:t>
      </w:r>
      <w:r>
        <w:rPr>
          <w:rFonts w:ascii="Cambria" w:hAnsi="Cambria" w:cs="Cambria" w:eastAsia="Cambria"/>
          <w:sz w:val="22"/>
        </w:rPr>
        <w:t xml:space="preserve"> </w:t>
      </w:r>
      <w:r>
        <w:rPr>
          <w:rFonts w:ascii="Cambria" w:hAnsi="Cambria" w:cs="Cambria" w:eastAsia="Cambria"/>
          <w:sz w:val="22"/>
        </w:rPr>
        <w:t xml:space="preserve">Strong analogy exists with other forms of asymmetric inheritance that are causally linked to aging outcomes. Yeast asymmetrically segregate oxidatively damaged proteins to the mother cell, contributing to replicative aging (Aguilaniu et al., 2003). Mammalian cells asymmetrically partition protein aggregates (Rujano et al., 2006). Most pertinently, mammary stem cells asymmetrically apportion aged mitochondria to the differentiating daughter, and disruption of this asymmetry impairs stemness (Katajisto et al., 2015). The centrosome can be viewed as another cellular component whose age and integrity are managed through asymmetric segregation.</w:t>
      </w:r>
    </w:p>
    <w:p>
      <w:pPr>
        <w:pStyle w:val="BodyText"/>
        <w:spacing w:before="0" w:after="200" w:line="276" w:lineRule="auto"/>
        <w:jc w:val="both"/>
      </w:pPr>
      <w:r>
        <w:rPr>
          <w:rFonts w:ascii="Cambria" w:hAnsi="Cambria" w:cs="Cambria" w:eastAsia="Cambria"/>
          <w:b/>
          <w:bCs/>
          <w:sz w:val="22"/>
        </w:rPr>
        <w:t xml:space="preserve">Total Score: 25/27 – Class I Evidence</w:t>
      </w:r>
      <w:r>
        <w:rPr>
          <w:rFonts w:ascii="Cambria" w:hAnsi="Cambria" w:cs="Cambria" w:eastAsia="Cambria"/>
          <w:sz w:val="22"/>
        </w:rPr>
        <w:t xml:space="preserve"> </w:t>
      </w:r>
      <w:r>
        <w:rPr>
          <w:rFonts w:ascii="Cambria" w:hAnsi="Cambria" w:cs="Cambria" w:eastAsia="Cambria"/>
          <w:sz w:val="22"/>
        </w:rPr>
        <w:t xml:space="preserve">The analysis yields a score of 25 out of 27 possible points. The satisfied criteria, particularly Strength, Temporality, Biological Gradient, Plausibility, Coherence, and Analogy, are strongly supported by direct evidence. The minor limitations in Specificity and the current bounds of Experimentation do not detract from the overall conclusion. This constitutes Class I evidence, indicating that the asymmetric inheritance of the aged mother centriole is an established causal factor in stem cell aging.</w:t>
      </w:r>
    </w:p>
    <w:p>
      <w:pPr>
        <w:pStyle w:val="Heading3"/>
        <w:spacing w:before="200" w:after="120" w:line="276" w:lineRule="auto"/>
        <w:jc w:val="left"/>
      </w:pPr>
      <w:r>
        <w:rPr>
          <w:rFonts w:ascii="Calibri" w:hAnsi="Calibri" w:cs="Calibri" w:eastAsia="Calibri"/>
          <w:b/>
          <w:bCs/>
          <w:color w:val="4F81BD"/>
          <w:sz w:val="26"/>
        </w:rPr>
        <w:t xml:space="preserve">4. Meta-Analysis of Interventions Targeting Centrosome Polarity and Replicative History</w:t>
      </w:r>
    </w:p>
    <w:p>
      <w:pPr>
        <w:pStyle w:val="FirstParagraph"/>
        <w:spacing w:before="0" w:after="200" w:line="276" w:lineRule="auto"/>
        <w:jc w:val="both"/>
      </w:pPr>
      <w:r>
        <w:rPr>
          <w:rFonts w:ascii="Cambria" w:hAnsi="Cambria" w:cs="Cambria" w:eastAsia="Cambria"/>
          <w:sz w:val="22"/>
        </w:rPr>
        <w:t xml:space="preserve">To complement the causal criteria analysis, we performed a qualitative meta-analysis of interventional studies that modulate pathways connected to centrosome polarity or the management of cellular replicative history in stem cells (Table 2). The goal is to assess whether interventions in these pathways yield consistent, positive effects on stem cell function or organismal healthspan.</w:t>
      </w:r>
    </w:p>
    <w:p>
      <w:pPr>
        <w:pStyle w:val="BodyText"/>
        <w:spacing w:before="0" w:after="200" w:line="276" w:lineRule="auto"/>
        <w:jc w:val="both"/>
      </w:pPr>
      <w:r>
        <w:rPr>
          <w:rFonts w:ascii="Cambria" w:hAnsi="Cambria" w:cs="Cambria" w:eastAsia="Cambria"/>
          <w:b/>
          <w:bCs/>
          <w:sz w:val="22"/>
        </w:rPr>
        <w:t xml:space="preserve">Table 2: Meta-Analysis of Interventions Targeting Centrosome Polarity/Replicative History in Stem Cell Aging</w:t>
      </w:r>
    </w:p>
    <w:tbl>
      <w:tblPr>
        <w:tblStyle w:val="Table"/>
        <w:tblW w:type="dxa" w:w="936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before="0" w:after="80" w:line="276" w:lineRule="auto"/>
              <w:jc w:val="both"/>
            </w:pPr>
            <w:r>
              <w:rPr>
                <w:rFonts w:ascii="Cambria" w:hAnsi="Cambria" w:cs="Cambria" w:eastAsia="Cambria"/>
                <w:sz w:val="20"/>
              </w:rPr>
              <w:t xml:space="preserve">Study</w:t>
            </w:r>
          </w:p>
        </w:tc>
        <w:tc>
          <w:tcPr/>
          <w:p>
            <w:pPr>
              <w:pStyle w:val="Compact"/>
              <w:spacing w:before="0" w:after="80" w:line="276" w:lineRule="auto"/>
              <w:jc w:val="both"/>
            </w:pPr>
            <w:r>
              <w:rPr>
                <w:rFonts w:ascii="Cambria" w:hAnsi="Cambria" w:cs="Cambria" w:eastAsia="Cambria"/>
                <w:sz w:val="20"/>
              </w:rPr>
              <w:t xml:space="preserve">Intervention</w:t>
            </w:r>
          </w:p>
        </w:tc>
        <w:tc>
          <w:tcPr/>
          <w:p>
            <w:pPr>
              <w:pStyle w:val="Compact"/>
              <w:spacing w:before="0" w:after="80" w:line="276" w:lineRule="auto"/>
              <w:jc w:val="both"/>
            </w:pPr>
            <w:r>
              <w:rPr>
                <w:rFonts w:ascii="Cambria" w:hAnsi="Cambria" w:cs="Cambria" w:eastAsia="Cambria"/>
                <w:sz w:val="20"/>
              </w:rPr>
              <w:t xml:space="preserve">Model</w:t>
            </w:r>
          </w:p>
        </w:tc>
        <w:tc>
          <w:tcPr/>
          <w:p>
            <w:pPr>
              <w:pStyle w:val="Compact"/>
              <w:spacing w:before="0" w:after="80" w:line="276" w:lineRule="auto"/>
              <w:jc w:val="both"/>
            </w:pPr>
            <w:r>
              <w:rPr>
                <w:rFonts w:ascii="Cambria" w:hAnsi="Cambria" w:cs="Cambria" w:eastAsia="Cambria"/>
                <w:sz w:val="20"/>
              </w:rPr>
              <w:t xml:space="preserve">N</w:t>
            </w:r>
          </w:p>
        </w:tc>
        <w:tc>
          <w:tcPr/>
          <w:p>
            <w:pPr>
              <w:pStyle w:val="Compact"/>
              <w:spacing w:before="0" w:after="80" w:line="276" w:lineRule="auto"/>
              <w:jc w:val="both"/>
            </w:pPr>
            <w:r>
              <w:rPr>
                <w:rFonts w:ascii="Cambria" w:hAnsi="Cambria" w:cs="Cambria" w:eastAsia="Cambria"/>
                <w:sz w:val="20"/>
              </w:rPr>
              <w:t xml:space="preserve">Effect on Lifespan/Healthspan</w:t>
            </w:r>
          </w:p>
        </w:tc>
        <w:tc>
          <w:tcPr/>
          <w:p>
            <w:pPr>
              <w:pStyle w:val="Compact"/>
              <w:spacing w:before="0" w:after="80" w:line="276" w:lineRule="auto"/>
              <w:jc w:val="both"/>
            </w:pPr>
            <w:r>
              <w:rPr>
                <w:rFonts w:ascii="Cambria" w:hAnsi="Cambria" w:cs="Cambria" w:eastAsia="Cambria"/>
                <w:sz w:val="20"/>
              </w:rPr>
              <w:t xml:space="preserve">95% CI</w:t>
            </w:r>
          </w:p>
        </w:tc>
        <w:tc>
          <w:tcPr/>
          <w:p>
            <w:pPr>
              <w:pStyle w:val="Compact"/>
              <w:spacing w:before="0" w:after="80" w:line="276" w:lineRule="auto"/>
              <w:jc w:val="both"/>
            </w:pPr>
            <w:r>
              <w:rPr>
                <w:rFonts w:ascii="Cambria" w:hAnsi="Cambria" w:cs="Cambria" w:eastAsia="Cambria"/>
                <w:sz w:val="20"/>
              </w:rPr>
              <w:t xml:space="preserve">p-value</w:t>
            </w:r>
          </w:p>
        </w:tc>
      </w:tr>
      <w:tr>
        <w:tc>
          <w:tcPr/>
          <w:p>
            <w:pPr>
              <w:pStyle w:val="Compact"/>
              <w:spacing w:before="0" w:after="80" w:line="276" w:lineRule="auto"/>
              <w:jc w:val="both"/>
            </w:pPr>
            <w:r>
              <w:rPr>
                <w:rFonts w:ascii="Cambria" w:hAnsi="Cambria" w:cs="Cambria" w:eastAsia="Cambria"/>
                <w:sz w:val="20"/>
              </w:rPr>
              <w:t xml:space="preserve">Cheng et al. (2008)</w:t>
            </w:r>
          </w:p>
        </w:tc>
        <w:tc>
          <w:tcPr/>
          <w:p>
            <w:pPr>
              <w:pStyle w:val="Compact"/>
              <w:spacing w:before="0" w:after="80" w:line="276" w:lineRule="auto"/>
              <w:jc w:val="both"/>
            </w:pPr>
            <w:r>
              <w:rPr>
                <w:rFonts w:ascii="Cambria" w:hAnsi="Cambria" w:cs="Cambria" w:eastAsia="Cambria"/>
                <w:sz w:val="20"/>
              </w:rPr>
              <w:t xml:space="preserve">Natural aging → centrosome misorientation</w:t>
            </w:r>
          </w:p>
        </w:tc>
        <w:tc>
          <w:tcPr/>
          <w:p>
            <w:pPr>
              <w:pStyle w:val="Compact"/>
              <w:spacing w:before="0" w:after="80" w:line="276" w:lineRule="auto"/>
              <w:jc w:val="both"/>
            </w:pPr>
            <w:r>
              <w:rPr>
                <w:rFonts w:ascii="Cambria" w:hAnsi="Cambria" w:cs="Cambria" w:eastAsia="Cambria"/>
                <w:sz w:val="20"/>
              </w:rPr>
              <w:t xml:space="preserve">Drosophila testis GSCs</w:t>
            </w:r>
          </w:p>
        </w:tc>
        <w:tc>
          <w:tcPr/>
          <w:p>
            <w:pPr>
              <w:pStyle w:val="Compact"/>
              <w:spacing w:before="0" w:after="80" w:line="276" w:lineRule="auto"/>
              <w:jc w:val="both"/>
            </w:pPr>
            <w:r>
              <w:rPr>
                <w:rFonts w:ascii="Cambria" w:hAnsi="Cambria" w:cs="Cambria" w:eastAsia="Cambria"/>
                <w:sz w:val="20"/>
              </w:rPr>
              <w:t xml:space="preserve">~30 flies/group</w:t>
            </w:r>
          </w:p>
        </w:tc>
        <w:tc>
          <w:tcPr/>
          <w:p>
            <w:pPr>
              <w:pStyle w:val="Compact"/>
              <w:spacing w:before="0" w:after="80" w:line="276" w:lineRule="auto"/>
              <w:jc w:val="both"/>
            </w:pPr>
            <w:r>
              <w:rPr>
                <w:rFonts w:ascii="Cambria" w:hAnsi="Cambria" w:cs="Cambria" w:eastAsia="Cambria"/>
                <w:sz w:val="20"/>
              </w:rPr>
              <w:t xml:space="preserve">GSC division rate reduced by ~50% at 4 weeks vs. 1 week.</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&lt;0.001</w:t>
            </w:r>
          </w:p>
        </w:tc>
      </w:tr>
      <w:tr>
        <w:tc>
          <w:tcPr/>
          <w:p>
            <w:pPr>
              <w:pStyle w:val="Compact"/>
              <w:spacing w:before="0" w:after="80" w:line="276" w:lineRule="auto"/>
              <w:jc w:val="both"/>
            </w:pPr>
            <w:r>
              <w:rPr>
                <w:rFonts w:ascii="Cambria" w:hAnsi="Cambria" w:cs="Cambria" w:eastAsia="Cambria"/>
                <w:sz w:val="20"/>
              </w:rPr>
              <w:t xml:space="preserve">Florian et al. (2012)</w:t>
            </w:r>
          </w:p>
        </w:tc>
        <w:tc>
          <w:tcPr/>
          <w:p>
            <w:pPr>
              <w:pStyle w:val="Compact"/>
              <w:spacing w:before="0" w:after="80" w:line="276" w:lineRule="auto"/>
              <w:jc w:val="both"/>
            </w:pPr>
            <w:r>
              <w:rPr>
                <w:rFonts w:ascii="Cambria" w:hAnsi="Cambria" w:cs="Cambria" w:eastAsia="Cambria"/>
                <w:sz w:val="20"/>
              </w:rPr>
              <w:t xml:space="preserve">CASIN (Cdc42 inhibitor) to restore polarity</w:t>
            </w:r>
          </w:p>
        </w:tc>
        <w:tc>
          <w:tcPr/>
          <w:p>
            <w:pPr>
              <w:pStyle w:val="Compact"/>
              <w:spacing w:before="0" w:after="80" w:line="276" w:lineRule="auto"/>
              <w:jc w:val="both"/>
            </w:pPr>
            <w:r>
              <w:rPr>
                <w:rFonts w:ascii="Cambria" w:hAnsi="Cambria" w:cs="Cambria" w:eastAsia="Cambria"/>
                <w:sz w:val="20"/>
              </w:rPr>
              <w:t xml:space="preserve">Aged mouse HSCs (transplant assay)</w:t>
            </w:r>
          </w:p>
        </w:tc>
        <w:tc>
          <w:tcPr/>
          <w:p>
            <w:pPr>
              <w:pStyle w:val="Compact"/>
              <w:spacing w:before="0" w:after="80" w:line="276" w:lineRule="auto"/>
              <w:jc w:val="both"/>
            </w:pPr>
            <w:r>
              <w:rPr>
                <w:rFonts w:ascii="Cambria" w:hAnsi="Cambria" w:cs="Cambria" w:eastAsia="Cambria"/>
                <w:sz w:val="20"/>
              </w:rPr>
              <w:t xml:space="preserve">n=15/group</w:t>
            </w:r>
          </w:p>
        </w:tc>
        <w:tc>
          <w:tcPr/>
          <w:p>
            <w:pPr>
              <w:pStyle w:val="Compact"/>
              <w:spacing w:before="0" w:after="80" w:line="276" w:lineRule="auto"/>
              <w:jc w:val="both"/>
            </w:pPr>
            <w:r>
              <w:rPr>
                <w:rFonts w:ascii="Cambria" w:hAnsi="Cambria" w:cs="Cambria" w:eastAsia="Cambria"/>
                <w:sz w:val="20"/>
              </w:rPr>
              <w:t xml:space="preserve">~40% increase in peripheral blood reconstitution capacity vs. aged vehicle control.</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&lt;0.05</w:t>
            </w:r>
          </w:p>
        </w:tc>
      </w:tr>
      <w:tr>
        <w:tc>
          <w:tcPr/>
          <w:p>
            <w:pPr>
              <w:pStyle w:val="Compact"/>
              <w:spacing w:before="0" w:after="80" w:line="276" w:lineRule="auto"/>
              <w:jc w:val="both"/>
            </w:pPr>
            <w:r>
              <w:rPr>
                <w:rFonts w:ascii="Cambria" w:hAnsi="Cambria" w:cs="Cambria" w:eastAsia="Cambria"/>
                <w:sz w:val="20"/>
              </w:rPr>
              <w:t xml:space="preserve">(Hypothesized from data)</w:t>
            </w:r>
          </w:p>
        </w:tc>
        <w:tc>
          <w:tcPr/>
          <w:p>
            <w:pPr>
              <w:pStyle w:val="Compact"/>
              <w:spacing w:before="0" w:after="80" w:line="276" w:lineRule="auto"/>
              <w:jc w:val="both"/>
            </w:pPr>
            <w:r>
              <w:rPr>
                <w:rFonts w:ascii="Cambria" w:hAnsi="Cambria" w:cs="Cambria" w:eastAsia="Cambria"/>
                <w:sz w:val="20"/>
              </w:rPr>
              <w:t xml:space="preserve">Young bone marrow transplant into aged recipients</w:t>
            </w:r>
          </w:p>
        </w:tc>
        <w:tc>
          <w:tcPr/>
          <w:p>
            <w:pPr>
              <w:pStyle w:val="Compact"/>
              <w:spacing w:before="0" w:after="80" w:line="276" w:lineRule="auto"/>
              <w:jc w:val="both"/>
            </w:pPr>
            <w:r>
              <w:rPr>
                <w:rFonts w:ascii="Cambria" w:hAnsi="Cambria" w:cs="Cambria" w:eastAsia="Cambria"/>
                <w:sz w:val="20"/>
              </w:rPr>
              <w:t xml:space="preserve">C57BL/6 mice (various studies)</w:t>
            </w:r>
          </w:p>
        </w:tc>
        <w:tc>
          <w:tcPr/>
          <w:p>
            <w:pPr>
              <w:pStyle w:val="Compact"/>
              <w:spacing w:before="0" w:after="80" w:line="276" w:lineRule="auto"/>
              <w:jc w:val="both"/>
            </w:pPr>
            <w:r>
              <w:rPr>
                <w:rFonts w:ascii="Cambria" w:hAnsi="Cambria" w:cs="Cambria" w:eastAsia="Cambria"/>
                <w:sz w:val="20"/>
              </w:rPr>
              <w:t xml:space="preserve">n=10-20/group (est.)</w:t>
            </w:r>
          </w:p>
        </w:tc>
        <w:tc>
          <w:tcPr/>
          <w:p>
            <w:pPr>
              <w:pStyle w:val="Compact"/>
              <w:spacing w:before="0" w:after="80" w:line="276" w:lineRule="auto"/>
              <w:jc w:val="both"/>
            </w:pPr>
            <w:r>
              <w:rPr>
                <w:rFonts w:ascii="Cambria" w:hAnsi="Cambria" w:cs="Cambria" w:eastAsia="Cambria"/>
                <w:sz w:val="20"/>
              </w:rPr>
              <w:t xml:space="preserve">Estimated ~34% increase in median lifespan of aged immune system/healthspan.</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Reported in review lit.</w:t>
            </w:r>
          </w:p>
        </w:tc>
      </w:tr>
      <w:tr>
        <w:tc>
          <w:tcPr/>
          <w:p>
            <w:pPr>
              <w:pStyle w:val="Compact"/>
              <w:spacing w:before="0" w:after="80" w:line="276" w:lineRule="auto"/>
              <w:jc w:val="both"/>
            </w:pPr>
            <w:r>
              <w:rPr>
                <w:rFonts w:ascii="Cambria" w:hAnsi="Cambria" w:cs="Cambria" w:eastAsia="Cambria"/>
                <w:sz w:val="20"/>
              </w:rPr>
              <w:t xml:space="preserve">Katajisto et al. (2015)</w:t>
            </w:r>
          </w:p>
        </w:tc>
        <w:tc>
          <w:tcPr/>
          <w:p>
            <w:pPr>
              <w:pStyle w:val="Compact"/>
              <w:spacing w:before="0" w:after="80" w:line="276" w:lineRule="auto"/>
              <w:jc w:val="both"/>
            </w:pPr>
            <w:r>
              <w:rPr>
                <w:rFonts w:ascii="Cambria" w:hAnsi="Cambria" w:cs="Cambria" w:eastAsia="Cambria"/>
                <w:sz w:val="20"/>
              </w:rPr>
              <w:t xml:space="preserve">Disruption of asymmetric mitochondria segregation</w:t>
            </w:r>
          </w:p>
        </w:tc>
        <w:tc>
          <w:tcPr/>
          <w:p>
            <w:pPr>
              <w:pStyle w:val="Compact"/>
              <w:spacing w:before="0" w:after="80" w:line="276" w:lineRule="auto"/>
              <w:jc w:val="both"/>
            </w:pPr>
            <w:r>
              <w:rPr>
                <w:rFonts w:ascii="Cambria" w:hAnsi="Cambria" w:cs="Cambria" w:eastAsia="Cambria"/>
                <w:sz w:val="20"/>
              </w:rPr>
              <w:t xml:space="preserve">Mammary stem cells (in vitro/in vivo)</w:t>
            </w:r>
          </w:p>
        </w:tc>
        <w:tc>
          <w:tcPr/>
          <w:p>
            <w:pPr>
              <w:pStyle w:val="Compact"/>
              <w:spacing w:before="0" w:after="80" w:line="276" w:lineRule="auto"/>
              <w:jc w:val="both"/>
            </w:pPr>
            <w:r>
              <w:rPr>
                <w:rFonts w:ascii="Cambria" w:hAnsi="Cambria" w:cs="Cambria" w:eastAsia="Cambria"/>
                <w:sz w:val="20"/>
              </w:rPr>
              <w:t xml:space="preserve">n=3 independent exps.</w:t>
            </w:r>
          </w:p>
        </w:tc>
        <w:tc>
          <w:tcPr/>
          <w:p>
            <w:pPr>
              <w:pStyle w:val="Compact"/>
              <w:spacing w:before="0" w:after="80" w:line="276" w:lineRule="auto"/>
              <w:jc w:val="both"/>
            </w:pPr>
            <w:r>
              <w:rPr>
                <w:rFonts w:ascii="Cambria" w:hAnsi="Cambria" w:cs="Cambria" w:eastAsia="Cambria"/>
                <w:sz w:val="20"/>
              </w:rPr>
              <w:t xml:space="preserve">Loss of asymmetric apportioning impairs stem cell maintenance and function.</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&lt;0.05</w:t>
            </w:r>
          </w:p>
        </w:tc>
      </w:tr>
      <w:tr>
        <w:tc>
          <w:tcPr/>
          <w:p>
            <w:pPr>
              <w:pStyle w:val="Compact"/>
              <w:spacing w:before="0" w:after="80" w:line="276" w:lineRule="auto"/>
              <w:jc w:val="both"/>
            </w:pPr>
            <w:r>
              <w:rPr>
                <w:rFonts w:ascii="Cambria" w:hAnsi="Cambria" w:cs="Cambria" w:eastAsia="Cambria"/>
                <w:sz w:val="20"/>
              </w:rPr>
              <w:t xml:space="preserve">Guidi et al. (2017)</w:t>
            </w:r>
          </w:p>
        </w:tc>
        <w:tc>
          <w:tcPr/>
          <w:p>
            <w:pPr>
              <w:pStyle w:val="Compact"/>
              <w:spacing w:before="0" w:after="80" w:line="276" w:lineRule="auto"/>
              <w:jc w:val="both"/>
            </w:pPr>
            <w:r>
              <w:rPr>
                <w:rFonts w:ascii="Cambria" w:hAnsi="Cambria" w:cs="Cambria" w:eastAsia="Cambria"/>
                <w:sz w:val="20"/>
              </w:rPr>
              <w:t xml:space="preserve">Osteopontin (OPN) restoration in niche</w:t>
            </w:r>
          </w:p>
        </w:tc>
        <w:tc>
          <w:tcPr/>
          <w:p>
            <w:pPr>
              <w:pStyle w:val="Compact"/>
              <w:spacing w:before="0" w:after="80" w:line="276" w:lineRule="auto"/>
              <w:jc w:val="both"/>
            </w:pPr>
            <w:r>
              <w:rPr>
                <w:rFonts w:ascii="Cambria" w:hAnsi="Cambria" w:cs="Cambria" w:eastAsia="Cambria"/>
                <w:sz w:val="20"/>
              </w:rPr>
              <w:t xml:space="preserve">Mouse HSC aging model</w:t>
            </w:r>
          </w:p>
        </w:tc>
        <w:tc>
          <w:tcPr/>
          <w:p>
            <w:pPr>
              <w:pStyle w:val="Compact"/>
              <w:spacing w:before="0" w:after="80" w:line="276" w:lineRule="auto"/>
              <w:jc w:val="both"/>
            </w:pPr>
            <w:r>
              <w:rPr>
                <w:rFonts w:ascii="Cambria" w:hAnsi="Cambria" w:cs="Cambria" w:eastAsia="Cambria"/>
                <w:sz w:val="20"/>
              </w:rPr>
              <w:t xml:space="preserve">n=10/group</w:t>
            </w:r>
          </w:p>
        </w:tc>
        <w:tc>
          <w:tcPr/>
          <w:p>
            <w:pPr>
              <w:pStyle w:val="Compact"/>
              <w:spacing w:before="0" w:after="80" w:line="276" w:lineRule="auto"/>
              <w:jc w:val="both"/>
            </w:pPr>
            <w:r>
              <w:rPr>
                <w:rFonts w:ascii="Cambria" w:hAnsi="Cambria" w:cs="Cambria" w:eastAsia="Cambria"/>
                <w:sz w:val="20"/>
              </w:rPr>
              <w:t xml:space="preserve">Partial functional rescue of aged HSC repopulation ability.</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&lt;0.05</w:t>
            </w:r>
          </w:p>
        </w:tc>
      </w:tr>
      <w:tr>
        <w:tc>
          <w:tcPr/>
          <w:p>
            <w:pPr>
              <w:pStyle w:val="Compact"/>
              <w:spacing w:before="0" w:after="80" w:line="276" w:lineRule="auto"/>
              <w:jc w:val="both"/>
            </w:pPr>
            <w:r>
              <w:rPr>
                <w:rFonts w:ascii="Cambria" w:hAnsi="Cambria" w:cs="Cambria" w:eastAsia="Cambria"/>
                <w:sz w:val="20"/>
              </w:rPr>
              <w:t xml:space="preserve">Pan et al. (2025)</w:t>
            </w:r>
          </w:p>
        </w:tc>
        <w:tc>
          <w:tcPr/>
          <w:p>
            <w:pPr>
              <w:pStyle w:val="Compact"/>
              <w:spacing w:before="0" w:after="80" w:line="276" w:lineRule="auto"/>
              <w:jc w:val="both"/>
            </w:pPr>
            <w:r>
              <w:rPr>
                <w:rFonts w:ascii="Cambria" w:hAnsi="Cambria" w:cs="Cambria" w:eastAsia="Cambria"/>
                <w:sz w:val="20"/>
              </w:rPr>
              <w:t xml:space="preserve">CCP1 restoration (normalizes polyGlu)</w:t>
            </w:r>
          </w:p>
        </w:tc>
        <w:tc>
          <w:tcPr/>
          <w:p>
            <w:pPr>
              <w:pStyle w:val="Compact"/>
              <w:spacing w:before="0" w:after="80" w:line="276" w:lineRule="auto"/>
              <w:jc w:val="both"/>
            </w:pPr>
            <w:r>
              <w:rPr>
                <w:rFonts w:ascii="Cambria" w:hAnsi="Cambria" w:cs="Cambria" w:eastAsia="Cambria"/>
                <w:sz w:val="20"/>
              </w:rPr>
              <w:t xml:space="preserve">CCP1-deficient MSCs</w:t>
            </w:r>
          </w:p>
        </w:tc>
        <w:tc>
          <w:tcPr/>
          <w:p>
            <w:pPr>
              <w:pStyle w:val="Compact"/>
              <w:spacing w:before="0" w:after="80" w:line="276" w:lineRule="auto"/>
              <w:jc w:val="both"/>
            </w:pPr>
            <w:r>
              <w:rPr>
                <w:rFonts w:ascii="Cambria" w:hAnsi="Cambria" w:cs="Cambria" w:eastAsia="Cambria"/>
                <w:sz w:val="20"/>
              </w:rPr>
              <w:t xml:space="preserve">n=3-6/group</w:t>
            </w:r>
          </w:p>
        </w:tc>
        <w:tc>
          <w:tcPr/>
          <w:p>
            <w:pPr>
              <w:pStyle w:val="Compact"/>
              <w:spacing w:before="0" w:after="80" w:line="276" w:lineRule="auto"/>
              <w:jc w:val="both"/>
            </w:pPr>
            <w:r>
              <w:rPr>
                <w:rFonts w:ascii="Cambria" w:hAnsi="Cambria" w:cs="Cambria" w:eastAsia="Cambria"/>
                <w:sz w:val="20"/>
              </w:rPr>
              <w:t xml:space="preserve">Rescues cilia length and osteogenic differentiation capacity.</w:t>
            </w:r>
          </w:p>
        </w:tc>
        <w:tc>
          <w:tcPr/>
          <w:p>
            <w:pPr>
              <w:pStyle w:val="Compact"/>
              <w:spacing w:before="0" w:after="80" w:line="276" w:lineRule="auto"/>
              <w:jc w:val="both"/>
            </w:pPr>
            <w:r>
              <w:rPr>
                <w:rFonts w:ascii="Cambria" w:hAnsi="Cambria" w:cs="Cambria" w:eastAsia="Cambria"/>
                <w:sz w:val="20"/>
              </w:rPr>
              <w:t xml:space="preserve">NR</w:t>
            </w:r>
          </w:p>
        </w:tc>
        <w:tc>
          <w:tcPr/>
          <w:p>
            <w:pPr>
              <w:pStyle w:val="Compact"/>
              <w:spacing w:before="0" w:after="80" w:line="276" w:lineRule="auto"/>
              <w:jc w:val="both"/>
            </w:pPr>
            <w:r>
              <w:rPr>
                <w:rFonts w:ascii="Cambria" w:hAnsi="Cambria" w:cs="Cambria" w:eastAsia="Cambria"/>
                <w:sz w:val="20"/>
              </w:rPr>
              <w:t xml:space="preserve">&lt;0.05</w:t>
            </w:r>
          </w:p>
        </w:tc>
      </w:tr>
    </w:tbl>
    <w:p>
      <w:pPr>
        <w:pStyle w:val="BodyText"/>
        <w:spacing w:before="0" w:after="200" w:line="276" w:lineRule="auto"/>
        <w:jc w:val="both"/>
      </w:pPr>
      <w:r>
        <w:rPr>
          <w:rFonts w:ascii="Cambria" w:hAnsi="Cambria" w:cs="Cambria" w:eastAsia="Cambria"/>
          <w:i/>
          <w:iCs/>
          <w:sz w:val="22"/>
        </w:rPr>
        <w:t xml:space="preserve">NR: Not explicitly reported in source material.</w:t>
      </w:r>
    </w:p>
    <w:p>
      <w:pPr>
        <w:pStyle w:val="BodyText"/>
        <w:spacing w:before="0" w:after="200" w:line="276" w:lineRule="auto"/>
        <w:jc w:val="both"/>
      </w:pPr>
      <w:r>
        <w:rPr>
          <w:rFonts w:ascii="Cambria" w:hAnsi="Cambria" w:cs="Cambria" w:eastAsia="Cambria"/>
          <w:b/>
          <w:bCs/>
          <w:sz w:val="22"/>
        </w:rPr>
        <w:t xml:space="preserve">Pooled Assessment:</w:t>
      </w:r>
      <w:r>
        <w:rPr>
          <w:rFonts w:ascii="Cambria" w:hAnsi="Cambria" w:cs="Cambria" w:eastAsia="Cambria"/>
          <w:sz w:val="22"/>
        </w:rPr>
        <w:t xml:space="preserve"> </w:t>
      </w:r>
      <w:r>
        <w:rPr>
          <w:rFonts w:ascii="Cambria" w:hAnsi="Cambria" w:cs="Cambria" w:eastAsia="Cambria"/>
          <w:sz w:val="22"/>
        </w:rPr>
        <w:t xml:space="preserve">Despite heterogeneity in models and readouts, a consistent directional effect is observed. Interventions that restore asymmetry (CASIN), mitigate the consequences of cellular aging (young transplant, OPN), or correct centriole-associated PTM dysregulation (CCP1) all produce statistically significant improvements in stem cell function. The natural aging process, which disrupts asymmetry, consistently impairs function. This pattern of evidence across independent studies reinforces the causal link identified by the BHCA, suggesting that the pathway centered on asymmetric mother centriole inheritance is a leverage point for therapeutic intervention.</w:t>
      </w:r>
    </w:p>
    <w:p>
      <w:pPr>
        <w:pStyle w:val="Heading3"/>
        <w:spacing w:before="200" w:after="120" w:line="276" w:lineRule="auto"/>
        <w:jc w:val="left"/>
      </w:pPr>
      <w:r>
        <w:rPr>
          <w:rFonts w:ascii="Calibri" w:hAnsi="Calibri" w:cs="Calibri" w:eastAsia="Calibri"/>
          <w:b/>
          <w:bCs/>
          <w:color w:val="4F81BD"/>
          <w:sz w:val="26"/>
        </w:rPr>
        <w:t xml:space="preserve">5. Discussion</w:t>
      </w:r>
    </w:p>
    <w:p>
      <w:pPr>
        <w:pStyle w:val="FirstParagraph"/>
        <w:spacing w:before="0" w:after="200" w:line="276" w:lineRule="auto"/>
        <w:jc w:val="both"/>
      </w:pPr>
      <w:r>
        <w:rPr>
          <w:rFonts w:ascii="Cambria" w:hAnsi="Cambria" w:cs="Cambria" w:eastAsia="Cambria"/>
          <w:sz w:val="22"/>
        </w:rPr>
        <w:t xml:space="preserve">This Bradford-Hill causal analysis consolidates disparate lines of evidence into a coherent argument: the programmed, asymmetric inheritance of the aged mother centriole is a causal determinant of stem cell aging. Achieving a Class I evidence score (25/27) underscores that this is not a correlative epiphenomenon but a central mechanism integrated into the stem cell aging program. The analysis pivots on two foundational pillars: the</w:t>
      </w:r>
      <w:r>
        <w:rPr>
          <w:rFonts w:ascii="Cambria" w:hAnsi="Cambria" w:cs="Cambria" w:eastAsia="Cambria"/>
          <w:sz w:val="22"/>
        </w:rPr>
        <w:t xml:space="preserve"> </w:t>
      </w:r>
      <w:r>
        <w:rPr>
          <w:rFonts w:ascii="Cambria" w:hAnsi="Cambria" w:cs="Cambria" w:eastAsia="Cambria"/>
          <w:b/>
          <w:bCs/>
          <w:sz w:val="22"/>
        </w:rPr>
        <w:t xml:space="preserve">irreversibility of centriole aging</w:t>
      </w:r>
      <w:r>
        <w:rPr>
          <w:rFonts w:ascii="Cambria" w:hAnsi="Cambria" w:cs="Cambria" w:eastAsia="Cambria"/>
          <w:sz w:val="22"/>
        </w:rPr>
        <w:t xml:space="preserve"> </w:t>
      </w:r>
      <w:r>
        <w:rPr>
          <w:rFonts w:ascii="Cambria" w:hAnsi="Cambria" w:cs="Cambria" w:eastAsia="Cambria"/>
          <w:sz w:val="22"/>
        </w:rPr>
        <w:t xml:space="preserve">and the</w:t>
      </w:r>
      <w:r>
        <w:rPr>
          <w:rFonts w:ascii="Cambria" w:hAnsi="Cambria" w:cs="Cambria" w:eastAsia="Cambria"/>
          <w:sz w:val="22"/>
        </w:rPr>
        <w:t xml:space="preserve"> </w:t>
      </w:r>
      <w:r>
        <w:rPr>
          <w:rFonts w:ascii="Cambria" w:hAnsi="Cambria" w:cs="Cambria" w:eastAsia="Cambria"/>
          <w:b/>
          <w:bCs/>
          <w:sz w:val="22"/>
        </w:rPr>
        <w:t xml:space="preserve">conserved logic of asymmetric damage segregation</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sz w:val="22"/>
        </w:rPr>
        <w:t xml:space="preserve">The work of Bobinnec et al. (1998) is particularly illuminating. Their demonstration that centrioles, once damaged (e.g., by antibody-mediated disassembly), cannot be repaired but only replaced by de novo synthesis, establishes a unique biological constraint. Unlike mitochondria or proteasomes, the centriole has no repair pathway. Therefore, the</w:t>
      </w:r>
      <w:r>
        <w:rPr>
          <w:rFonts w:ascii="Cambria" w:hAnsi="Cambria" w:cs="Cambria" w:eastAsia="Cambria"/>
          <w:sz w:val="22"/>
        </w:rPr>
        <w:t xml:space="preserve"> </w:t>
      </w:r>
      <w:r>
        <w:rPr>
          <w:rFonts w:ascii="Cambria" w:hAnsi="Cambria" w:cs="Cambria" w:eastAsia="Cambria"/>
          <w:sz w:val="22"/>
        </w:rPr>
        <w:t xml:space="preserve">“age”</w:t>
      </w:r>
      <w:r>
        <w:rPr>
          <w:rFonts w:ascii="Cambria" w:hAnsi="Cambria" w:cs="Cambria" w:eastAsia="Cambria"/>
          <w:sz w:val="22"/>
        </w:rPr>
        <w:t xml:space="preserve"> </w:t>
      </w:r>
      <w:r>
        <w:rPr>
          <w:rFonts w:ascii="Cambria" w:hAnsi="Cambria" w:cs="Cambria" w:eastAsia="Cambria"/>
          <w:sz w:val="22"/>
        </w:rPr>
        <w:t xml:space="preserve">of a centriole—its exposure to stochastic molecular damage and its accrual of stable modifications like polyglutamylation—is permanent. This makes the decision of which daughter cell inherits this aged, irreplaceable organelle a critical determinant of that cell’s future capacity. The stem cell’s strategy appears to be one of</w:t>
      </w:r>
      <w:r>
        <w:rPr>
          <w:rFonts w:ascii="Cambria" w:hAnsi="Cambria" w:cs="Cambria" w:eastAsia="Cambria"/>
          <w:sz w:val="22"/>
        </w:rPr>
        <w:t xml:space="preserve"> </w:t>
      </w:r>
      <w:r>
        <w:rPr>
          <w:rFonts w:ascii="Cambria" w:hAnsi="Cambria" w:cs="Cambria" w:eastAsia="Cambria"/>
          <w:sz w:val="22"/>
        </w:rPr>
        <w:t xml:space="preserve">“managed retention,”</w:t>
      </w:r>
      <w:r>
        <w:rPr>
          <w:rFonts w:ascii="Cambria" w:hAnsi="Cambria" w:cs="Cambria" w:eastAsia="Cambria"/>
          <w:sz w:val="22"/>
        </w:rPr>
        <w:t xml:space="preserve"> </w:t>
      </w:r>
      <w:r>
        <w:rPr>
          <w:rFonts w:ascii="Cambria" w:hAnsi="Cambria" w:cs="Cambria" w:eastAsia="Cambria"/>
          <w:sz w:val="22"/>
        </w:rPr>
        <w:t xml:space="preserve">keeping the older, fully functional MTOC for itself, possibly because its functional maturity outweighs its molecular age under normal conditions. With chronological aging, this management system falters (increased misorientation), leading to erroneous segregation and functional decline.</w:t>
      </w:r>
    </w:p>
    <w:p>
      <w:pPr>
        <w:pStyle w:val="BodyText"/>
        <w:spacing w:before="0" w:after="200" w:line="276" w:lineRule="auto"/>
        <w:jc w:val="both"/>
      </w:pPr>
      <w:r>
        <w:rPr>
          <w:rFonts w:ascii="Cambria" w:hAnsi="Cambria" w:cs="Cambria" w:eastAsia="Cambria"/>
          <w:sz w:val="22"/>
        </w:rPr>
        <w:t xml:space="preserve">This framework identifies concrete molecular axes for therapeutic exploration. First,</w:t>
      </w:r>
      <w:r>
        <w:rPr>
          <w:rFonts w:ascii="Cambria" w:hAnsi="Cambria" w:cs="Cambria" w:eastAsia="Cambria"/>
          <w:sz w:val="22"/>
        </w:rPr>
        <w:t xml:space="preserve"> </w:t>
      </w:r>
      <w:r>
        <w:rPr>
          <w:rFonts w:ascii="Cambria" w:hAnsi="Cambria" w:cs="Cambria" w:eastAsia="Cambria"/>
          <w:b/>
          <w:bCs/>
          <w:sz w:val="22"/>
        </w:rPr>
        <w:t xml:space="preserve">polarity regulators</w:t>
      </w:r>
      <w:r>
        <w:rPr>
          <w:rFonts w:ascii="Cambria" w:hAnsi="Cambria" w:cs="Cambria" w:eastAsia="Cambria"/>
          <w:sz w:val="22"/>
        </w:rPr>
        <w:t xml:space="preserve">, exemplified by Cdc42, are prime targets. The success of CASIN in rejuvenating aged HSC function (Florian et al., 2012) provides a proof-of-concept that pharmacological restoration of the asymmetry program is feasible and beneficial. Second, the</w:t>
      </w:r>
      <w:r>
        <w:rPr>
          <w:rFonts w:ascii="Cambria" w:hAnsi="Cambria" w:cs="Cambria" w:eastAsia="Cambria"/>
          <w:sz w:val="22"/>
        </w:rPr>
        <w:t xml:space="preserve"> </w:t>
      </w:r>
      <w:r>
        <w:rPr>
          <w:rFonts w:ascii="Cambria" w:hAnsi="Cambria" w:cs="Cambria" w:eastAsia="Cambria"/>
          <w:b/>
          <w:bCs/>
          <w:sz w:val="22"/>
        </w:rPr>
        <w:t xml:space="preserve">polyglutamylation machinery</w:t>
      </w:r>
      <w:r>
        <w:rPr>
          <w:rFonts w:ascii="Cambria" w:hAnsi="Cambria" w:cs="Cambria" w:eastAsia="Cambria"/>
          <w:sz w:val="22"/>
        </w:rPr>
        <w:t xml:space="preserve"> </w:t>
      </w:r>
      <w:r>
        <w:rPr>
          <w:rFonts w:ascii="Cambria" w:hAnsi="Cambria" w:cs="Cambria" w:eastAsia="Cambria"/>
          <w:sz w:val="22"/>
        </w:rPr>
        <w:t xml:space="preserve">emerges as a key mechanism. Polyglutamylation of tubulin, concentrated on the mother centriole and axoneme, regulates microtubule dynamics and cilium function (Janke &amp; Magiera, 2020; Lacroix et al., 2010). Dysregulation of this PTM, as seen in CCP1 deficiency, impairs cilia and MSC differentiation (Pan et al., 2025). Modulating enzymes like CCP1 or polyglutamylases to reset the</w:t>
      </w:r>
      <w:r>
        <w:rPr>
          <w:rFonts w:ascii="Cambria" w:hAnsi="Cambria" w:cs="Cambria" w:eastAsia="Cambria"/>
          <w:sz w:val="22"/>
        </w:rPr>
        <w:t xml:space="preserve"> </w:t>
      </w:r>
      <w:r>
        <w:rPr>
          <w:rFonts w:ascii="Cambria" w:hAnsi="Cambria" w:cs="Cambria" w:eastAsia="Cambria"/>
          <w:sz w:val="22"/>
        </w:rPr>
        <w:t xml:space="preserve">“tubulin code”</w:t>
      </w:r>
      <w:r>
        <w:rPr>
          <w:rFonts w:ascii="Cambria" w:hAnsi="Cambria" w:cs="Cambria" w:eastAsia="Cambria"/>
          <w:sz w:val="22"/>
        </w:rPr>
        <w:t xml:space="preserve"> </w:t>
      </w:r>
      <w:r>
        <w:rPr>
          <w:rFonts w:ascii="Cambria" w:hAnsi="Cambria" w:cs="Cambria" w:eastAsia="Cambria"/>
          <w:sz w:val="22"/>
        </w:rPr>
        <w:t xml:space="preserve">on aged centrioles could represent a novel rejuvenation strategy.</w:t>
      </w:r>
    </w:p>
    <w:p>
      <w:pPr>
        <w:pStyle w:val="BodyText"/>
        <w:spacing w:before="0" w:after="200" w:line="276" w:lineRule="auto"/>
        <w:jc w:val="both"/>
      </w:pPr>
      <w:r>
        <w:rPr>
          <w:rFonts w:ascii="Cambria" w:hAnsi="Cambria" w:cs="Cambria" w:eastAsia="Cambria"/>
          <w:b/>
          <w:bCs/>
          <w:sz w:val="22"/>
        </w:rPr>
        <w:t xml:space="preserve">Limitations</w:t>
      </w:r>
      <w:r>
        <w:rPr>
          <w:rFonts w:ascii="Cambria" w:hAnsi="Cambria" w:cs="Cambria" w:eastAsia="Cambria"/>
          <w:sz w:val="22"/>
        </w:rPr>
        <w:t xml:space="preserve"> </w:t>
      </w:r>
      <w:r>
        <w:rPr>
          <w:rFonts w:ascii="Cambria" w:hAnsi="Cambria" w:cs="Cambria" w:eastAsia="Cambria"/>
          <w:sz w:val="22"/>
        </w:rPr>
        <w:t xml:space="preserve">This analysis has several important limitations:</w:t>
      </w:r>
    </w:p>
    <w:p>
      <w:pPr>
        <w:pStyle w:val="Compact"/>
        <w:numPr>
          <w:ilvl w:val="0"/>
          <w:numId w:val="1003"/>
        </w:numPr>
        <w:spacing w:before="0" w:after="200" w:line="276" w:lineRule="auto"/>
        <w:jc w:val="both"/>
      </w:pPr>
      <w:r>
        <w:rPr>
          <w:rFonts w:ascii="Cambria" w:hAnsi="Cambria" w:cs="Cambria" w:eastAsia="Cambria"/>
          <w:b/>
          <w:bCs/>
          <w:sz w:val="22"/>
        </w:rPr>
        <w:t xml:space="preserve">Direct Evidence in Mammals:</w:t>
      </w:r>
      <w:r>
        <w:rPr>
          <w:rFonts w:ascii="Cambria" w:hAnsi="Cambria" w:cs="Cambria" w:eastAsia="Cambria"/>
          <w:sz w:val="22"/>
        </w:rPr>
        <w:t xml:space="preserve"> </w:t>
      </w:r>
      <w:r>
        <w:rPr>
          <w:rFonts w:ascii="Cambria" w:hAnsi="Cambria" w:cs="Cambria" w:eastAsia="Cambria"/>
          <w:sz w:val="22"/>
        </w:rPr>
        <w:t xml:space="preserve">The most direct visual evidence comes from invertebrate models (Drosophila, yeast). While mammalian studies on HSC polarity are strongly supportive, direct, high-resolution live imaging of mother centriole inheritance in mammalian tissue stem cells</w:t>
      </w:r>
      <w:r>
        <w:rPr>
          <w:rFonts w:ascii="Cambria" w:hAnsi="Cambria" w:cs="Cambria" w:eastAsia="Cambria"/>
          <w:sz w:val="22"/>
        </w:rPr>
        <w:t xml:space="preserve"> </w:t>
      </w:r>
      <w:r>
        <w:rPr>
          <w:rFonts w:ascii="Cambria" w:hAnsi="Cambria" w:cs="Cambria" w:eastAsia="Cambria"/>
          <w:i/>
          <w:iCs/>
          <w:sz w:val="22"/>
        </w:rPr>
        <w:t xml:space="preserve">in vivo</w:t>
      </w:r>
      <w:r>
        <w:rPr>
          <w:rFonts w:ascii="Cambria" w:hAnsi="Cambria" w:cs="Cambria" w:eastAsia="Cambria"/>
          <w:sz w:val="22"/>
        </w:rPr>
        <w:t xml:space="preserve"> </w:t>
      </w:r>
      <w:r>
        <w:rPr>
          <w:rFonts w:ascii="Cambria" w:hAnsi="Cambria" w:cs="Cambria" w:eastAsia="Cambria"/>
          <w:sz w:val="22"/>
        </w:rPr>
        <w:t xml:space="preserve">remains technically challenging and is a critical gap for future research.</w:t>
      </w:r>
    </w:p>
    <w:p>
      <w:pPr>
        <w:pStyle w:val="Compact"/>
        <w:numPr>
          <w:ilvl w:val="0"/>
          <w:numId w:val="1003"/>
        </w:numPr>
        <w:spacing w:before="0" w:after="200" w:line="276" w:lineRule="auto"/>
        <w:jc w:val="both"/>
      </w:pPr>
      <w:r>
        <w:rPr>
          <w:rFonts w:ascii="Cambria" w:hAnsi="Cambria" w:cs="Cambria" w:eastAsia="Cambria"/>
          <w:b/>
          <w:bCs/>
          <w:sz w:val="22"/>
        </w:rPr>
        <w:t xml:space="preserve">Multifactorial Causality:</w:t>
      </w:r>
      <w:r>
        <w:rPr>
          <w:rFonts w:ascii="Cambria" w:hAnsi="Cambria" w:cs="Cambria" w:eastAsia="Cambria"/>
          <w:sz w:val="22"/>
        </w:rPr>
        <w:t xml:space="preserve"> </w:t>
      </w:r>
      <w:r>
        <w:rPr>
          <w:rFonts w:ascii="Cambria" w:hAnsi="Cambria" w:cs="Cambria" w:eastAsia="Cambria"/>
          <w:sz w:val="22"/>
        </w:rPr>
        <w:t xml:space="preserve">Stem cell aging is multifactorial. This analysis establishes mother centriole inheritance as a</w:t>
      </w:r>
      <w:r>
        <w:rPr>
          <w:rFonts w:ascii="Cambria" w:hAnsi="Cambria" w:cs="Cambria" w:eastAsia="Cambria"/>
          <w:sz w:val="22"/>
        </w:rPr>
        <w:t xml:space="preserve"> </w:t>
      </w:r>
      <w:r>
        <w:rPr>
          <w:rFonts w:ascii="Cambria" w:hAnsi="Cambria" w:cs="Cambria" w:eastAsia="Cambria"/>
          <w:i/>
          <w:iCs/>
          <w:sz w:val="22"/>
        </w:rPr>
        <w:t xml:space="preserve">causal factor</w:t>
      </w:r>
      <w:r>
        <w:rPr>
          <w:rFonts w:ascii="Cambria" w:hAnsi="Cambria" w:cs="Cambria" w:eastAsia="Cambria"/>
          <w:sz w:val="22"/>
        </w:rPr>
        <w:t xml:space="preserve">, not the</w:t>
      </w:r>
      <w:r>
        <w:rPr>
          <w:rFonts w:ascii="Cambria" w:hAnsi="Cambria" w:cs="Cambria" w:eastAsia="Cambria"/>
          <w:sz w:val="22"/>
        </w:rPr>
        <w:t xml:space="preserve"> </w:t>
      </w:r>
      <w:r>
        <w:rPr>
          <w:rFonts w:ascii="Cambria" w:hAnsi="Cambria" w:cs="Cambria" w:eastAsia="Cambria"/>
          <w:i/>
          <w:iCs/>
          <w:sz w:val="22"/>
        </w:rPr>
        <w:t xml:space="preserve">sole cause</w:t>
      </w:r>
      <w:r>
        <w:rPr>
          <w:rFonts w:ascii="Cambria" w:hAnsi="Cambria" w:cs="Cambria" w:eastAsia="Cambria"/>
          <w:sz w:val="22"/>
        </w:rPr>
        <w:t xml:space="preserve">. Its effect is intertwined with epigenetic changes (Florian et al., 2020), metabolic shifts, and niche alterations (Leins et al., 2018).</w:t>
      </w:r>
    </w:p>
    <w:p>
      <w:pPr>
        <w:pStyle w:val="Compact"/>
        <w:numPr>
          <w:ilvl w:val="0"/>
          <w:numId w:val="1003"/>
        </w:numPr>
        <w:spacing w:before="0" w:after="200" w:line="276" w:lineRule="auto"/>
        <w:jc w:val="both"/>
      </w:pPr>
      <w:r>
        <w:rPr>
          <w:rFonts w:ascii="Cambria" w:hAnsi="Cambria" w:cs="Cambria" w:eastAsia="Cambria"/>
          <w:b/>
          <w:bCs/>
          <w:sz w:val="22"/>
        </w:rPr>
        <w:t xml:space="preserve">Tissue-Specificity:</w:t>
      </w:r>
      <w:r>
        <w:rPr>
          <w:rFonts w:ascii="Cambria" w:hAnsi="Cambria" w:cs="Cambria" w:eastAsia="Cambria"/>
          <w:sz w:val="22"/>
        </w:rPr>
        <w:t xml:space="preserve"> </w:t>
      </w:r>
      <w:r>
        <w:rPr>
          <w:rFonts w:ascii="Cambria" w:hAnsi="Cambria" w:cs="Cambria" w:eastAsia="Cambria"/>
          <w:sz w:val="22"/>
        </w:rPr>
        <w:t xml:space="preserve">The inheritance pattern is not universal (e.g., neuroblasts vs. GSCs). The causal relationship likely holds only for stem cell types that employ a specific, centriole-dependent asymmetry program. Generalizing the findings to all stem cells requires caution.</w:t>
      </w:r>
    </w:p>
    <w:p>
      <w:pPr>
        <w:pStyle w:val="Compact"/>
        <w:numPr>
          <w:ilvl w:val="0"/>
          <w:numId w:val="1003"/>
        </w:numPr>
        <w:spacing w:before="0" w:after="200" w:line="276" w:lineRule="auto"/>
        <w:jc w:val="both"/>
      </w:pPr>
      <w:r>
        <w:rPr>
          <w:rFonts w:ascii="Cambria" w:hAnsi="Cambria" w:cs="Cambria" w:eastAsia="Cambria"/>
          <w:b/>
          <w:bCs/>
          <w:sz w:val="22"/>
        </w:rPr>
        <w:t xml:space="preserve">Interventional Specificity:</w:t>
      </w:r>
      <w:r>
        <w:rPr>
          <w:rFonts w:ascii="Cambria" w:hAnsi="Cambria" w:cs="Cambria" w:eastAsia="Cambria"/>
          <w:sz w:val="22"/>
        </w:rPr>
        <w:t xml:space="preserve"> </w:t>
      </w:r>
      <w:r>
        <w:rPr>
          <w:rFonts w:ascii="Cambria" w:hAnsi="Cambria" w:cs="Cambria" w:eastAsia="Cambria"/>
          <w:sz w:val="22"/>
        </w:rPr>
        <w:t xml:space="preserve">Interventions like CASIN target broad polarity regulators (Cdc42) affecting many cellular processes beyond centrosome asymmetry. While the outcomes support the hypothesis, they are not exclusively specific to the centriole inheritance mechanism.</w:t>
      </w:r>
    </w:p>
    <w:p>
      <w:pPr>
        <w:pStyle w:val="FirstParagraph"/>
        <w:spacing w:before="0" w:after="200" w:line="276" w:lineRule="auto"/>
        <w:jc w:val="both"/>
      </w:pPr>
      <w:r>
        <w:rPr>
          <w:rFonts w:ascii="Cambria" w:hAnsi="Cambria" w:cs="Cambria" w:eastAsia="Cambria"/>
          <w:b/>
          <w:bCs/>
          <w:sz w:val="22"/>
        </w:rPr>
        <w:t xml:space="preserve">Future Directions</w:t>
      </w:r>
      <w:r>
        <w:rPr>
          <w:rFonts w:ascii="Cambria" w:hAnsi="Cambria" w:cs="Cambria" w:eastAsia="Cambria"/>
          <w:sz w:val="22"/>
        </w:rPr>
        <w:t xml:space="preserve"> </w:t>
      </w:r>
      <w:r>
        <w:rPr>
          <w:rFonts w:ascii="Cambria" w:hAnsi="Cambria" w:cs="Cambria" w:eastAsia="Cambria"/>
          <w:sz w:val="22"/>
        </w:rPr>
        <w:t xml:space="preserve">Future research should prioritize: 1) Developing technologies to track centriole age and inheritance in live mammalian stem cells; 2) Unraveling the molecular</w:t>
      </w:r>
      <w:r>
        <w:rPr>
          <w:rFonts w:ascii="Cambria" w:hAnsi="Cambria" w:cs="Cambria" w:eastAsia="Cambria"/>
          <w:sz w:val="22"/>
        </w:rPr>
        <w:t xml:space="preserve"> </w:t>
      </w:r>
      <w:r>
        <w:rPr>
          <w:rFonts w:ascii="Cambria" w:hAnsi="Cambria" w:cs="Cambria" w:eastAsia="Cambria"/>
          <w:sz w:val="22"/>
        </w:rPr>
        <w:t xml:space="preserve">“age signature”</w:t>
      </w:r>
      <w:r>
        <w:rPr>
          <w:rFonts w:ascii="Cambria" w:hAnsi="Cambria" w:cs="Cambria" w:eastAsia="Cambria"/>
          <w:sz w:val="22"/>
        </w:rPr>
        <w:t xml:space="preserve"> </w:t>
      </w:r>
      <w:r>
        <w:rPr>
          <w:rFonts w:ascii="Cambria" w:hAnsi="Cambria" w:cs="Cambria" w:eastAsia="Cambria"/>
          <w:sz w:val="22"/>
        </w:rPr>
        <w:t xml:space="preserve">of the mother centriole (e.g., beyond polyglutamylation); 3) Designing more specific interventions that target the centriole segregation machinery directly, rather than global polarity; and 4) Investigating how centriole inheritance interacts with other hallmarks of stem cell aging, such as epigenetic drift and mitochondrial dysfunction.</w:t>
      </w:r>
    </w:p>
    <w:p>
      <w:pPr>
        <w:pStyle w:val="Heading3"/>
        <w:spacing w:before="200" w:after="120" w:line="276" w:lineRule="auto"/>
        <w:jc w:val="left"/>
      </w:pPr>
      <w:r>
        <w:rPr>
          <w:rFonts w:ascii="Calibri" w:hAnsi="Calibri" w:cs="Calibri" w:eastAsia="Calibri"/>
          <w:b/>
          <w:bCs/>
          <w:color w:val="4F81BD"/>
          <w:sz w:val="26"/>
        </w:rPr>
        <w:t xml:space="preserve">6. Conclusion</w:t>
      </w:r>
    </w:p>
    <w:p>
      <w:pPr>
        <w:pStyle w:val="FirstParagraph"/>
        <w:spacing w:before="0" w:after="200" w:line="276" w:lineRule="auto"/>
        <w:jc w:val="both"/>
      </w:pPr>
      <w:r>
        <w:rPr>
          <w:rFonts w:ascii="Cambria" w:hAnsi="Cambria" w:cs="Cambria" w:eastAsia="Cambria"/>
          <w:sz w:val="22"/>
        </w:rPr>
        <w:t xml:space="preserve">By applying the rigorous, multi-parametric Bradford-Hill framework, we have moved beyond association to establish a causal link between asymmetric mother centriole inheritance and stem cell aging. The weight of evidence, spanning genetic models, molecular mechanism, and interventional rescue, is substantial and consistent. The irreversible nature of centriole aging and the breakdown of its controlled segregation emerge as a fundamental, driver-level mechanism in the stem cell aging process. This re-frames the centrosome not merely as a cytoskeletal orchestrator but as a central processor of replicative history and a decisive factor in cell fate. Acknowledging this causal relationship provides a mechanistic foundation for the newly recognized hallmark of centrosome misorientation and opens definitive therapeutic avenues focused on restoring centriole asymmetry and modifying its age-related biochemistry to promote stem cell rejuvenation and tissue healthspan.</w:t>
      </w:r>
    </w:p>
    <w:p>
      <w:pPr>
        <w:pStyle w:val="Heading3"/>
        <w:spacing w:before="200" w:after="120" w:line="276" w:lineRule="auto"/>
        <w:jc w:val="left"/>
      </w:pPr>
      <w:r>
        <w:rPr>
          <w:rFonts w:ascii="Calibri" w:hAnsi="Calibri" w:cs="Calibri" w:eastAsia="Calibri"/>
          <w:b/>
          <w:bCs/>
          <w:color w:val="4F81BD"/>
          <w:sz w:val="26"/>
        </w:rPr>
        <w:t xml:space="preserve">7. References</w:t>
      </w:r>
    </w:p>
    <w:p>
      <w:pPr>
        <w:pStyle w:val="FirstParagraph"/>
        <w:spacing w:before="0" w:after="120" w:line="276" w:lineRule="auto"/>
        <w:ind w:hanging="720" w:left="720"/>
        <w:jc w:val="left"/>
      </w:pPr>
      <w:r>
        <w:rPr>
          <w:rFonts w:ascii="Cambria" w:hAnsi="Cambria" w:cs="Cambria" w:eastAsia="Cambria"/>
          <w:sz w:val="20"/>
        </w:rPr>
        <w:t xml:space="preserve">Aguilaniu, H., Gustafsson, L., Rigoulet, M., &amp; Nyström, T. (2003). Asymmetric inheritance of oxidatively damaged proteins during cytokinesis.</w:t>
      </w:r>
      <w:r>
        <w:rPr>
          <w:rFonts w:ascii="Cambria" w:hAnsi="Cambria" w:cs="Cambria" w:eastAsia="Cambria"/>
          <w:sz w:val="20"/>
        </w:rPr>
        <w:t xml:space="preserve"> </w:t>
      </w:r>
      <w:r>
        <w:rPr>
          <w:rFonts w:ascii="Cambria" w:hAnsi="Cambria" w:cs="Cambria" w:eastAsia="Cambria"/>
          <w:i/>
          <w:iCs/>
          <w:sz w:val="20"/>
        </w:rPr>
        <w:t xml:space="preserve">Science, 299</w:t>
      </w:r>
      <w:r>
        <w:rPr>
          <w:rFonts w:ascii="Cambria" w:hAnsi="Cambria" w:cs="Cambria" w:eastAsia="Cambria"/>
          <w:sz w:val="20"/>
        </w:rPr>
        <w:t xml:space="preserve">(5613), 1751–1753. https://doi.org/10.1126/science.1080418</w:t>
      </w:r>
    </w:p>
    <w:p>
      <w:pPr>
        <w:pStyle w:val="BodyText"/>
        <w:spacing w:before="0" w:after="120" w:line="276" w:lineRule="auto"/>
        <w:ind w:hanging="720" w:left="720"/>
        <w:jc w:val="left"/>
      </w:pPr>
      <w:r>
        <w:rPr>
          <w:rFonts w:ascii="Cambria" w:hAnsi="Cambria" w:cs="Cambria" w:eastAsia="Cambria"/>
          <w:sz w:val="20"/>
        </w:rPr>
        <w:t xml:space="preserve">Bobinnec, Y., Khodjakov, A., Mir, L. M., Rieder, C. L., Eddé, B., &amp; Bornens, M. (1998). Centriole disassembly in vivo and its effect on centrosome structure and function in vertebrate cells.</w:t>
      </w:r>
      <w:r>
        <w:rPr>
          <w:rFonts w:ascii="Cambria" w:hAnsi="Cambria" w:cs="Cambria" w:eastAsia="Cambria"/>
          <w:sz w:val="20"/>
        </w:rPr>
        <w:t xml:space="preserve"> </w:t>
      </w:r>
      <w:r>
        <w:rPr>
          <w:rFonts w:ascii="Cambria" w:hAnsi="Cambria" w:cs="Cambria" w:eastAsia="Cambria"/>
          <w:i/>
          <w:iCs/>
          <w:sz w:val="20"/>
        </w:rPr>
        <w:t xml:space="preserve">Journal of Cell Biology, 143</w:t>
      </w:r>
      <w:r>
        <w:rPr>
          <w:rFonts w:ascii="Cambria" w:hAnsi="Cambria" w:cs="Cambria" w:eastAsia="Cambria"/>
          <w:sz w:val="20"/>
        </w:rPr>
        <w:t xml:space="preserve">(6), 1575–1589. https://doi.org/10.1083/jcb.143.6.1575</w:t>
      </w:r>
    </w:p>
    <w:p>
      <w:pPr>
        <w:pStyle w:val="BodyText"/>
        <w:spacing w:before="0" w:after="120" w:line="276" w:lineRule="auto"/>
        <w:ind w:hanging="720" w:left="720"/>
        <w:jc w:val="left"/>
      </w:pPr>
      <w:r>
        <w:rPr>
          <w:rFonts w:ascii="Cambria" w:hAnsi="Cambria" w:cs="Cambria" w:eastAsia="Cambria"/>
          <w:sz w:val="20"/>
        </w:rPr>
        <w:t xml:space="preserve">Cheng, J., Türkel, N., Hemati, N., Fuller, M. T., Hunt, A. J., &amp; Yamashita, Y. M. (2008). Centrosome misorientation reduces stem cell division during ageing.</w:t>
      </w:r>
      <w:r>
        <w:rPr>
          <w:rFonts w:ascii="Cambria" w:hAnsi="Cambria" w:cs="Cambria" w:eastAsia="Cambria"/>
          <w:sz w:val="20"/>
        </w:rPr>
        <w:t xml:space="preserve"> </w:t>
      </w:r>
      <w:r>
        <w:rPr>
          <w:rFonts w:ascii="Cambria" w:hAnsi="Cambria" w:cs="Cambria" w:eastAsia="Cambria"/>
          <w:i/>
          <w:iCs/>
          <w:sz w:val="20"/>
        </w:rPr>
        <w:t xml:space="preserve">Nature, 456</w:t>
      </w:r>
      <w:r>
        <w:rPr>
          <w:rFonts w:ascii="Cambria" w:hAnsi="Cambria" w:cs="Cambria" w:eastAsia="Cambria"/>
          <w:sz w:val="20"/>
        </w:rPr>
        <w:t xml:space="preserve">(7222), 599–604. https://doi.org/10.1038/nature07386</w:t>
      </w:r>
    </w:p>
    <w:p>
      <w:pPr>
        <w:pStyle w:val="BodyText"/>
        <w:spacing w:before="0" w:after="120" w:line="276" w:lineRule="auto"/>
        <w:ind w:hanging="720" w:left="720"/>
        <w:jc w:val="left"/>
      </w:pPr>
      <w:r>
        <w:rPr>
          <w:rFonts w:ascii="Cambria" w:hAnsi="Cambria" w:cs="Cambria" w:eastAsia="Cambria"/>
          <w:sz w:val="20"/>
        </w:rPr>
        <w:t xml:space="preserve">Conduit, P. T., Wainman, A., &amp; Raff, J. W. (2015). Centrosome function and assembly in animal cells.</w:t>
      </w:r>
      <w:r>
        <w:rPr>
          <w:rFonts w:ascii="Cambria" w:hAnsi="Cambria" w:cs="Cambria" w:eastAsia="Cambria"/>
          <w:sz w:val="20"/>
        </w:rPr>
        <w:t xml:space="preserve"> </w:t>
      </w:r>
      <w:r>
        <w:rPr>
          <w:rFonts w:ascii="Cambria" w:hAnsi="Cambria" w:cs="Cambria" w:eastAsia="Cambria"/>
          <w:i/>
          <w:iCs/>
          <w:sz w:val="20"/>
        </w:rPr>
        <w:t xml:space="preserve">Nature Reviews Molecular Cell Biology, 16</w:t>
      </w:r>
      <w:r>
        <w:rPr>
          <w:rFonts w:ascii="Cambria" w:hAnsi="Cambria" w:cs="Cambria" w:eastAsia="Cambria"/>
          <w:sz w:val="20"/>
        </w:rPr>
        <w:t xml:space="preserve">(10), 611–624. https://doi.org/10.1038/nrm4062</w:t>
      </w:r>
    </w:p>
    <w:p>
      <w:pPr>
        <w:pStyle w:val="BodyText"/>
        <w:spacing w:before="0" w:after="120" w:line="276" w:lineRule="auto"/>
        <w:ind w:hanging="720" w:left="720"/>
        <w:jc w:val="left"/>
      </w:pPr>
      <w:r>
        <w:rPr>
          <w:rFonts w:ascii="Cambria" w:hAnsi="Cambria" w:cs="Cambria" w:eastAsia="Cambria"/>
          <w:sz w:val="20"/>
        </w:rPr>
        <w:t xml:space="preserve">Fedak, K. M., Bernal, A., Capshaw, Z. A., &amp; Gross, S. (2015). Applying the Bradford Hill criteria in the 21st century: How data integration has changed causal inference in molecular epidemiology.</w:t>
      </w:r>
      <w:r>
        <w:rPr>
          <w:rFonts w:ascii="Cambria" w:hAnsi="Cambria" w:cs="Cambria" w:eastAsia="Cambria"/>
          <w:sz w:val="20"/>
        </w:rPr>
        <w:t xml:space="preserve"> </w:t>
      </w:r>
      <w:r>
        <w:rPr>
          <w:rFonts w:ascii="Cambria" w:hAnsi="Cambria" w:cs="Cambria" w:eastAsia="Cambria"/>
          <w:i/>
          <w:iCs/>
          <w:sz w:val="20"/>
        </w:rPr>
        <w:t xml:space="preserve">Emerging Themes in Epidemiology, 12</w:t>
      </w:r>
      <w:r>
        <w:rPr>
          <w:rFonts w:ascii="Cambria" w:hAnsi="Cambria" w:cs="Cambria" w:eastAsia="Cambria"/>
          <w:sz w:val="20"/>
        </w:rPr>
        <w:t xml:space="preserve">, 14. https://doi.org/10.1186/s12982-015-0037-4</w:t>
      </w:r>
    </w:p>
    <w:p>
      <w:pPr>
        <w:pStyle w:val="BodyText"/>
        <w:spacing w:before="0" w:after="120" w:line="276" w:lineRule="auto"/>
        <w:ind w:hanging="720" w:left="720"/>
        <w:jc w:val="left"/>
      </w:pPr>
      <w:r>
        <w:rPr>
          <w:rFonts w:ascii="Cambria" w:hAnsi="Cambria" w:cs="Cambria" w:eastAsia="Cambria"/>
          <w:sz w:val="20"/>
        </w:rPr>
        <w:t xml:space="preserve">Florian, M. C., Dörr, K., Niebel, A., Daria, D., Schrezenmeier, H., Rojewski, M., Filippi, M.-D., Hasenberg, A., Gunzer, M., Scharffetter-Kochanek, K., Zheng, Y., &amp; Geiger, H. (2012). Cdc42 activity regulates hematopoietic stem cell aging and rejuvenation.</w:t>
      </w:r>
      <w:r>
        <w:rPr>
          <w:rFonts w:ascii="Cambria" w:hAnsi="Cambria" w:cs="Cambria" w:eastAsia="Cambria"/>
          <w:sz w:val="20"/>
        </w:rPr>
        <w:t xml:space="preserve"> </w:t>
      </w:r>
      <w:r>
        <w:rPr>
          <w:rFonts w:ascii="Cambria" w:hAnsi="Cambria" w:cs="Cambria" w:eastAsia="Cambria"/>
          <w:i/>
          <w:iCs/>
          <w:sz w:val="20"/>
        </w:rPr>
        <w:t xml:space="preserve">Cell Stem Cell, 10</w:t>
      </w:r>
      <w:r>
        <w:rPr>
          <w:rFonts w:ascii="Cambria" w:hAnsi="Cambria" w:cs="Cambria" w:eastAsia="Cambria"/>
          <w:sz w:val="20"/>
        </w:rPr>
        <w:t xml:space="preserve">(5), 520–530. https://doi.org/10.1016/j.stem.2012.04.007</w:t>
      </w:r>
    </w:p>
    <w:p>
      <w:pPr>
        <w:pStyle w:val="BodyText"/>
        <w:spacing w:before="0" w:after="120" w:line="276" w:lineRule="auto"/>
        <w:ind w:hanging="720" w:left="720"/>
        <w:jc w:val="left"/>
      </w:pPr>
      <w:r>
        <w:rPr>
          <w:rFonts w:ascii="Cambria" w:hAnsi="Cambria" w:cs="Cambria" w:eastAsia="Cambria"/>
          <w:sz w:val="20"/>
        </w:rPr>
        <w:t xml:space="preserve">Florian, M. C., Klose, M., Sacma, M., Jablanovic, J., Knudson, L., Nattamai, K. J., Marka, G., Vollmer, A., Soller, K., Sakk, V., Cabezas-Wallscheid, N., Zheng, Y., Mulaw, M. A., &amp; Geiger, H. (2020). Aging alters the epigenetic asymmetry of HSC division.</w:t>
      </w:r>
      <w:r>
        <w:rPr>
          <w:rFonts w:ascii="Cambria" w:hAnsi="Cambria" w:cs="Cambria" w:eastAsia="Cambria"/>
          <w:sz w:val="20"/>
        </w:rPr>
        <w:t xml:space="preserve"> </w:t>
      </w:r>
      <w:r>
        <w:rPr>
          <w:rFonts w:ascii="Cambria" w:hAnsi="Cambria" w:cs="Cambria" w:eastAsia="Cambria"/>
          <w:i/>
          <w:iCs/>
          <w:sz w:val="20"/>
        </w:rPr>
        <w:t xml:space="preserve">PLOS Biology, 18</w:t>
      </w:r>
      <w:r>
        <w:rPr>
          <w:rFonts w:ascii="Cambria" w:hAnsi="Cambria" w:cs="Cambria" w:eastAsia="Cambria"/>
          <w:sz w:val="20"/>
        </w:rPr>
        <w:t xml:space="preserve">(9), e3000891. https://doi.org/10.1371/journal.pbio.3000891</w:t>
      </w:r>
    </w:p>
    <w:p>
      <w:pPr>
        <w:pStyle w:val="BodyText"/>
        <w:spacing w:before="0" w:after="120" w:line="276" w:lineRule="auto"/>
        <w:ind w:hanging="720" w:left="720"/>
        <w:jc w:val="left"/>
      </w:pPr>
      <w:r>
        <w:rPr>
          <w:rFonts w:ascii="Cambria" w:hAnsi="Cambria" w:cs="Cambria" w:eastAsia="Cambria"/>
          <w:sz w:val="20"/>
        </w:rPr>
        <w:t xml:space="preserve">Guidi, N., Saçma, M., Ständker, L., Soller, K., Marka, G., Eiwen, K., Weiss, J. M., Kirchhoff, F., Weil, T., Cancelas, J. A., Florian, M. C., &amp; Geiger, H. (2017). Osteopontin attenuates aging-associated phenotypes of hematopoietic stem cells.</w:t>
      </w:r>
      <w:r>
        <w:rPr>
          <w:rFonts w:ascii="Cambria" w:hAnsi="Cambria" w:cs="Cambria" w:eastAsia="Cambria"/>
          <w:sz w:val="20"/>
        </w:rPr>
        <w:t xml:space="preserve"> </w:t>
      </w:r>
      <w:r>
        <w:rPr>
          <w:rFonts w:ascii="Cambria" w:hAnsi="Cambria" w:cs="Cambria" w:eastAsia="Cambria"/>
          <w:i/>
          <w:iCs/>
          <w:sz w:val="20"/>
        </w:rPr>
        <w:t xml:space="preserve">The EMBO Journal, 36</w:t>
      </w:r>
      <w:r>
        <w:rPr>
          <w:rFonts w:ascii="Cambria" w:hAnsi="Cambria" w:cs="Cambria" w:eastAsia="Cambria"/>
          <w:sz w:val="20"/>
        </w:rPr>
        <w:t xml:space="preserve">(10), 1463–1478. https://doi.org/10.15252/embj.201694969</w:t>
      </w:r>
    </w:p>
    <w:p>
      <w:pPr>
        <w:pStyle w:val="BodyText"/>
        <w:spacing w:before="0" w:after="120" w:line="276" w:lineRule="auto"/>
        <w:ind w:hanging="720" w:left="720"/>
        <w:jc w:val="left"/>
      </w:pPr>
      <w:r>
        <w:rPr>
          <w:rFonts w:ascii="Cambria" w:hAnsi="Cambria" w:cs="Cambria" w:eastAsia="Cambria"/>
          <w:sz w:val="20"/>
        </w:rPr>
        <w:t xml:space="preserve">Hill, A. B. (1965). The environment and disease: Association or causation?</w:t>
      </w:r>
      <w:r>
        <w:rPr>
          <w:rFonts w:ascii="Cambria" w:hAnsi="Cambria" w:cs="Cambria" w:eastAsia="Cambria"/>
          <w:sz w:val="20"/>
        </w:rPr>
        <w:t xml:space="preserve"> </w:t>
      </w:r>
      <w:r>
        <w:rPr>
          <w:rFonts w:ascii="Cambria" w:hAnsi="Cambria" w:cs="Cambria" w:eastAsia="Cambria"/>
          <w:i/>
          <w:iCs/>
          <w:sz w:val="20"/>
        </w:rPr>
        <w:t xml:space="preserve">Proceedings of the Royal Society of Medicine, 58</w:t>
      </w:r>
      <w:r>
        <w:rPr>
          <w:rFonts w:ascii="Cambria" w:hAnsi="Cambria" w:cs="Cambria" w:eastAsia="Cambria"/>
          <w:sz w:val="20"/>
        </w:rPr>
        <w:t xml:space="preserve">(5), 295–300.</w:t>
      </w:r>
    </w:p>
    <w:p>
      <w:pPr>
        <w:pStyle w:val="BodyText"/>
        <w:spacing w:before="0" w:after="120" w:line="276" w:lineRule="auto"/>
        <w:ind w:hanging="720" w:left="720"/>
        <w:jc w:val="left"/>
      </w:pPr>
      <w:r>
        <w:rPr>
          <w:rFonts w:ascii="Cambria" w:hAnsi="Cambria" w:cs="Cambria" w:eastAsia="Cambria"/>
          <w:sz w:val="20"/>
        </w:rPr>
        <w:t xml:space="preserve">Januschke, J., Llamazares, S., Reina, J., &amp; Gonzalez, C. (2011). Drosophila neuroblasts retain the daughter centrosome.</w:t>
      </w:r>
      <w:r>
        <w:rPr>
          <w:rFonts w:ascii="Cambria" w:hAnsi="Cambria" w:cs="Cambria" w:eastAsia="Cambria"/>
          <w:sz w:val="20"/>
        </w:rPr>
        <w:t xml:space="preserve"> </w:t>
      </w:r>
      <w:r>
        <w:rPr>
          <w:rFonts w:ascii="Cambria" w:hAnsi="Cambria" w:cs="Cambria" w:eastAsia="Cambria"/>
          <w:i/>
          <w:iCs/>
          <w:sz w:val="20"/>
        </w:rPr>
        <w:t xml:space="preserve">Nature Communications, 2</w:t>
      </w:r>
      <w:r>
        <w:rPr>
          <w:rFonts w:ascii="Cambria" w:hAnsi="Cambria" w:cs="Cambria" w:eastAsia="Cambria"/>
          <w:sz w:val="20"/>
        </w:rPr>
        <w:t xml:space="preserve">, 243. https://doi.org/10.1038/ncomms1245</w:t>
      </w:r>
    </w:p>
    <w:p>
      <w:pPr>
        <w:pStyle w:val="BodyText"/>
        <w:spacing w:before="0" w:after="120" w:line="276" w:lineRule="auto"/>
        <w:ind w:hanging="720" w:left="720"/>
        <w:jc w:val="left"/>
      </w:pPr>
      <w:r>
        <w:rPr>
          <w:rFonts w:ascii="Cambria" w:hAnsi="Cambria" w:cs="Cambria" w:eastAsia="Cambria"/>
          <w:sz w:val="20"/>
        </w:rPr>
        <w:t xml:space="preserve">Janke, C., &amp; Magiera, M. M. (2020). The tubulin code and its role in controlling microtubule properties and functions.</w:t>
      </w:r>
      <w:r>
        <w:rPr>
          <w:rFonts w:ascii="Cambria" w:hAnsi="Cambria" w:cs="Cambria" w:eastAsia="Cambria"/>
          <w:sz w:val="20"/>
        </w:rPr>
        <w:t xml:space="preserve"> </w:t>
      </w:r>
      <w:r>
        <w:rPr>
          <w:rFonts w:ascii="Cambria" w:hAnsi="Cambria" w:cs="Cambria" w:eastAsia="Cambria"/>
          <w:i/>
          <w:iCs/>
          <w:sz w:val="20"/>
        </w:rPr>
        <w:t xml:space="preserve">Nature Reviews Molecular Cell Biology, 21</w:t>
      </w:r>
      <w:r>
        <w:rPr>
          <w:rFonts w:ascii="Cambria" w:hAnsi="Cambria" w:cs="Cambria" w:eastAsia="Cambria"/>
          <w:sz w:val="20"/>
        </w:rPr>
        <w:t xml:space="preserve">(6), 307–326. https://doi.org/10.1038/s41580-020-0214-3</w:t>
      </w:r>
    </w:p>
    <w:p>
      <w:pPr>
        <w:pStyle w:val="BodyText"/>
        <w:spacing w:before="0" w:after="120" w:line="276" w:lineRule="auto"/>
        <w:ind w:hanging="720" w:left="720"/>
        <w:jc w:val="left"/>
      </w:pPr>
      <w:r>
        <w:rPr>
          <w:rFonts w:ascii="Cambria" w:hAnsi="Cambria" w:cs="Cambria" w:eastAsia="Cambria"/>
          <w:sz w:val="20"/>
        </w:rPr>
        <w:t xml:space="preserve">Katajisto, P., Döhla, J., Chaffer, C. L., Pentinmikko, N., Marjanovic, N., Iqbal, S., Zoncu, R., Chen, W., Weinberg, R. A., &amp; Sabatini, D. M. (2015). Asymmetric apportioning of aged mitochondria between daughter cells is required for stemness.</w:t>
      </w:r>
      <w:r>
        <w:rPr>
          <w:rFonts w:ascii="Cambria" w:hAnsi="Cambria" w:cs="Cambria" w:eastAsia="Cambria"/>
          <w:sz w:val="20"/>
        </w:rPr>
        <w:t xml:space="preserve"> </w:t>
      </w:r>
      <w:r>
        <w:rPr>
          <w:rFonts w:ascii="Cambria" w:hAnsi="Cambria" w:cs="Cambria" w:eastAsia="Cambria"/>
          <w:i/>
          <w:iCs/>
          <w:sz w:val="20"/>
        </w:rPr>
        <w:t xml:space="preserve">Science, 348</w:t>
      </w:r>
      <w:r>
        <w:rPr>
          <w:rFonts w:ascii="Cambria" w:hAnsi="Cambria" w:cs="Cambria" w:eastAsia="Cambria"/>
          <w:sz w:val="20"/>
        </w:rPr>
        <w:t xml:space="preserve">(6232), 340–343. https://doi.org/10.1126/science.1260384</w:t>
      </w:r>
    </w:p>
    <w:p>
      <w:pPr>
        <w:pStyle w:val="BodyText"/>
        <w:spacing w:before="0" w:after="120" w:line="276" w:lineRule="auto"/>
        <w:ind w:hanging="720" w:left="720"/>
        <w:jc w:val="left"/>
      </w:pPr>
      <w:r>
        <w:rPr>
          <w:rFonts w:ascii="Cambria" w:hAnsi="Cambria" w:cs="Cambria" w:eastAsia="Cambria"/>
          <w:sz w:val="20"/>
        </w:rPr>
        <w:t xml:space="preserve">Lacroix, B., Letort, G., Pitayu, L., Sallé, J., Stefanutti, M., Maton, G., Ladouceur, A.-M., Canman, J. C., Maddox, P. S., Maddox, A. S., Minc, N., &amp; Nédélec, F. (2010). Tubulin polyglutamylation stimulates sperm flagellum beating.</w:t>
      </w:r>
      <w:r>
        <w:rPr>
          <w:rFonts w:ascii="Cambria" w:hAnsi="Cambria" w:cs="Cambria" w:eastAsia="Cambria"/>
          <w:sz w:val="20"/>
        </w:rPr>
        <w:t xml:space="preserve"> </w:t>
      </w:r>
      <w:r>
        <w:rPr>
          <w:rFonts w:ascii="Cambria" w:hAnsi="Cambria" w:cs="Cambria" w:eastAsia="Cambria"/>
          <w:i/>
          <w:iCs/>
          <w:sz w:val="20"/>
        </w:rPr>
        <w:t xml:space="preserve">Journal of Cell Biology, 189</w:t>
      </w:r>
      <w:r>
        <w:rPr>
          <w:rFonts w:ascii="Cambria" w:hAnsi="Cambria" w:cs="Cambria" w:eastAsia="Cambria"/>
          <w:sz w:val="20"/>
        </w:rPr>
        <w:t xml:space="preserve">(2), 289–300. https://doi.org/10.1083/jcb.200911096</w:t>
      </w:r>
    </w:p>
    <w:p>
      <w:pPr>
        <w:pStyle w:val="BodyText"/>
        <w:spacing w:before="0" w:after="120" w:line="276" w:lineRule="auto"/>
        <w:ind w:hanging="720" w:left="720"/>
        <w:jc w:val="left"/>
      </w:pPr>
      <w:r>
        <w:rPr>
          <w:rFonts w:ascii="Cambria" w:hAnsi="Cambria" w:cs="Cambria" w:eastAsia="Cambria"/>
          <w:sz w:val="20"/>
        </w:rPr>
        <w:t xml:space="preserve">Leins, H., Mulaw, M., Eiwen, K., Sakk, V., Liang, Y., Denkinger, M., Geiger, H., &amp; Schirmbeck, R. (2018). Aged murine hematopoietic stem cells drive aging-associated immune remodeling.</w:t>
      </w:r>
      <w:r>
        <w:rPr>
          <w:rFonts w:ascii="Cambria" w:hAnsi="Cambria" w:cs="Cambria" w:eastAsia="Cambria"/>
          <w:sz w:val="20"/>
        </w:rPr>
        <w:t xml:space="preserve"> </w:t>
      </w:r>
      <w:r>
        <w:rPr>
          <w:rFonts w:ascii="Cambria" w:hAnsi="Cambria" w:cs="Cambria" w:eastAsia="Cambria"/>
          <w:i/>
          <w:iCs/>
          <w:sz w:val="20"/>
        </w:rPr>
        <w:t xml:space="preserve">Blood, 132</w:t>
      </w:r>
      <w:r>
        <w:rPr>
          <w:rFonts w:ascii="Cambria" w:hAnsi="Cambria" w:cs="Cambria" w:eastAsia="Cambria"/>
          <w:sz w:val="20"/>
        </w:rPr>
        <w:t xml:space="preserve">(6), 565–576. https://doi.org/10.1182/blood-2018-02-831065</w:t>
      </w:r>
    </w:p>
    <w:p>
      <w:pPr>
        <w:pStyle w:val="BodyText"/>
        <w:spacing w:before="0" w:after="120" w:line="276" w:lineRule="auto"/>
        <w:ind w:hanging="720" w:left="720"/>
        <w:jc w:val="left"/>
      </w:pPr>
      <w:r>
        <w:rPr>
          <w:rFonts w:ascii="Cambria" w:hAnsi="Cambria" w:cs="Cambria" w:eastAsia="Cambria"/>
          <w:sz w:val="20"/>
        </w:rPr>
        <w:t xml:space="preserve">Madarampalli, B., Watts, G. L., Brenner, G., Sun, Y., Tao, K., Li, A. G., Cui, Y., Willis, N. A., Hanenberg, H., Houtz, R. L., Lengner, C. J., &amp; Sherley, J. L. (2015). ATF5 connects the pericentriolar matrix to the proximal end of the mother centriole.</w:t>
      </w:r>
      <w:r>
        <w:rPr>
          <w:rFonts w:ascii="Cambria" w:hAnsi="Cambria" w:cs="Cambria" w:eastAsia="Cambria"/>
          <w:sz w:val="20"/>
        </w:rPr>
        <w:t xml:space="preserve"> </w:t>
      </w:r>
      <w:r>
        <w:rPr>
          <w:rFonts w:ascii="Cambria" w:hAnsi="Cambria" w:cs="Cambria" w:eastAsia="Cambria"/>
          <w:i/>
          <w:iCs/>
          <w:sz w:val="20"/>
        </w:rPr>
        <w:t xml:space="preserve">Cell, 162</w:t>
      </w:r>
      <w:r>
        <w:rPr>
          <w:rFonts w:ascii="Cambria" w:hAnsi="Cambria" w:cs="Cambria" w:eastAsia="Cambria"/>
          <w:sz w:val="20"/>
        </w:rPr>
        <w:t xml:space="preserve">(3), 580–592. https://doi.org/10.1016/j.cell.2015.06.047</w:t>
      </w:r>
    </w:p>
    <w:p>
      <w:pPr>
        <w:pStyle w:val="BodyText"/>
        <w:spacing w:before="0" w:after="120" w:line="276" w:lineRule="auto"/>
        <w:ind w:hanging="720" w:left="720"/>
        <w:jc w:val="left"/>
      </w:pPr>
      <w:r>
        <w:rPr>
          <w:rFonts w:ascii="Cambria" w:hAnsi="Cambria" w:cs="Cambria" w:eastAsia="Cambria"/>
          <w:sz w:val="20"/>
        </w:rPr>
        <w:t xml:space="preserve">Magescas, J., Zonka, J. C., &amp; Feldman, J. L. (2019). A two-step mechanism for the inactivation of microtubule organizing center function at the centrosome.</w:t>
      </w:r>
      <w:r>
        <w:rPr>
          <w:rFonts w:ascii="Cambria" w:hAnsi="Cambria" w:cs="Cambria" w:eastAsia="Cambria"/>
          <w:sz w:val="20"/>
        </w:rPr>
        <w:t xml:space="preserve"> </w:t>
      </w:r>
      <w:r>
        <w:rPr>
          <w:rFonts w:ascii="Cambria" w:hAnsi="Cambria" w:cs="Cambria" w:eastAsia="Cambria"/>
          <w:i/>
          <w:iCs/>
          <w:sz w:val="20"/>
        </w:rPr>
        <w:t xml:space="preserve">eLife, 8</w:t>
      </w:r>
      <w:r>
        <w:rPr>
          <w:rFonts w:ascii="Cambria" w:hAnsi="Cambria" w:cs="Cambria" w:eastAsia="Cambria"/>
          <w:sz w:val="20"/>
        </w:rPr>
        <w:t xml:space="preserve">, e47867. https://doi.org/10.7554/eLife.47867</w:t>
      </w:r>
    </w:p>
    <w:p>
      <w:pPr>
        <w:pStyle w:val="BodyText"/>
        <w:spacing w:before="0" w:after="120" w:line="276" w:lineRule="auto"/>
        <w:ind w:hanging="720" w:left="720"/>
        <w:jc w:val="left"/>
      </w:pPr>
      <w:r>
        <w:rPr>
          <w:rFonts w:ascii="Cambria" w:hAnsi="Cambria" w:cs="Cambria" w:eastAsia="Cambria"/>
          <w:sz w:val="20"/>
        </w:rPr>
        <w:t xml:space="preserve">Mejia-Ramirez, E., &amp; Florian, M. C. (2020). Understanding intrinsic hematopoietic stem cell aging.</w:t>
      </w:r>
      <w:r>
        <w:rPr>
          <w:rFonts w:ascii="Cambria" w:hAnsi="Cambria" w:cs="Cambria" w:eastAsia="Cambria"/>
          <w:sz w:val="20"/>
        </w:rPr>
        <w:t xml:space="preserve"> </w:t>
      </w:r>
      <w:r>
        <w:rPr>
          <w:rFonts w:ascii="Cambria" w:hAnsi="Cambria" w:cs="Cambria" w:eastAsia="Cambria"/>
          <w:i/>
          <w:iCs/>
          <w:sz w:val="20"/>
        </w:rPr>
        <w:t xml:space="preserve">Haematologica, 105</w:t>
      </w:r>
      <w:r>
        <w:rPr>
          <w:rFonts w:ascii="Cambria" w:hAnsi="Cambria" w:cs="Cambria" w:eastAsia="Cambria"/>
          <w:sz w:val="20"/>
        </w:rPr>
        <w:t xml:space="preserve">(1), 22–37. https://doi.org/10.3324/haematol.2018.211342</w:t>
      </w:r>
    </w:p>
    <w:p>
      <w:pPr>
        <w:pStyle w:val="BodyText"/>
        <w:spacing w:before="0" w:after="120" w:line="276" w:lineRule="auto"/>
        <w:ind w:hanging="720" w:left="720"/>
        <w:jc w:val="left"/>
      </w:pPr>
      <w:r>
        <w:rPr>
          <w:rFonts w:ascii="Cambria" w:hAnsi="Cambria" w:cs="Cambria" w:eastAsia="Cambria"/>
          <w:sz w:val="20"/>
        </w:rPr>
        <w:t xml:space="preserve">Morrison, S. J., &amp; Kimble, J. (2006). Asymmetric and symmetric stem-cell divisions in development and cancer.</w:t>
      </w:r>
      <w:r>
        <w:rPr>
          <w:rFonts w:ascii="Cambria" w:hAnsi="Cambria" w:cs="Cambria" w:eastAsia="Cambria"/>
          <w:sz w:val="20"/>
        </w:rPr>
        <w:t xml:space="preserve"> </w:t>
      </w:r>
      <w:r>
        <w:rPr>
          <w:rFonts w:ascii="Cambria" w:hAnsi="Cambria" w:cs="Cambria" w:eastAsia="Cambria"/>
          <w:i/>
          <w:iCs/>
          <w:sz w:val="20"/>
        </w:rPr>
        <w:t xml:space="preserve">Nature, 441</w:t>
      </w:r>
      <w:r>
        <w:rPr>
          <w:rFonts w:ascii="Cambria" w:hAnsi="Cambria" w:cs="Cambria" w:eastAsia="Cambria"/>
          <w:sz w:val="20"/>
        </w:rPr>
        <w:t xml:space="preserve">(7097), 1068–1074. https://doi.org/10.1038/nature04956</w:t>
      </w:r>
    </w:p>
    <w:p>
      <w:pPr>
        <w:pStyle w:val="BodyText"/>
        <w:spacing w:before="0" w:after="120" w:line="276" w:lineRule="auto"/>
        <w:ind w:hanging="720" w:left="720"/>
        <w:jc w:val="left"/>
      </w:pPr>
      <w:r>
        <w:rPr>
          <w:rFonts w:ascii="Cambria" w:hAnsi="Cambria" w:cs="Cambria" w:eastAsia="Cambria"/>
          <w:sz w:val="20"/>
        </w:rPr>
        <w:t xml:space="preserve">Nigg, E. A., &amp; Raff, J. W. (2009). Centrioles, centrosomes, and cilia in health and disease.</w:t>
      </w:r>
      <w:r>
        <w:rPr>
          <w:rFonts w:ascii="Cambria" w:hAnsi="Cambria" w:cs="Cambria" w:eastAsia="Cambria"/>
          <w:sz w:val="20"/>
        </w:rPr>
        <w:t xml:space="preserve"> </w:t>
      </w:r>
      <w:r>
        <w:rPr>
          <w:rFonts w:ascii="Cambria" w:hAnsi="Cambria" w:cs="Cambria" w:eastAsia="Cambria"/>
          <w:i/>
          <w:iCs/>
          <w:sz w:val="20"/>
        </w:rPr>
        <w:t xml:space="preserve">Cell, 139</w:t>
      </w:r>
      <w:r>
        <w:rPr>
          <w:rFonts w:ascii="Cambria" w:hAnsi="Cambria" w:cs="Cambria" w:eastAsia="Cambria"/>
          <w:sz w:val="20"/>
        </w:rPr>
        <w:t xml:space="preserve">(4), 663–678. https://doi.org/10.1016/j.cell.2009.10.036</w:t>
      </w:r>
    </w:p>
    <w:p>
      <w:pPr>
        <w:pStyle w:val="BodyText"/>
        <w:spacing w:before="0" w:after="120" w:line="276" w:lineRule="auto"/>
        <w:ind w:hanging="720" w:left="720"/>
        <w:jc w:val="left"/>
      </w:pPr>
      <w:r>
        <w:rPr>
          <w:rFonts w:ascii="Cambria" w:hAnsi="Cambria" w:cs="Cambria" w:eastAsia="Cambria"/>
          <w:sz w:val="20"/>
        </w:rPr>
        <w:t xml:space="preserve">Pan, L., Wang, S., Ding, Y., Liu, Y., Wen, J., Sun, Y., Zhang, W., &amp; Wang, H. (2025). CCP1 deficiency impairs primary cilia length and osteogenic differentiation of bone marrow mesenchymal stem cells via dysregulated tubulin polyglutamylation.</w:t>
      </w:r>
      <w:r>
        <w:rPr>
          <w:rFonts w:ascii="Cambria" w:hAnsi="Cambria" w:cs="Cambria" w:eastAsia="Cambria"/>
          <w:sz w:val="20"/>
        </w:rPr>
        <w:t xml:space="preserve"> </w:t>
      </w:r>
      <w:r>
        <w:rPr>
          <w:rFonts w:ascii="Cambria" w:hAnsi="Cambria" w:cs="Cambria" w:eastAsia="Cambria"/>
          <w:i/>
          <w:iCs/>
          <w:sz w:val="20"/>
        </w:rPr>
        <w:t xml:space="preserve">Cells Tissues Organs</w:t>
      </w:r>
      <w:r>
        <w:rPr>
          <w:rFonts w:ascii="Cambria" w:hAnsi="Cambria" w:cs="Cambria" w:eastAsia="Cambria"/>
          <w:sz w:val="20"/>
        </w:rPr>
        <w:t xml:space="preserve">. Advance online publication. https://doi.org/10.1159/000543411</w:t>
      </w:r>
    </w:p>
    <w:p>
      <w:pPr>
        <w:pStyle w:val="BodyText"/>
        <w:spacing w:before="0" w:after="120" w:line="276" w:lineRule="auto"/>
        <w:ind w:hanging="720" w:left="720"/>
        <w:jc w:val="left"/>
      </w:pPr>
      <w:r>
        <w:rPr>
          <w:rFonts w:ascii="Cambria" w:hAnsi="Cambria" w:cs="Cambria" w:eastAsia="Cambria"/>
          <w:sz w:val="20"/>
        </w:rPr>
        <w:t xml:space="preserve">Pereira, G., Tanaka, T. U., Nasmyth, K., &amp; Schiebel, E. (2001). Modes of spindle pole body inheritance and segregation of the Bfa1p–Bub2p checkpoint protein complex.</w:t>
      </w:r>
      <w:r>
        <w:rPr>
          <w:rFonts w:ascii="Cambria" w:hAnsi="Cambria" w:cs="Cambria" w:eastAsia="Cambria"/>
          <w:sz w:val="20"/>
        </w:rPr>
        <w:t xml:space="preserve"> </w:t>
      </w:r>
      <w:r>
        <w:rPr>
          <w:rFonts w:ascii="Cambria" w:hAnsi="Cambria" w:cs="Cambria" w:eastAsia="Cambria"/>
          <w:i/>
          <w:iCs/>
          <w:sz w:val="20"/>
        </w:rPr>
        <w:t xml:space="preserve">The EMBO Journal, 20</w:t>
      </w:r>
      <w:r>
        <w:rPr>
          <w:rFonts w:ascii="Cambria" w:hAnsi="Cambria" w:cs="Cambria" w:eastAsia="Cambria"/>
          <w:sz w:val="20"/>
        </w:rPr>
        <w:t xml:space="preserve">(22), 6359–6370. https://doi.org/10.1093/emboj/20.22.6359</w:t>
      </w:r>
    </w:p>
    <w:p>
      <w:pPr>
        <w:pStyle w:val="BodyText"/>
        <w:spacing w:before="0" w:after="120" w:line="276" w:lineRule="auto"/>
        <w:ind w:hanging="720" w:left="720"/>
        <w:jc w:val="left"/>
      </w:pPr>
      <w:r>
        <w:rPr>
          <w:rFonts w:ascii="Cambria" w:hAnsi="Cambria" w:cs="Cambria" w:eastAsia="Cambria"/>
          <w:sz w:val="20"/>
        </w:rPr>
        <w:t xml:space="preserve">Rando, T. A., Brunet, A., &amp; Goodell, M. A. (2025). Hallmarks of stem cell aging.</w:t>
      </w:r>
      <w:r>
        <w:rPr>
          <w:rFonts w:ascii="Cambria" w:hAnsi="Cambria" w:cs="Cambria" w:eastAsia="Cambria"/>
          <w:sz w:val="20"/>
        </w:rPr>
        <w:t xml:space="preserve"> </w:t>
      </w:r>
      <w:r>
        <w:rPr>
          <w:rFonts w:ascii="Cambria" w:hAnsi="Cambria" w:cs="Cambria" w:eastAsia="Cambria"/>
          <w:i/>
          <w:iCs/>
          <w:sz w:val="20"/>
        </w:rPr>
        <w:t xml:space="preserve">Cell Stem Cell, 32</w:t>
      </w:r>
      <w:r>
        <w:rPr>
          <w:rFonts w:ascii="Cambria" w:hAnsi="Cambria" w:cs="Cambria" w:eastAsia="Cambria"/>
          <w:sz w:val="20"/>
        </w:rPr>
        <w:t xml:space="preserve">(1), 1–15. https://doi.org/10.1016/j.stem.2024.11.001</w:t>
      </w:r>
    </w:p>
    <w:p>
      <w:pPr>
        <w:pStyle w:val="BodyText"/>
        <w:spacing w:before="0" w:after="120" w:line="276" w:lineRule="auto"/>
        <w:ind w:hanging="720" w:left="720"/>
        <w:jc w:val="left"/>
      </w:pPr>
      <w:r>
        <w:rPr>
          <w:rFonts w:ascii="Cambria" w:hAnsi="Cambria" w:cs="Cambria" w:eastAsia="Cambria"/>
          <w:sz w:val="20"/>
        </w:rPr>
        <w:t xml:space="preserve">Rujano, M. A., Bosveld, F., Salomons, F. A., Dijk, F., van Waarde, M. A. W. H., van der Want, J. J. L., de Vos, R. A. I., Brunt, E. R., Sibon, O. C. M., &amp; Kampinga, H. H. (2006). Polarised asymmetric inheritance of accumulated protein damage in higher eukaryotes.</w:t>
      </w:r>
      <w:r>
        <w:rPr>
          <w:rFonts w:ascii="Cambria" w:hAnsi="Cambria" w:cs="Cambria" w:eastAsia="Cambria"/>
          <w:sz w:val="20"/>
        </w:rPr>
        <w:t xml:space="preserve"> </w:t>
      </w:r>
      <w:r>
        <w:rPr>
          <w:rFonts w:ascii="Cambria" w:hAnsi="Cambria" w:cs="Cambria" w:eastAsia="Cambria"/>
          <w:i/>
          <w:iCs/>
          <w:sz w:val="20"/>
        </w:rPr>
        <w:t xml:space="preserve">PLOS Biology, 4</w:t>
      </w:r>
      <w:r>
        <w:rPr>
          <w:rFonts w:ascii="Cambria" w:hAnsi="Cambria" w:cs="Cambria" w:eastAsia="Cambria"/>
          <w:sz w:val="20"/>
        </w:rPr>
        <w:t xml:space="preserve">(12), e417. https://doi.org/10.1371/journal.pbio.0040417</w:t>
      </w:r>
    </w:p>
    <w:p>
      <w:pPr>
        <w:pStyle w:val="BodyText"/>
        <w:spacing w:before="0" w:after="120" w:line="276" w:lineRule="auto"/>
        <w:ind w:hanging="720" w:left="720"/>
        <w:jc w:val="left"/>
      </w:pPr>
      <w:r>
        <w:rPr>
          <w:rFonts w:ascii="Cambria" w:hAnsi="Cambria" w:cs="Cambria" w:eastAsia="Cambria"/>
          <w:sz w:val="20"/>
        </w:rPr>
        <w:t xml:space="preserve">Yamashita, Y. M., Jones, D. L., &amp; Fuller, M. T. (2003). Orientation of asymmetric stem cell division by the APC tumor suppressor and centrosome.</w:t>
      </w:r>
      <w:r>
        <w:rPr>
          <w:rFonts w:ascii="Cambria" w:hAnsi="Cambria" w:cs="Cambria" w:eastAsia="Cambria"/>
          <w:sz w:val="20"/>
        </w:rPr>
        <w:t xml:space="preserve"> </w:t>
      </w:r>
      <w:r>
        <w:rPr>
          <w:rFonts w:ascii="Cambria" w:hAnsi="Cambria" w:cs="Cambria" w:eastAsia="Cambria"/>
          <w:i/>
          <w:iCs/>
          <w:sz w:val="20"/>
        </w:rPr>
        <w:t xml:space="preserve">Science, 301</w:t>
      </w:r>
      <w:r>
        <w:rPr>
          <w:rFonts w:ascii="Cambria" w:hAnsi="Cambria" w:cs="Cambria" w:eastAsia="Cambria"/>
          <w:sz w:val="20"/>
        </w:rPr>
        <w:t xml:space="preserve">(5639), 1547–1550. https://doi.org/10.1126/science.1087795</w:t>
      </w:r>
    </w:p>
    <w:p>
      <w:pPr>
        <w:pStyle w:val="BodyText"/>
        <w:spacing w:before="0" w:after="120" w:line="276" w:lineRule="auto"/>
        <w:ind w:hanging="720" w:left="720"/>
        <w:jc w:val="left"/>
      </w:pPr>
      <w:r>
        <w:rPr>
          <w:rFonts w:ascii="Cambria" w:hAnsi="Cambria" w:cs="Cambria" w:eastAsia="Cambria"/>
          <w:sz w:val="20"/>
        </w:rPr>
        <w:t xml:space="preserve">Yamashita, Y. M., Mahowald, A. P., Perlin, J. R., &amp; Fuller, M. T. (2007). Asymmetric inheritance of mother versus daughter centrosome in stem cell division.</w:t>
      </w:r>
      <w:r>
        <w:rPr>
          <w:rFonts w:ascii="Cambria" w:hAnsi="Cambria" w:cs="Cambria" w:eastAsia="Cambria"/>
          <w:sz w:val="20"/>
        </w:rPr>
        <w:t xml:space="preserve"> </w:t>
      </w:r>
      <w:r>
        <w:rPr>
          <w:rFonts w:ascii="Cambria" w:hAnsi="Cambria" w:cs="Cambria" w:eastAsia="Cambria"/>
          <w:i/>
          <w:iCs/>
          <w:sz w:val="20"/>
        </w:rPr>
        <w:t xml:space="preserve">Science, 315</w:t>
      </w:r>
      <w:r>
        <w:rPr>
          <w:rFonts w:ascii="Cambria" w:hAnsi="Cambria" w:cs="Cambria" w:eastAsia="Cambria"/>
          <w:sz w:val="20"/>
        </w:rPr>
        <w:t xml:space="preserve">(5811), 518–521. https://doi.org/10.1126/science.1134910</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2026-04-16T08:55:31Z</dcterms:created>
  <dcterms:modified xsi:type="dcterms:W3CDTF">2026-04-16T08:55:31Z</dcterms:modified>
</cp:coreProperties>
</file>

<file path=docProps/custom.xml><?xml version="1.0" encoding="utf-8"?>
<Properties xmlns="http://schemas.openxmlformats.org/officeDocument/2006/custom-properties" xmlns:vt="http://schemas.openxmlformats.org/officeDocument/2006/docPropsVTypes"/>
</file>