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200" w:line="276" w:lineRule="auto"/>
        <w:jc w:val="both"/>
      </w:pPr>
      <w:r>
        <w:rPr>
          <w:rFonts w:ascii="Cambria" w:hAnsi="Cambria" w:cs="Cambria" w:eastAsia="Cambria"/>
          <w:b/>
          <w:bCs/>
          <w:sz w:val="22"/>
        </w:rPr>
        <w:t xml:space="preserve">Title:</w:t>
      </w:r>
      <w:r>
        <w:rPr>
          <w:rFonts w:ascii="Cambria" w:hAnsi="Cambria" w:cs="Cambria" w:eastAsia="Cambria"/>
          <w:sz w:val="22"/>
        </w:rPr>
        <w:t xml:space="preserve"> </w:t>
      </w:r>
      <w:r>
        <w:rPr>
          <w:rFonts w:ascii="Cambria" w:hAnsi="Cambria" w:cs="Cambria" w:eastAsia="Cambria"/>
          <w:sz w:val="22"/>
        </w:rPr>
        <w:t xml:space="preserve">Asymmetric Inheritance of the Aged Mother Centriole by Stem Cells Is an Established Causal Fact: A Bradford-Hill Causal Analysis (BHCA) Yields Class I Evidence (25/27)</w:t>
      </w:r>
    </w:p>
    <w:p>
      <w:pPr>
        <w:pStyle w:val="BodyText"/>
        <w:spacing w:before="0" w:after="200" w:line="276" w:lineRule="auto"/>
        <w:jc w:val="both"/>
      </w:pPr>
      <w:r>
        <w:rPr>
          <w:rFonts w:ascii="Cambria" w:hAnsi="Cambria" w:cs="Cambria" w:eastAsia="Cambria"/>
          <w:b/>
          <w:bCs/>
          <w:sz w:val="22"/>
        </w:rPr>
        <w:t xml:space="preserve">Author:</w:t>
      </w:r>
      <w:r>
        <w:rPr>
          <w:rFonts w:ascii="Cambria" w:hAnsi="Cambria" w:cs="Cambria" w:eastAsia="Cambria"/>
          <w:sz w:val="22"/>
        </w:rPr>
        <w:t xml:space="preserve"> </w:t>
      </w:r>
      <w:r>
        <w:rPr>
          <w:rFonts w:ascii="Cambria" w:hAnsi="Cambria" w:cs="Cambria" w:eastAsia="Cambria"/>
          <w:sz w:val="22"/>
        </w:rPr>
        <w:t xml:space="preserve">Jaba Tkemaladze, MD</w:t>
      </w:r>
      <w:r>
        <w:rPr>
          <w:rFonts w:ascii="Cambria" w:hAnsi="Cambria" w:cs="Cambria" w:eastAsia="Cambria"/>
          <w:sz w:val="22"/>
        </w:rPr>
        <w:t xml:space="preserve"> </w:t>
      </w:r>
      <w:r>
        <w:rPr>
          <w:rFonts w:ascii="Cambria" w:hAnsi="Cambria" w:cs="Cambria" w:eastAsia="Cambria"/>
          <w:b/>
          <w:bCs/>
          <w:sz w:val="22"/>
        </w:rPr>
        <w:t xml:space="preserve">Affiliation:</w:t>
      </w:r>
      <w:r>
        <w:rPr>
          <w:rFonts w:ascii="Cambria" w:hAnsi="Cambria" w:cs="Cambria" w:eastAsia="Cambria"/>
          <w:sz w:val="22"/>
        </w:rPr>
        <w:t xml:space="preserve"> </w:t>
      </w:r>
      <w:r>
        <w:rPr>
          <w:rFonts w:ascii="Cambria" w:hAnsi="Cambria" w:cs="Cambria" w:eastAsia="Cambria"/>
          <w:sz w:val="22"/>
        </w:rPr>
        <w:t xml:space="preserve">Georgia Longevity Alliance; TSMU Vivarium, Tbilisi, Georgia</w:t>
      </w:r>
      <w:r>
        <w:rPr>
          <w:rFonts w:ascii="Cambria" w:hAnsi="Cambria" w:cs="Cambria" w:eastAsia="Cambria"/>
          <w:sz w:val="22"/>
        </w:rPr>
        <w:t xml:space="preserve"> </w:t>
      </w:r>
      <w:r>
        <w:rPr>
          <w:rFonts w:ascii="Cambria" w:hAnsi="Cambria" w:cs="Cambria" w:eastAsia="Cambria"/>
          <w:b/>
          <w:bCs/>
          <w:sz w:val="22"/>
        </w:rPr>
        <w:t xml:space="preserve">Contact:</w:t>
      </w:r>
      <w:r>
        <w:rPr>
          <w:rFonts w:ascii="Cambria" w:hAnsi="Cambria" w:cs="Cambria" w:eastAsia="Cambria"/>
          <w:sz w:val="22"/>
        </w:rPr>
        <w:t xml:space="preserve"> </w:t>
      </w:r>
      <w:r>
        <w:rPr>
          <w:rFonts w:ascii="Cambria" w:hAnsi="Cambria" w:cs="Cambria" w:eastAsia="Cambria"/>
          <w:sz w:val="22"/>
        </w:rPr>
        <w:t xml:space="preserve">jaba@longevity.ge</w:t>
      </w:r>
    </w:p>
    <w:p>
      <w:pPr>
        <w:spacing w:before="0" w:after="200" w:line="276" w:lineRule="auto"/>
        <w:jc w:val="both"/>
      </w:pPr>
      <w:r>
        <w:pict>
          <v:rect style="width:0;height:1.5pt" o:hralign="center" o:hrstd="t" o:hr="t"/>
        </w:pict>
      </w:r>
    </w:p>
    <w:p>
      <w:pPr>
        <w:pStyle w:val="Heading3"/>
        <w:spacing w:before="200" w:after="120" w:line="276" w:lineRule="auto"/>
        <w:jc w:val="left"/>
      </w:pPr>
      <w:r>
        <w:rPr>
          <w:rFonts w:ascii="Calibri" w:hAnsi="Calibri" w:cs="Calibri" w:eastAsia="Calibri"/>
          <w:b/>
          <w:bCs/>
          <w:color w:val="4F81BD"/>
          <w:sz w:val="26"/>
        </w:rPr>
        <w:t xml:space="preserve">Abstract</w:t>
      </w:r>
    </w:p>
    <w:p>
      <w:pPr>
        <w:pStyle w:val="FirstParagraph"/>
        <w:spacing w:before="0" w:after="200" w:line="276" w:lineRule="auto"/>
        <w:jc w:val="both"/>
      </w:pPr>
      <w:r>
        <w:rPr>
          <w:rFonts w:ascii="Cambria" w:hAnsi="Cambria" w:cs="Cambria" w:eastAsia="Cambria"/>
          <w:sz w:val="22"/>
        </w:rPr>
        <w:t xml:space="preserve">The asymmetric segregation of cellular damage is a cornerstone of stem cell immortality, yet the precise identity of the key asymmetrically partitioned aging entity remains debated. Converging evidence from multiple organisms points to the mother centriole—the older of the two centrioles in a centrosome—as a primary vector of aging, owing to its accumulation of non-repairable post-translational modifications, notably polyglutamylation. We applied the Bradford-Hill Causal Analysis (BHCA) framework, a rigorous method for evaluating epidemiological causation, to the hypothesis that the asymmetric inheritance of the aged mother centriole by stem cells is a causal driver of organismal aging. Our analysis of nine independent studies across</w:t>
      </w:r>
      <w:r>
        <w:rPr>
          <w:rFonts w:ascii="Cambria" w:hAnsi="Cambria" w:cs="Cambria" w:eastAsia="Cambria"/>
          <w:sz w:val="22"/>
        </w:rPr>
        <w:t xml:space="preserve"> </w:t>
      </w:r>
      <w:r>
        <w:rPr>
          <w:rFonts w:ascii="Cambria" w:hAnsi="Cambria" w:cs="Cambria" w:eastAsia="Cambria"/>
          <w:i/>
          <w:iCs/>
          <w:sz w:val="22"/>
        </w:rPr>
        <w:t xml:space="preserve">Drosophila</w:t>
      </w:r>
      <w:r>
        <w:rPr>
          <w:rFonts w:ascii="Cambria" w:hAnsi="Cambria" w:cs="Cambria" w:eastAsia="Cambria"/>
          <w:sz w:val="22"/>
        </w:rPr>
        <w:t xml:space="preserve">,</w:t>
      </w:r>
      <w:r>
        <w:rPr>
          <w:rFonts w:ascii="Cambria" w:hAnsi="Cambria" w:cs="Cambria" w:eastAsia="Cambria"/>
          <w:sz w:val="22"/>
        </w:rPr>
        <w:t xml:space="preserve"> </w:t>
      </w:r>
      <w:r>
        <w:rPr>
          <w:rFonts w:ascii="Cambria" w:hAnsi="Cambria" w:cs="Cambria" w:eastAsia="Cambria"/>
          <w:i/>
          <w:iCs/>
          <w:sz w:val="22"/>
        </w:rPr>
        <w:t xml:space="preserve">C. elegans</w:t>
      </w:r>
      <w:r>
        <w:rPr>
          <w:rFonts w:ascii="Cambria" w:hAnsi="Cambria" w:cs="Cambria" w:eastAsia="Cambria"/>
          <w:sz w:val="22"/>
        </w:rPr>
        <w:t xml:space="preserve">, mice, and human cells demonstrates remarkable consistency. Key findings include the retention of the mother centrosome by stem cells in 80-95% of divisions, the requirement of asymmetric centrosome inheritance for germline polarity, and lifespan extension via interventions that restore centrosome asymmetry (CASIN) or exploit stem cell populations with less-modified centrioles (CD150low HSCs). Molecularly, the ATF5-mediated tethering of polyglutamylated tubulin to the pericentriolar matrix creates a stable age-mark, while the absence of centriole repair mechanisms (de novo synthesis only) fulfills the condition of irreversibility. Scoring all nine Bradford-Hill criteria yields a total of 25/27 points, constituting Class I Evidence for causality. This formal analysis establishes centriolar aging and its asymmetric segregation not merely as a correlative hallmark but as a central, causal pillar of stem cell aging, with profound implications for rejuvenation strategies targeting centrosomal integrity and polarity.</w:t>
      </w:r>
    </w:p>
    <w:p>
      <w:pPr>
        <w:pStyle w:val="BodyText"/>
        <w:spacing w:before="0" w:after="200" w:line="276" w:lineRule="auto"/>
        <w:jc w:val="both"/>
      </w:pPr>
      <w:r>
        <w:rPr>
          <w:rFonts w:ascii="Cambria" w:hAnsi="Cambria" w:cs="Cambria" w:eastAsia="Cambria"/>
          <w:b/>
          <w:bCs/>
          <w:sz w:val="22"/>
        </w:rPr>
        <w:t xml:space="preserve">Keywords:</w:t>
      </w:r>
      <w:r>
        <w:rPr>
          <w:rFonts w:ascii="Cambria" w:hAnsi="Cambria" w:cs="Cambria" w:eastAsia="Cambria"/>
          <w:sz w:val="22"/>
        </w:rPr>
        <w:t xml:space="preserve"> </w:t>
      </w:r>
      <w:r>
        <w:rPr>
          <w:rFonts w:ascii="Cambria" w:hAnsi="Cambria" w:cs="Cambria" w:eastAsia="Cambria"/>
          <w:sz w:val="22"/>
        </w:rPr>
        <w:t xml:space="preserve">Centrosome, Asymmetric Cell Division, Stem Cell Aging, Polyglutamylation, Bradford-Hill Criteria, Lifespan, Rejuvenation</w:t>
      </w:r>
    </w:p>
    <w:p>
      <w:pPr>
        <w:spacing w:before="0" w:after="200" w:line="276" w:lineRule="auto"/>
        <w:jc w:val="both"/>
      </w:pPr>
      <w:r>
        <w:pict>
          <v:rect style="width:0;height:1.5pt" o:hralign="center" o:hrstd="t" o:hr="t"/>
        </w:pict>
      </w:r>
    </w:p>
    <w:p>
      <w:pPr>
        <w:pStyle w:val="Heading3"/>
        <w:spacing w:before="200" w:after="120" w:line="276" w:lineRule="auto"/>
        <w:jc w:val="left"/>
      </w:pPr>
      <w:r>
        <w:rPr>
          <w:rFonts w:ascii="Calibri" w:hAnsi="Calibri" w:cs="Calibri" w:eastAsia="Calibri"/>
          <w:b/>
          <w:bCs/>
          <w:color w:val="4F81BD"/>
          <w:sz w:val="26"/>
        </w:rPr>
        <w:t xml:space="preserve">1. Introduction</w:t>
      </w:r>
    </w:p>
    <w:p>
      <w:pPr>
        <w:pStyle w:val="FirstParagraph"/>
        <w:spacing w:before="0" w:after="200" w:line="276" w:lineRule="auto"/>
        <w:jc w:val="both"/>
      </w:pPr>
      <w:r>
        <w:rPr>
          <w:rFonts w:ascii="Cambria" w:hAnsi="Cambria" w:cs="Cambria" w:eastAsia="Cambria"/>
          <w:sz w:val="22"/>
        </w:rPr>
        <w:t xml:space="preserve">A fundamental paradox in biology is the coexistence of mortal somatic cells and potentially immortal germ and stem cell lineages within the same organism. The disposable soma theory posits that asymmetric cell division (ACD) is a critical mechanism by which stem cells sequester damage and replicative history into a differentiating progeny, thereby preserving a pristine, self-renewing lineage [1]. While the asymmetric segregation of protein aggregates and dysfunctional mitochondria has been documented, these entities are subject to repair, turnover, or mitophagy [2, 3]. This raises a pivotal question: what is the primary,</w:t>
      </w:r>
      <w:r>
        <w:rPr>
          <w:rFonts w:ascii="Cambria" w:hAnsi="Cambria" w:cs="Cambria" w:eastAsia="Cambria"/>
          <w:sz w:val="22"/>
        </w:rPr>
        <w:t xml:space="preserve"> </w:t>
      </w:r>
      <w:r>
        <w:rPr>
          <w:rFonts w:ascii="Cambria" w:hAnsi="Cambria" w:cs="Cambria" w:eastAsia="Cambria"/>
          <w:i/>
          <w:iCs/>
          <w:sz w:val="22"/>
        </w:rPr>
        <w:t xml:space="preserve">non-repairable</w:t>
      </w:r>
      <w:r>
        <w:rPr>
          <w:rFonts w:ascii="Cambria" w:hAnsi="Cambria" w:cs="Cambria" w:eastAsia="Cambria"/>
          <w:sz w:val="22"/>
        </w:rPr>
        <w:t xml:space="preserve"> </w:t>
      </w:r>
      <w:r>
        <w:rPr>
          <w:rFonts w:ascii="Cambria" w:hAnsi="Cambria" w:cs="Cambria" w:eastAsia="Cambria"/>
          <w:sz w:val="22"/>
        </w:rPr>
        <w:t xml:space="preserve">component whose asymmetric inheritance is essential for long-term stem cell maintenance?</w:t>
      </w:r>
    </w:p>
    <w:p>
      <w:pPr>
        <w:pStyle w:val="BodyText"/>
        <w:spacing w:before="0" w:after="200" w:line="276" w:lineRule="auto"/>
        <w:jc w:val="both"/>
      </w:pPr>
      <w:r>
        <w:rPr>
          <w:rFonts w:ascii="Cambria" w:hAnsi="Cambria" w:cs="Cambria" w:eastAsia="Cambria"/>
          <w:sz w:val="22"/>
        </w:rPr>
        <w:t xml:space="preserve">The centrosome, the microtubule-organizing center of animal cells, presents a compelling candidate. It is a non-membrane-bound organelle comprised of a pair of centrioles (mother and daughter) embedded in a pericentriolar matrix (PCM). Critically, centrioles are not repaired; damage or severe modification necessitates their complete elimination and replacement via de novo synthesis, a slow and energetically costly process [4]. The mother centriole accumulates age-related post-translational modifications (PTMs) over successive cell cycles, with tubulin polyglutamylation emerging as a principal molecular timer [5, 6]. The mother centriole also templates the primary cilium, a key signaling hub. Recent syntheses have proposed centriolar damage as a fundamental driver of aging, integrating concepts of proliferative limits and differentiation defects [7-9].</w:t>
      </w:r>
    </w:p>
    <w:p>
      <w:pPr>
        <w:pStyle w:val="BodyText"/>
        <w:spacing w:before="0" w:after="200" w:line="276" w:lineRule="auto"/>
        <w:jc w:val="both"/>
      </w:pPr>
      <w:r>
        <w:rPr>
          <w:rFonts w:ascii="Cambria" w:hAnsi="Cambria" w:cs="Cambria" w:eastAsia="Cambria"/>
          <w:sz w:val="22"/>
        </w:rPr>
        <w:t xml:space="preserve">Seminal work by Yamashita et al. (2007) demonstrated that</w:t>
      </w:r>
      <w:r>
        <w:rPr>
          <w:rFonts w:ascii="Cambria" w:hAnsi="Cambria" w:cs="Cambria" w:eastAsia="Cambria"/>
          <w:sz w:val="22"/>
        </w:rPr>
        <w:t xml:space="preserve"> </w:t>
      </w:r>
      <w:r>
        <w:rPr>
          <w:rFonts w:ascii="Cambria" w:hAnsi="Cambria" w:cs="Cambria" w:eastAsia="Cambria"/>
          <w:i/>
          <w:iCs/>
          <w:sz w:val="22"/>
        </w:rPr>
        <w:t xml:space="preserve">Drosophila</w:t>
      </w:r>
      <w:r>
        <w:rPr>
          <w:rFonts w:ascii="Cambria" w:hAnsi="Cambria" w:cs="Cambria" w:eastAsia="Cambria"/>
          <w:sz w:val="22"/>
        </w:rPr>
        <w:t xml:space="preserve"> </w:t>
      </w:r>
      <w:r>
        <w:rPr>
          <w:rFonts w:ascii="Cambria" w:hAnsi="Cambria" w:cs="Cambria" w:eastAsia="Cambria"/>
          <w:sz w:val="22"/>
        </w:rPr>
        <w:t xml:space="preserve">male germline stem cells (GSCs) retain the older</w:t>
      </w:r>
      <w:r>
        <w:rPr>
          <w:rFonts w:ascii="Cambria" w:hAnsi="Cambria" w:cs="Cambria" w:eastAsia="Cambria"/>
          <w:sz w:val="22"/>
        </w:rPr>
        <w:t xml:space="preserve"> </w:t>
      </w:r>
      <w:r>
        <w:rPr>
          <w:rFonts w:ascii="Cambria" w:hAnsi="Cambria" w:cs="Cambria" w:eastAsia="Cambria"/>
          <w:sz w:val="22"/>
        </w:rPr>
        <w:t xml:space="preserve">“mother”</w:t>
      </w:r>
      <w:r>
        <w:rPr>
          <w:rFonts w:ascii="Cambria" w:hAnsi="Cambria" w:cs="Cambria" w:eastAsia="Cambria"/>
          <w:sz w:val="22"/>
        </w:rPr>
        <w:t xml:space="preserve"> </w:t>
      </w:r>
      <w:r>
        <w:rPr>
          <w:rFonts w:ascii="Cambria" w:hAnsi="Cambria" w:cs="Cambria" w:eastAsia="Cambria"/>
          <w:sz w:val="22"/>
        </w:rPr>
        <w:t xml:space="preserve">centrosome in ~90% of divisions, while the newer centrosome is inherited by the differentiating gonialblast [10]. This pattern has been corroborated in</w:t>
      </w:r>
      <w:r>
        <w:rPr>
          <w:rFonts w:ascii="Cambria" w:hAnsi="Cambria" w:cs="Cambria" w:eastAsia="Cambria"/>
          <w:sz w:val="22"/>
        </w:rPr>
        <w:t xml:space="preserve"> </w:t>
      </w:r>
      <w:r>
        <w:rPr>
          <w:rFonts w:ascii="Cambria" w:hAnsi="Cambria" w:cs="Cambria" w:eastAsia="Cambria"/>
          <w:i/>
          <w:iCs/>
          <w:sz w:val="22"/>
        </w:rPr>
        <w:t xml:space="preserve">Drosophila</w:t>
      </w:r>
      <w:r>
        <w:rPr>
          <w:rFonts w:ascii="Cambria" w:hAnsi="Cambria" w:cs="Cambria" w:eastAsia="Cambria"/>
          <w:sz w:val="22"/>
        </w:rPr>
        <w:t xml:space="preserve"> </w:t>
      </w:r>
      <w:r>
        <w:rPr>
          <w:rFonts w:ascii="Cambria" w:hAnsi="Cambria" w:cs="Cambria" w:eastAsia="Cambria"/>
          <w:sz w:val="22"/>
        </w:rPr>
        <w:t xml:space="preserve">neuroblasts and</w:t>
      </w:r>
      <w:r>
        <w:rPr>
          <w:rFonts w:ascii="Cambria" w:hAnsi="Cambria" w:cs="Cambria" w:eastAsia="Cambria"/>
          <w:sz w:val="22"/>
        </w:rPr>
        <w:t xml:space="preserve"> </w:t>
      </w:r>
      <w:r>
        <w:rPr>
          <w:rFonts w:ascii="Cambria" w:hAnsi="Cambria" w:cs="Cambria" w:eastAsia="Cambria"/>
          <w:i/>
          <w:iCs/>
          <w:sz w:val="22"/>
        </w:rPr>
        <w:t xml:space="preserve">C. elegans</w:t>
      </w:r>
      <w:r>
        <w:rPr>
          <w:rFonts w:ascii="Cambria" w:hAnsi="Cambria" w:cs="Cambria" w:eastAsia="Cambria"/>
          <w:sz w:val="22"/>
        </w:rPr>
        <w:t xml:space="preserve"> </w:t>
      </w:r>
      <w:r>
        <w:rPr>
          <w:rFonts w:ascii="Cambria" w:hAnsi="Cambria" w:cs="Cambria" w:eastAsia="Cambria"/>
          <w:sz w:val="22"/>
        </w:rPr>
        <w:t xml:space="preserve">germline, and analogous asymmetric segregation of aged components is observed in murine hematopoietic stem cells (HSCs) [11-13]. Strikingly, pharmacological restoration of centrosome polarity in aged HSCs using the Cdc42 inhibitor CASIN extends healthspan and lifespan in mice [14]. Furthermore, transplantation of young bone marrow or selection of HSC subpopulations with lower replicative history (and thus less centriolar PTM burden) significantly prolongs lifespan [15, 16].</w:t>
      </w:r>
    </w:p>
    <w:p>
      <w:pPr>
        <w:pStyle w:val="BodyText"/>
        <w:spacing w:before="0" w:after="200" w:line="276" w:lineRule="auto"/>
        <w:jc w:val="both"/>
      </w:pPr>
      <w:r>
        <w:rPr>
          <w:rFonts w:ascii="Cambria" w:hAnsi="Cambria" w:cs="Cambria" w:eastAsia="Cambria"/>
          <w:sz w:val="22"/>
        </w:rPr>
        <w:t xml:space="preserve">Despite this compelling body of evidence, a formal causal assessment has been lacking. The Bradford-Hill criteria, originally developed for epidemiology, provide a robust, multi-dimensional framework for evaluating causation in biological systems [17, 18]. Here, we apply an adapted Bradford-Hill Causal Analysis (BHCA) to the hypothesis:</w:t>
      </w:r>
      <w:r>
        <w:rPr>
          <w:rFonts w:ascii="Cambria" w:hAnsi="Cambria" w:cs="Cambria" w:eastAsia="Cambria"/>
          <w:sz w:val="22"/>
        </w:rPr>
        <w:t xml:space="preserve"> </w:t>
      </w:r>
      <w:r>
        <w:rPr>
          <w:rFonts w:ascii="Cambria" w:hAnsi="Cambria" w:cs="Cambria" w:eastAsia="Cambria"/>
          <w:i/>
          <w:iCs/>
          <w:sz w:val="22"/>
        </w:rPr>
        <w:t xml:space="preserve">The asymmetric inheritance of the aged mother centriole by the self-renewing stem cell during division is a causal mechanism necessary for the prevention of stem cell exhaustion and organismal aging.</w:t>
      </w:r>
      <w:r>
        <w:rPr>
          <w:rFonts w:ascii="Cambria" w:hAnsi="Cambria" w:cs="Cambria" w:eastAsia="Cambria"/>
          <w:sz w:val="22"/>
        </w:rPr>
        <w:t xml:space="preserve"> </w:t>
      </w:r>
      <w:r>
        <w:rPr>
          <w:rFonts w:ascii="Cambria" w:hAnsi="Cambria" w:cs="Cambria" w:eastAsia="Cambria"/>
          <w:sz w:val="22"/>
        </w:rPr>
        <w:t xml:space="preserve">Our analysis synthesizes evidence from evolutionarily diverse models, mechanistic studies, and interventionist experiments, concluding with a Class I Evidence score (25/27), thereby elevating this phenomenon from a correlated observation to an established causal fact in the biology of aging.</w:t>
      </w:r>
    </w:p>
    <w:p>
      <w:pPr>
        <w:spacing w:before="0" w:after="200" w:line="276" w:lineRule="auto"/>
        <w:jc w:val="both"/>
      </w:pPr>
      <w:r>
        <w:pict>
          <v:rect style="width:0;height:1.5pt" o:hralign="center" o:hrstd="t" o:hr="t"/>
        </w:pict>
      </w:r>
    </w:p>
    <w:p>
      <w:pPr>
        <w:pStyle w:val="Heading3"/>
        <w:spacing w:before="200" w:after="120" w:line="276" w:lineRule="auto"/>
        <w:jc w:val="left"/>
      </w:pPr>
      <w:r>
        <w:rPr>
          <w:rFonts w:ascii="Calibri" w:hAnsi="Calibri" w:cs="Calibri" w:eastAsia="Calibri"/>
          <w:b/>
          <w:bCs/>
          <w:color w:val="4F81BD"/>
          <w:sz w:val="26"/>
        </w:rPr>
        <w:t xml:space="preserve">2. Methods: The Bradford-Hill Causal Analysis (BHCA) Framework</w:t>
      </w:r>
    </w:p>
    <w:p>
      <w:pPr>
        <w:pStyle w:val="FirstParagraph"/>
        <w:spacing w:before="0" w:after="200" w:line="276" w:lineRule="auto"/>
        <w:jc w:val="both"/>
      </w:pPr>
      <w:r>
        <w:rPr>
          <w:rFonts w:ascii="Cambria" w:hAnsi="Cambria" w:cs="Cambria" w:eastAsia="Cambria"/>
          <w:sz w:val="22"/>
        </w:rPr>
        <w:t xml:space="preserve">To objectively assess causality, we employed the Bradford-Hill Causal Analysis (BHCA) framework, adapted for molecular and cellular biology as previously described [9, 19]. This method evaluates nine distinct criteria, each scored on a scale of 0 to 3, where 0 indicates no supporting evidence, 1 indicates weak/contested evidence, 2 indicates moderate/substantial evidence, and 3 indicates strong, consistent, and direct evidence. The scores are summed for a total possible score of 27. Based on the total score, causal strength is classified as: Class I (≥24 points: Established Causal Fact), Class II (≥18 points: Probable Cause), or Class III (≥12 points: Possible Cause) [9].</w:t>
      </w:r>
    </w:p>
    <w:p>
      <w:pPr>
        <w:pStyle w:val="BodyText"/>
        <w:spacing w:before="0" w:after="200" w:line="276" w:lineRule="auto"/>
        <w:jc w:val="both"/>
      </w:pPr>
      <w:r>
        <w:rPr>
          <w:rFonts w:ascii="Cambria" w:hAnsi="Cambria" w:cs="Cambria" w:eastAsia="Cambria"/>
          <w:sz w:val="22"/>
        </w:rPr>
        <w:t xml:space="preserve">The nine criteria are:</w:t>
      </w:r>
    </w:p>
    <w:p>
      <w:pPr>
        <w:pStyle w:val="Compact"/>
        <w:numPr>
          <w:ilvl w:val="0"/>
          <w:numId w:val="1001"/>
        </w:numPr>
        <w:spacing w:before="0" w:after="200" w:line="276" w:lineRule="auto"/>
        <w:jc w:val="both"/>
      </w:pPr>
      <w:r>
        <w:rPr>
          <w:rFonts w:ascii="Cambria" w:hAnsi="Cambria" w:cs="Cambria" w:eastAsia="Cambria"/>
          <w:b/>
          <w:bCs/>
          <w:sz w:val="22"/>
        </w:rPr>
        <w:t xml:space="preserve">Strength of Association:</w:t>
      </w:r>
      <w:r>
        <w:rPr>
          <w:rFonts w:ascii="Cambria" w:hAnsi="Cambria" w:cs="Cambria" w:eastAsia="Cambria"/>
          <w:sz w:val="22"/>
        </w:rPr>
        <w:t xml:space="preserve"> </w:t>
      </w:r>
      <w:r>
        <w:rPr>
          <w:rFonts w:ascii="Cambria" w:hAnsi="Cambria" w:cs="Cambria" w:eastAsia="Cambria"/>
          <w:sz w:val="22"/>
        </w:rPr>
        <w:t xml:space="preserve">The magnitude and statistical robustness of the observed effect.</w:t>
      </w:r>
    </w:p>
    <w:p>
      <w:pPr>
        <w:pStyle w:val="Compact"/>
        <w:numPr>
          <w:ilvl w:val="0"/>
          <w:numId w:val="1001"/>
        </w:numPr>
        <w:spacing w:before="0" w:after="200" w:line="276" w:lineRule="auto"/>
        <w:jc w:val="both"/>
      </w:pPr>
      <w:r>
        <w:rPr>
          <w:rFonts w:ascii="Cambria" w:hAnsi="Cambria" w:cs="Cambria" w:eastAsia="Cambria"/>
          <w:b/>
          <w:bCs/>
          <w:sz w:val="22"/>
        </w:rPr>
        <w:t xml:space="preserve">Consistency:</w:t>
      </w:r>
      <w:r>
        <w:rPr>
          <w:rFonts w:ascii="Cambria" w:hAnsi="Cambria" w:cs="Cambria" w:eastAsia="Cambria"/>
          <w:sz w:val="22"/>
        </w:rPr>
        <w:t xml:space="preserve"> </w:t>
      </w:r>
      <w:r>
        <w:rPr>
          <w:rFonts w:ascii="Cambria" w:hAnsi="Cambria" w:cs="Cambria" w:eastAsia="Cambria"/>
          <w:sz w:val="22"/>
        </w:rPr>
        <w:t xml:space="preserve">Reproducibility of findings across independent studies, different models, and laboratories.</w:t>
      </w:r>
    </w:p>
    <w:p>
      <w:pPr>
        <w:pStyle w:val="Compact"/>
        <w:numPr>
          <w:ilvl w:val="0"/>
          <w:numId w:val="1001"/>
        </w:numPr>
        <w:spacing w:before="0" w:after="200" w:line="276" w:lineRule="auto"/>
        <w:jc w:val="both"/>
      </w:pPr>
      <w:r>
        <w:rPr>
          <w:rFonts w:ascii="Cambria" w:hAnsi="Cambria" w:cs="Cambria" w:eastAsia="Cambria"/>
          <w:b/>
          <w:bCs/>
          <w:sz w:val="22"/>
        </w:rPr>
        <w:t xml:space="preserve">Specificity:</w:t>
      </w:r>
      <w:r>
        <w:rPr>
          <w:rFonts w:ascii="Cambria" w:hAnsi="Cambria" w:cs="Cambria" w:eastAsia="Cambria"/>
          <w:sz w:val="22"/>
        </w:rPr>
        <w:t xml:space="preserve"> </w:t>
      </w:r>
      <w:r>
        <w:rPr>
          <w:rFonts w:ascii="Cambria" w:hAnsi="Cambria" w:cs="Cambria" w:eastAsia="Cambria"/>
          <w:sz w:val="22"/>
        </w:rPr>
        <w:t xml:space="preserve">The cause (aged mother centriole inheritance) is linked to a specific effect (stem cell maintenance, delayed aging).</w:t>
      </w:r>
    </w:p>
    <w:p>
      <w:pPr>
        <w:pStyle w:val="Compact"/>
        <w:numPr>
          <w:ilvl w:val="0"/>
          <w:numId w:val="1001"/>
        </w:numPr>
        <w:spacing w:before="0" w:after="200" w:line="276" w:lineRule="auto"/>
        <w:jc w:val="both"/>
      </w:pPr>
      <w:r>
        <w:rPr>
          <w:rFonts w:ascii="Cambria" w:hAnsi="Cambria" w:cs="Cambria" w:eastAsia="Cambria"/>
          <w:b/>
          <w:bCs/>
          <w:sz w:val="22"/>
        </w:rPr>
        <w:t xml:space="preserve">Temporality:</w:t>
      </w:r>
      <w:r>
        <w:rPr>
          <w:rFonts w:ascii="Cambria" w:hAnsi="Cambria" w:cs="Cambria" w:eastAsia="Cambria"/>
          <w:sz w:val="22"/>
        </w:rPr>
        <w:t xml:space="preserve"> </w:t>
      </w:r>
      <w:r>
        <w:rPr>
          <w:rFonts w:ascii="Cambria" w:hAnsi="Cambria" w:cs="Cambria" w:eastAsia="Cambria"/>
          <w:sz w:val="22"/>
        </w:rPr>
        <w:t xml:space="preserve">The cause unequivocally precedes the effect.</w:t>
      </w:r>
    </w:p>
    <w:p>
      <w:pPr>
        <w:pStyle w:val="Compact"/>
        <w:numPr>
          <w:ilvl w:val="0"/>
          <w:numId w:val="1001"/>
        </w:numPr>
        <w:spacing w:before="0" w:after="200" w:line="276" w:lineRule="auto"/>
        <w:jc w:val="both"/>
      </w:pPr>
      <w:r>
        <w:rPr>
          <w:rFonts w:ascii="Cambria" w:hAnsi="Cambria" w:cs="Cambria" w:eastAsia="Cambria"/>
          <w:b/>
          <w:bCs/>
          <w:sz w:val="22"/>
        </w:rPr>
        <w:t xml:space="preserve">Biological Gradient:</w:t>
      </w:r>
      <w:r>
        <w:rPr>
          <w:rFonts w:ascii="Cambria" w:hAnsi="Cambria" w:cs="Cambria" w:eastAsia="Cambria"/>
          <w:sz w:val="22"/>
        </w:rPr>
        <w:t xml:space="preserve"> </w:t>
      </w:r>
      <w:r>
        <w:rPr>
          <w:rFonts w:ascii="Cambria" w:hAnsi="Cambria" w:cs="Cambria" w:eastAsia="Cambria"/>
          <w:sz w:val="22"/>
        </w:rPr>
        <w:t xml:space="preserve">A dose-response relationship (e.g., more centriolar age → worse function).</w:t>
      </w:r>
    </w:p>
    <w:p>
      <w:pPr>
        <w:pStyle w:val="Compact"/>
        <w:numPr>
          <w:ilvl w:val="0"/>
          <w:numId w:val="1001"/>
        </w:numPr>
        <w:spacing w:before="0" w:after="200" w:line="276" w:lineRule="auto"/>
        <w:jc w:val="both"/>
      </w:pPr>
      <w:r>
        <w:rPr>
          <w:rFonts w:ascii="Cambria" w:hAnsi="Cambria" w:cs="Cambria" w:eastAsia="Cambria"/>
          <w:b/>
          <w:bCs/>
          <w:sz w:val="22"/>
        </w:rPr>
        <w:t xml:space="preserve">Plausibility:</w:t>
      </w:r>
      <w:r>
        <w:rPr>
          <w:rFonts w:ascii="Cambria" w:hAnsi="Cambria" w:cs="Cambria" w:eastAsia="Cambria"/>
          <w:sz w:val="22"/>
        </w:rPr>
        <w:t xml:space="preserve"> </w:t>
      </w:r>
      <w:r>
        <w:rPr>
          <w:rFonts w:ascii="Cambria" w:hAnsi="Cambria" w:cs="Cambria" w:eastAsia="Cambria"/>
          <w:sz w:val="22"/>
        </w:rPr>
        <w:t xml:space="preserve">The existence of a coherent biological mechanism.</w:t>
      </w:r>
    </w:p>
    <w:p>
      <w:pPr>
        <w:pStyle w:val="Compact"/>
        <w:numPr>
          <w:ilvl w:val="0"/>
          <w:numId w:val="1001"/>
        </w:numPr>
        <w:spacing w:before="0" w:after="200" w:line="276" w:lineRule="auto"/>
        <w:jc w:val="both"/>
      </w:pPr>
      <w:r>
        <w:rPr>
          <w:rFonts w:ascii="Cambria" w:hAnsi="Cambria" w:cs="Cambria" w:eastAsia="Cambria"/>
          <w:b/>
          <w:bCs/>
          <w:sz w:val="22"/>
        </w:rPr>
        <w:t xml:space="preserve">Coherence:</w:t>
      </w:r>
      <w:r>
        <w:rPr>
          <w:rFonts w:ascii="Cambria" w:hAnsi="Cambria" w:cs="Cambria" w:eastAsia="Cambria"/>
          <w:sz w:val="22"/>
        </w:rPr>
        <w:t xml:space="preserve"> </w:t>
      </w:r>
      <w:r>
        <w:rPr>
          <w:rFonts w:ascii="Cambria" w:hAnsi="Cambria" w:cs="Cambria" w:eastAsia="Cambria"/>
          <w:sz w:val="22"/>
        </w:rPr>
        <w:t xml:space="preserve">Consistency with known facts and broader biological theory.</w:t>
      </w:r>
    </w:p>
    <w:p>
      <w:pPr>
        <w:pStyle w:val="Compact"/>
        <w:numPr>
          <w:ilvl w:val="0"/>
          <w:numId w:val="1001"/>
        </w:numPr>
        <w:spacing w:before="0" w:after="200" w:line="276" w:lineRule="auto"/>
        <w:jc w:val="both"/>
      </w:pPr>
      <w:r>
        <w:rPr>
          <w:rFonts w:ascii="Cambria" w:hAnsi="Cambria" w:cs="Cambria" w:eastAsia="Cambria"/>
          <w:b/>
          <w:bCs/>
          <w:sz w:val="22"/>
        </w:rPr>
        <w:t xml:space="preserve">Experiment:</w:t>
      </w:r>
      <w:r>
        <w:rPr>
          <w:rFonts w:ascii="Cambria" w:hAnsi="Cambria" w:cs="Cambria" w:eastAsia="Cambria"/>
          <w:sz w:val="22"/>
        </w:rPr>
        <w:t xml:space="preserve"> </w:t>
      </w:r>
      <w:r>
        <w:rPr>
          <w:rFonts w:ascii="Cambria" w:hAnsi="Cambria" w:cs="Cambria" w:eastAsia="Cambria"/>
          <w:sz w:val="22"/>
        </w:rPr>
        <w:t xml:space="preserve">Evidence from deliberate interventions (genetic, pharmacological).</w:t>
      </w:r>
    </w:p>
    <w:p>
      <w:pPr>
        <w:pStyle w:val="Compact"/>
        <w:numPr>
          <w:ilvl w:val="0"/>
          <w:numId w:val="1001"/>
        </w:numPr>
        <w:spacing w:before="0" w:after="200" w:line="276" w:lineRule="auto"/>
        <w:jc w:val="both"/>
      </w:pPr>
      <w:r>
        <w:rPr>
          <w:rFonts w:ascii="Cambria" w:hAnsi="Cambria" w:cs="Cambria" w:eastAsia="Cambria"/>
          <w:b/>
          <w:bCs/>
          <w:sz w:val="22"/>
        </w:rPr>
        <w:t xml:space="preserve">Analogy:</w:t>
      </w:r>
      <w:r>
        <w:rPr>
          <w:rFonts w:ascii="Cambria" w:hAnsi="Cambria" w:cs="Cambria" w:eastAsia="Cambria"/>
          <w:sz w:val="22"/>
        </w:rPr>
        <w:t xml:space="preserve"> </w:t>
      </w:r>
      <w:r>
        <w:rPr>
          <w:rFonts w:ascii="Cambria" w:hAnsi="Cambria" w:cs="Cambria" w:eastAsia="Cambria"/>
          <w:sz w:val="22"/>
        </w:rPr>
        <w:t xml:space="preserve">Similar cause-effect relationships established for analogous biological structures/processes.</w:t>
      </w:r>
    </w:p>
    <w:p>
      <w:pPr>
        <w:pStyle w:val="FirstParagraph"/>
        <w:spacing w:before="0" w:after="200" w:line="276" w:lineRule="auto"/>
        <w:jc w:val="both"/>
      </w:pPr>
      <w:r>
        <w:rPr>
          <w:rFonts w:ascii="Cambria" w:hAnsi="Cambria" w:cs="Cambria" w:eastAsia="Cambria"/>
          <w:sz w:val="22"/>
        </w:rPr>
        <w:t xml:space="preserve">The following section presents the evidence and scoring for each criterion in the context of mother centriole asymmetry and aging.</w:t>
      </w:r>
    </w:p>
    <w:p>
      <w:pPr>
        <w:spacing w:before="0" w:after="200" w:line="276" w:lineRule="auto"/>
        <w:jc w:val="both"/>
      </w:pPr>
      <w:r>
        <w:pict>
          <v:rect style="width:0;height:1.5pt" o:hralign="center" o:hrstd="t" o:hr="t"/>
        </w:pict>
      </w:r>
    </w:p>
    <w:p>
      <w:pPr>
        <w:pStyle w:val="Heading3"/>
        <w:spacing w:before="200" w:after="120" w:line="276" w:lineRule="auto"/>
        <w:jc w:val="left"/>
      </w:pPr>
      <w:r>
        <w:rPr>
          <w:rFonts w:ascii="Calibri" w:hAnsi="Calibri" w:cs="Calibri" w:eastAsia="Calibri"/>
          <w:b/>
          <w:bCs/>
          <w:color w:val="4F81BD"/>
          <w:sz w:val="26"/>
        </w:rPr>
        <w:t xml:space="preserve">3. Results: BHCA Scoring and Analysis</w:t>
      </w:r>
    </w:p>
    <w:p>
      <w:pPr>
        <w:pStyle w:val="FirstParagraph"/>
        <w:spacing w:before="0" w:after="200" w:line="276" w:lineRule="auto"/>
        <w:jc w:val="both"/>
      </w:pPr>
      <w:r>
        <w:rPr>
          <w:rFonts w:ascii="Cambria" w:hAnsi="Cambria" w:cs="Cambria" w:eastAsia="Cambria"/>
          <w:b/>
          <w:bCs/>
          <w:sz w:val="22"/>
        </w:rPr>
        <w:t xml:space="preserve">3.1. Strength of Association (Score: 3/3)</w:t>
      </w:r>
      <w:r>
        <w:rPr>
          <w:rFonts w:ascii="Cambria" w:hAnsi="Cambria" w:cs="Cambria" w:eastAsia="Cambria"/>
          <w:sz w:val="22"/>
        </w:rPr>
        <w:t xml:space="preserve"> </w:t>
      </w:r>
      <w:r>
        <w:rPr>
          <w:rFonts w:ascii="Cambria" w:hAnsi="Cambria" w:cs="Cambria" w:eastAsia="Cambria"/>
          <w:sz w:val="22"/>
        </w:rPr>
        <w:t xml:space="preserve">The association between asymmetric mother centriole inheritance and stem cell fate/function is exceptionally strong. In</w:t>
      </w:r>
      <w:r>
        <w:rPr>
          <w:rFonts w:ascii="Cambria" w:hAnsi="Cambria" w:cs="Cambria" w:eastAsia="Cambria"/>
          <w:sz w:val="22"/>
        </w:rPr>
        <w:t xml:space="preserve"> </w:t>
      </w:r>
      <w:r>
        <w:rPr>
          <w:rFonts w:ascii="Cambria" w:hAnsi="Cambria" w:cs="Cambria" w:eastAsia="Cambria"/>
          <w:i/>
          <w:iCs/>
          <w:sz w:val="22"/>
        </w:rPr>
        <w:t xml:space="preserve">Drosophila</w:t>
      </w:r>
      <w:r>
        <w:rPr>
          <w:rFonts w:ascii="Cambria" w:hAnsi="Cambria" w:cs="Cambria" w:eastAsia="Cambria"/>
          <w:sz w:val="22"/>
        </w:rPr>
        <w:t xml:space="preserve"> </w:t>
      </w:r>
      <w:r>
        <w:rPr>
          <w:rFonts w:ascii="Cambria" w:hAnsi="Cambria" w:cs="Cambria" w:eastAsia="Cambria"/>
          <w:sz w:val="22"/>
        </w:rPr>
        <w:t xml:space="preserve">GSCs, the mother centrosome is retained in 80-95% of divisions, a highly non-stochastic bias [10]. Disruption of this asymmetry correlates directly with stem cell loss. In mouse HSCs, asymmetric segregation of aged protein aggregates (a proxy for cellular age) is associated with stemness, while symmetric inheritance promotes differentiation [13]. The strength is further underscored by the magnitude of lifespan effects: CASIN-mediated restoration of polarity extends mouse median lifespan by approximately 20% [14], and young bone marrow transplantation increases median lifespan by 34% [15]. These are large, biologically significant effect sizes.</w:t>
      </w:r>
    </w:p>
    <w:p>
      <w:pPr>
        <w:pStyle w:val="BodyText"/>
        <w:spacing w:before="0" w:after="200" w:line="276" w:lineRule="auto"/>
        <w:jc w:val="both"/>
      </w:pPr>
      <w:r>
        <w:rPr>
          <w:rFonts w:ascii="Cambria" w:hAnsi="Cambria" w:cs="Cambria" w:eastAsia="Cambria"/>
          <w:b/>
          <w:bCs/>
          <w:sz w:val="22"/>
        </w:rPr>
        <w:t xml:space="preserve">3.2. Consistency (Score: 3/3)</w:t>
      </w:r>
      <w:r>
        <w:rPr>
          <w:rFonts w:ascii="Cambria" w:hAnsi="Cambria" w:cs="Cambria" w:eastAsia="Cambria"/>
          <w:sz w:val="22"/>
        </w:rPr>
        <w:t xml:space="preserve"> </w:t>
      </w:r>
      <w:r>
        <w:rPr>
          <w:rFonts w:ascii="Cambria" w:hAnsi="Cambria" w:cs="Cambria" w:eastAsia="Cambria"/>
          <w:sz w:val="22"/>
        </w:rPr>
        <w:t xml:space="preserve">The evidence is remarkably consistent across species, stem cell types, and investigative teams. Key studies include: Yamashita 2007 (</w:t>
      </w:r>
      <w:r>
        <w:rPr>
          <w:rFonts w:ascii="Cambria" w:hAnsi="Cambria" w:cs="Cambria" w:eastAsia="Cambria"/>
          <w:i/>
          <w:iCs/>
          <w:sz w:val="22"/>
        </w:rPr>
        <w:t xml:space="preserve">Drosophila</w:t>
      </w:r>
      <w:r>
        <w:rPr>
          <w:rFonts w:ascii="Cambria" w:hAnsi="Cambria" w:cs="Cambria" w:eastAsia="Cambria"/>
          <w:sz w:val="22"/>
        </w:rPr>
        <w:t xml:space="preserve"> </w:t>
      </w:r>
      <w:r>
        <w:rPr>
          <w:rFonts w:ascii="Cambria" w:hAnsi="Cambria" w:cs="Cambria" w:eastAsia="Cambria"/>
          <w:sz w:val="22"/>
        </w:rPr>
        <w:t xml:space="preserve">GSCs) [10], Januschke 2011 (</w:t>
      </w:r>
      <w:r>
        <w:rPr>
          <w:rFonts w:ascii="Cambria" w:hAnsi="Cambria" w:cs="Cambria" w:eastAsia="Cambria"/>
          <w:i/>
          <w:iCs/>
          <w:sz w:val="22"/>
        </w:rPr>
        <w:t xml:space="preserve">Drosophila</w:t>
      </w:r>
      <w:r>
        <w:rPr>
          <w:rFonts w:ascii="Cambria" w:hAnsi="Cambria" w:cs="Cambria" w:eastAsia="Cambria"/>
          <w:sz w:val="22"/>
        </w:rPr>
        <w:t xml:space="preserve"> </w:t>
      </w:r>
      <w:r>
        <w:rPr>
          <w:rFonts w:ascii="Cambria" w:hAnsi="Cambria" w:cs="Cambria" w:eastAsia="Cambria"/>
          <w:sz w:val="22"/>
        </w:rPr>
        <w:t xml:space="preserve">neuroblasts) [11], Rosen 2009 (</w:t>
      </w:r>
      <w:r>
        <w:rPr>
          <w:rFonts w:ascii="Cambria" w:hAnsi="Cambria" w:cs="Cambria" w:eastAsia="Cambria"/>
          <w:i/>
          <w:iCs/>
          <w:sz w:val="22"/>
        </w:rPr>
        <w:t xml:space="preserve">C. elegans</w:t>
      </w:r>
      <w:r>
        <w:rPr>
          <w:rFonts w:ascii="Cambria" w:hAnsi="Cambria" w:cs="Cambria" w:eastAsia="Cambria"/>
          <w:sz w:val="22"/>
        </w:rPr>
        <w:t xml:space="preserve"> </w:t>
      </w:r>
      <w:r>
        <w:rPr>
          <w:rFonts w:ascii="Cambria" w:hAnsi="Cambria" w:cs="Cambria" w:eastAsia="Cambria"/>
          <w:sz w:val="22"/>
        </w:rPr>
        <w:t xml:space="preserve">germline) [12], Wang 2009 (mouse HSCs) [13], Florian 2020 (mouse HSCs,</w:t>
      </w:r>
      <w:r>
        <w:rPr>
          <w:rFonts w:ascii="Cambria" w:hAnsi="Cambria" w:cs="Cambria" w:eastAsia="Cambria"/>
          <w:sz w:val="22"/>
        </w:rPr>
        <w:t xml:space="preserve"> </w:t>
      </w:r>
      <w:r>
        <w:rPr>
          <w:rFonts w:ascii="Cambria" w:hAnsi="Cambria" w:cs="Cambria" w:eastAsia="Cambria"/>
          <w:i/>
          <w:iCs/>
          <w:sz w:val="22"/>
        </w:rPr>
        <w:t xml:space="preserve">in vivo</w:t>
      </w:r>
      <w:r>
        <w:rPr>
          <w:rFonts w:ascii="Cambria" w:hAnsi="Cambria" w:cs="Cambria" w:eastAsia="Cambria"/>
          <w:sz w:val="22"/>
        </w:rPr>
        <w:t xml:space="preserve"> </w:t>
      </w:r>
      <w:r>
        <w:rPr>
          <w:rFonts w:ascii="Cambria" w:hAnsi="Cambria" w:cs="Cambria" w:eastAsia="Cambria"/>
          <w:sz w:val="22"/>
        </w:rPr>
        <w:t xml:space="preserve">intervention) [14], Leins 2022 (mouse transplant) [15], Shen 2025 (mouse CD150low HSCs) [16], and Pan 2025 (human mesenchymal stem cells) [20]. This constitutes nine independent lines of evidence from four species (fly, worm, mouse, human), published over 18 years, with no contradictory findings refuting the core phenomenon.</w:t>
      </w:r>
    </w:p>
    <w:p>
      <w:pPr>
        <w:pStyle w:val="BodyText"/>
        <w:spacing w:before="0" w:after="200" w:line="276" w:lineRule="auto"/>
        <w:jc w:val="both"/>
      </w:pPr>
      <w:r>
        <w:rPr>
          <w:rFonts w:ascii="Cambria" w:hAnsi="Cambria" w:cs="Cambria" w:eastAsia="Cambria"/>
          <w:b/>
          <w:bCs/>
          <w:sz w:val="22"/>
        </w:rPr>
        <w:t xml:space="preserve">3.3. Specificity (Score: 2/3)</w:t>
      </w:r>
      <w:r>
        <w:rPr>
          <w:rFonts w:ascii="Cambria" w:hAnsi="Cambria" w:cs="Cambria" w:eastAsia="Cambria"/>
          <w:sz w:val="22"/>
        </w:rPr>
        <w:t xml:space="preserve"> </w:t>
      </w:r>
      <w:r>
        <w:rPr>
          <w:rFonts w:ascii="Cambria" w:hAnsi="Cambria" w:cs="Cambria" w:eastAsia="Cambria"/>
          <w:sz w:val="22"/>
        </w:rPr>
        <w:t xml:space="preserve">The mother centriole is a specific, identifiable structure whose age can be traced via molecular marks like polyglutamylation and whose inheritance pattern is non-random. The effect—preservation of stemness and organismal longevity—is specific to its asymmetric segregation, as forcing symmetric inheritance of aged components drives differentiation and aging [13, 14]. The point is deducted because the aged mother centriole acts as a platform for other aging factors (e.g., protein aggregates, RNA), making it part of an integrated</w:t>
      </w:r>
      <w:r>
        <w:rPr>
          <w:rFonts w:ascii="Cambria" w:hAnsi="Cambria" w:cs="Cambria" w:eastAsia="Cambria"/>
          <w:sz w:val="22"/>
        </w:rPr>
        <w:t xml:space="preserve"> </w:t>
      </w:r>
      <w:r>
        <w:rPr>
          <w:rFonts w:ascii="Cambria" w:hAnsi="Cambria" w:cs="Cambria" w:eastAsia="Cambria"/>
          <w:sz w:val="22"/>
        </w:rPr>
        <w:t xml:space="preserve">“aging complex”</w:t>
      </w:r>
      <w:r>
        <w:rPr>
          <w:rFonts w:ascii="Cambria" w:hAnsi="Cambria" w:cs="Cambria" w:eastAsia="Cambria"/>
          <w:sz w:val="22"/>
        </w:rPr>
        <w:t xml:space="preserve"> </w:t>
      </w:r>
      <w:r>
        <w:rPr>
          <w:rFonts w:ascii="Cambria" w:hAnsi="Cambria" w:cs="Cambria" w:eastAsia="Cambria"/>
          <w:sz w:val="22"/>
        </w:rPr>
        <w:t xml:space="preserve">rather than a perfectly isolated cause [8, 21]. However, its role as the indispensable architectural core of this complex enhances its specific importance.</w:t>
      </w:r>
    </w:p>
    <w:p>
      <w:pPr>
        <w:pStyle w:val="BodyText"/>
        <w:spacing w:before="0" w:after="200" w:line="276" w:lineRule="auto"/>
        <w:jc w:val="both"/>
      </w:pPr>
      <w:r>
        <w:rPr>
          <w:rFonts w:ascii="Cambria" w:hAnsi="Cambria" w:cs="Cambria" w:eastAsia="Cambria"/>
          <w:b/>
          <w:bCs/>
          <w:sz w:val="22"/>
        </w:rPr>
        <w:t xml:space="preserve">3.4. Temporality (Score: 3/3)</w:t>
      </w:r>
      <w:r>
        <w:rPr>
          <w:rFonts w:ascii="Cambria" w:hAnsi="Cambria" w:cs="Cambria" w:eastAsia="Cambria"/>
          <w:sz w:val="22"/>
        </w:rPr>
        <w:t xml:space="preserve"> </w:t>
      </w:r>
      <w:r>
        <w:rPr>
          <w:rFonts w:ascii="Cambria" w:hAnsi="Cambria" w:cs="Cambria" w:eastAsia="Cambria"/>
          <w:sz w:val="22"/>
        </w:rPr>
        <w:t xml:space="preserve">Temporality is unequivocally satisfied. The age of the mother centriole is acquired over previous cell cycles; it is the</w:t>
      </w:r>
      <w:r>
        <w:rPr>
          <w:rFonts w:ascii="Cambria" w:hAnsi="Cambria" w:cs="Cambria" w:eastAsia="Cambria"/>
          <w:sz w:val="22"/>
        </w:rPr>
        <w:t xml:space="preserve"> </w:t>
      </w:r>
      <w:r>
        <w:rPr>
          <w:rFonts w:ascii="Cambria" w:hAnsi="Cambria" w:cs="Cambria" w:eastAsia="Cambria"/>
          <w:i/>
          <w:iCs/>
          <w:sz w:val="22"/>
        </w:rPr>
        <w:t xml:space="preserve">pre-existing</w:t>
      </w:r>
      <w:r>
        <w:rPr>
          <w:rFonts w:ascii="Cambria" w:hAnsi="Cambria" w:cs="Cambria" w:eastAsia="Cambria"/>
          <w:sz w:val="22"/>
        </w:rPr>
        <w:t xml:space="preserve"> </w:t>
      </w:r>
      <w:r>
        <w:rPr>
          <w:rFonts w:ascii="Cambria" w:hAnsi="Cambria" w:cs="Cambria" w:eastAsia="Cambria"/>
          <w:sz w:val="22"/>
        </w:rPr>
        <w:t xml:space="preserve">aged entity that is asymmetrically partitioned at the moment of division. The functional consequences—loss of stem cell polarity, reduced division rate, differentiation defects—manifest afterwards. In</w:t>
      </w:r>
      <w:r>
        <w:rPr>
          <w:rFonts w:ascii="Cambria" w:hAnsi="Cambria" w:cs="Cambria" w:eastAsia="Cambria"/>
          <w:sz w:val="22"/>
        </w:rPr>
        <w:t xml:space="preserve"> </w:t>
      </w:r>
      <w:r>
        <w:rPr>
          <w:rFonts w:ascii="Cambria" w:hAnsi="Cambria" w:cs="Cambria" w:eastAsia="Cambria"/>
          <w:i/>
          <w:iCs/>
          <w:sz w:val="22"/>
        </w:rPr>
        <w:t xml:space="preserve">Drosophila</w:t>
      </w:r>
      <w:r>
        <w:rPr>
          <w:rFonts w:ascii="Cambria" w:hAnsi="Cambria" w:cs="Cambria" w:eastAsia="Cambria"/>
          <w:sz w:val="22"/>
        </w:rPr>
        <w:t xml:space="preserve"> </w:t>
      </w:r>
      <w:r>
        <w:rPr>
          <w:rFonts w:ascii="Cambria" w:hAnsi="Cambria" w:cs="Cambria" w:eastAsia="Cambria"/>
          <w:sz w:val="22"/>
        </w:rPr>
        <w:t xml:space="preserve">testis, centrosome misorientation (a failure of asymmetry) increases with age</w:t>
      </w:r>
      <w:r>
        <w:rPr>
          <w:rFonts w:ascii="Cambria" w:hAnsi="Cambria" w:cs="Cambria" w:eastAsia="Cambria"/>
          <w:sz w:val="22"/>
        </w:rPr>
        <w:t xml:space="preserve"> </w:t>
      </w:r>
      <w:r>
        <w:rPr>
          <w:rFonts w:ascii="Cambria" w:hAnsi="Cambria" w:cs="Cambria" w:eastAsia="Cambria"/>
          <w:i/>
          <w:iCs/>
          <w:sz w:val="22"/>
        </w:rPr>
        <w:t xml:space="preserve">prior</w:t>
      </w:r>
      <w:r>
        <w:rPr>
          <w:rFonts w:ascii="Cambria" w:hAnsi="Cambria" w:cs="Cambria" w:eastAsia="Cambria"/>
          <w:sz w:val="22"/>
        </w:rPr>
        <w:t xml:space="preserve"> </w:t>
      </w:r>
      <w:r>
        <w:rPr>
          <w:rFonts w:ascii="Cambria" w:hAnsi="Cambria" w:cs="Cambria" w:eastAsia="Cambria"/>
          <w:sz w:val="22"/>
        </w:rPr>
        <w:t xml:space="preserve">to the decrease in GSC division rate [22]. The sequence is clear: centriolar aging → loss of asymmetric inheritance → stem cell dysfunction.</w:t>
      </w:r>
    </w:p>
    <w:p>
      <w:pPr>
        <w:pStyle w:val="BodyText"/>
        <w:spacing w:before="0" w:after="200" w:line="276" w:lineRule="auto"/>
        <w:jc w:val="both"/>
      </w:pPr>
      <w:r>
        <w:rPr>
          <w:rFonts w:ascii="Cambria" w:hAnsi="Cambria" w:cs="Cambria" w:eastAsia="Cambria"/>
          <w:b/>
          <w:bCs/>
          <w:sz w:val="22"/>
        </w:rPr>
        <w:t xml:space="preserve">3.5. Biological Gradient (Score: 3/3)</w:t>
      </w:r>
      <w:r>
        <w:rPr>
          <w:rFonts w:ascii="Cambria" w:hAnsi="Cambria" w:cs="Cambria" w:eastAsia="Cambria"/>
          <w:sz w:val="22"/>
        </w:rPr>
        <w:t xml:space="preserve"> </w:t>
      </w:r>
      <w:r>
        <w:rPr>
          <w:rFonts w:ascii="Cambria" w:hAnsi="Cambria" w:cs="Cambria" w:eastAsia="Cambria"/>
          <w:sz w:val="22"/>
        </w:rPr>
        <w:t xml:space="preserve">A clear dose-response relationship exists. The level of tubulin polyglutamylation on the mother centriole increases with the number of stem cell divisions, as evidenced by the TTLL6 feedback loop in HSCs [6]. Functionally, HSC subpopulations with fewer divisions (CD150low), and therefore less centriolar PTM burden, possess superior regenerative capacity and confer a greater lifespan extension upon transplantation compared to more-divided counterparts [16]. Conversely, excessive polyglutamylation, as seen in CCP1 deficiency, leads to shortened primary cilia and impaired differentiation in a graded manner [20]. The correlation between</w:t>
      </w:r>
      <w:r>
        <w:rPr>
          <w:rFonts w:ascii="Cambria" w:hAnsi="Cambria" w:cs="Cambria" w:eastAsia="Cambria"/>
          <w:sz w:val="22"/>
        </w:rPr>
        <w:t xml:space="preserve"> </w:t>
      </w:r>
      <w:r>
        <w:rPr>
          <w:rFonts w:ascii="Cambria" w:hAnsi="Cambria" w:cs="Cambria" w:eastAsia="Cambria"/>
          <w:sz w:val="22"/>
        </w:rPr>
        <w:t xml:space="preserve">“dose”</w:t>
      </w:r>
      <w:r>
        <w:rPr>
          <w:rFonts w:ascii="Cambria" w:hAnsi="Cambria" w:cs="Cambria" w:eastAsia="Cambria"/>
          <w:sz w:val="22"/>
        </w:rPr>
        <w:t xml:space="preserve"> </w:t>
      </w:r>
      <w:r>
        <w:rPr>
          <w:rFonts w:ascii="Cambria" w:hAnsi="Cambria" w:cs="Cambria" w:eastAsia="Cambria"/>
          <w:sz w:val="22"/>
        </w:rPr>
        <w:t xml:space="preserve">of centriolar age and</w:t>
      </w:r>
      <w:r>
        <w:rPr>
          <w:rFonts w:ascii="Cambria" w:hAnsi="Cambria" w:cs="Cambria" w:eastAsia="Cambria"/>
          <w:sz w:val="22"/>
        </w:rPr>
        <w:t xml:space="preserve"> </w:t>
      </w:r>
      <w:r>
        <w:rPr>
          <w:rFonts w:ascii="Cambria" w:hAnsi="Cambria" w:cs="Cambria" w:eastAsia="Cambria"/>
          <w:sz w:val="22"/>
        </w:rPr>
        <w:t xml:space="preserve">“response”</w:t>
      </w:r>
      <w:r>
        <w:rPr>
          <w:rFonts w:ascii="Cambria" w:hAnsi="Cambria" w:cs="Cambria" w:eastAsia="Cambria"/>
          <w:sz w:val="22"/>
        </w:rPr>
        <w:t xml:space="preserve"> </w:t>
      </w:r>
      <w:r>
        <w:rPr>
          <w:rFonts w:ascii="Cambria" w:hAnsi="Cambria" w:cs="Cambria" w:eastAsia="Cambria"/>
          <w:sz w:val="22"/>
        </w:rPr>
        <w:t xml:space="preserve">of functional decline is direct.</w:t>
      </w:r>
    </w:p>
    <w:p>
      <w:pPr>
        <w:pStyle w:val="BodyText"/>
        <w:spacing w:before="0" w:after="200" w:line="276" w:lineRule="auto"/>
        <w:jc w:val="both"/>
      </w:pPr>
      <w:r>
        <w:rPr>
          <w:rFonts w:ascii="Cambria" w:hAnsi="Cambria" w:cs="Cambria" w:eastAsia="Cambria"/>
          <w:b/>
          <w:bCs/>
          <w:sz w:val="22"/>
        </w:rPr>
        <w:t xml:space="preserve">3.6. Plausibility (Score: 3/3)</w:t>
      </w:r>
      <w:r>
        <w:rPr>
          <w:rFonts w:ascii="Cambria" w:hAnsi="Cambria" w:cs="Cambria" w:eastAsia="Cambria"/>
          <w:sz w:val="22"/>
        </w:rPr>
        <w:t xml:space="preserve"> </w:t>
      </w:r>
      <w:r>
        <w:rPr>
          <w:rFonts w:ascii="Cambria" w:hAnsi="Cambria" w:cs="Cambria" w:eastAsia="Cambria"/>
          <w:sz w:val="22"/>
        </w:rPr>
        <w:t xml:space="preserve">A detailed molecular mechanism underpins the plausibility. Madarampalli et al. (2015) identified the transcription factor ATF5 as forming a 9-fold symmetric ring in the PCM that simultaneously binds polyglutamylated tubulin (on the mother centriole) and pericentrin (in the PCM) [5]. This PGT-ATF5-PCNT tripartite complex is essential for centrosome integrity; its disruption causes centriole fragmentation. This provides a physical mechanism for</w:t>
      </w:r>
      <w:r>
        <w:rPr>
          <w:rFonts w:ascii="Cambria" w:hAnsi="Cambria" w:cs="Cambria" w:eastAsia="Cambria"/>
          <w:sz w:val="22"/>
        </w:rPr>
        <w:t xml:space="preserve"> </w:t>
      </w:r>
      <w:r>
        <w:rPr>
          <w:rFonts w:ascii="Cambria" w:hAnsi="Cambria" w:cs="Cambria" w:eastAsia="Cambria"/>
          <w:sz w:val="22"/>
        </w:rPr>
        <w:t xml:space="preserve">“reading”</w:t>
      </w:r>
      <w:r>
        <w:rPr>
          <w:rFonts w:ascii="Cambria" w:hAnsi="Cambria" w:cs="Cambria" w:eastAsia="Cambria"/>
          <w:sz w:val="22"/>
        </w:rPr>
        <w:t xml:space="preserve"> </w:t>
      </w:r>
      <w:r>
        <w:rPr>
          <w:rFonts w:ascii="Cambria" w:hAnsi="Cambria" w:cs="Cambria" w:eastAsia="Cambria"/>
          <w:sz w:val="22"/>
        </w:rPr>
        <w:t xml:space="preserve">the age mark (polyGlu) and tethering it to the functional PCM. Furthermore, the absence of a repair pathway for centrioles is critical. As shown by Bobinnec et al. (1998), injection of an antibody (GT335) against polyglutamylated tubulin leads to complete centriole disappearance within 12 hours, with recovery possible only via</w:t>
      </w:r>
      <w:r>
        <w:rPr>
          <w:rFonts w:ascii="Cambria" w:hAnsi="Cambria" w:cs="Cambria" w:eastAsia="Cambria"/>
          <w:sz w:val="22"/>
        </w:rPr>
        <w:t xml:space="preserve"> </w:t>
      </w:r>
      <w:r>
        <w:rPr>
          <w:rFonts w:ascii="Cambria" w:hAnsi="Cambria" w:cs="Cambria" w:eastAsia="Cambria"/>
          <w:i/>
          <w:iCs/>
          <w:sz w:val="22"/>
        </w:rPr>
        <w:t xml:space="preserve">de novo</w:t>
      </w:r>
      <w:r>
        <w:rPr>
          <w:rFonts w:ascii="Cambria" w:hAnsi="Cambria" w:cs="Cambria" w:eastAsia="Cambria"/>
          <w:sz w:val="22"/>
        </w:rPr>
        <w:t xml:space="preserve"> </w:t>
      </w:r>
      <w:r>
        <w:rPr>
          <w:rFonts w:ascii="Cambria" w:hAnsi="Cambria" w:cs="Cambria" w:eastAsia="Cambria"/>
          <w:sz w:val="22"/>
        </w:rPr>
        <w:t xml:space="preserve">synthesis [4]. This</w:t>
      </w:r>
      <w:r>
        <w:rPr>
          <w:rFonts w:ascii="Cambria" w:hAnsi="Cambria" w:cs="Cambria" w:eastAsia="Cambria"/>
          <w:sz w:val="22"/>
        </w:rPr>
        <w:t xml:space="preserve"> </w:t>
      </w:r>
      <w:r>
        <w:rPr>
          <w:rFonts w:ascii="Cambria" w:hAnsi="Cambria" w:cs="Cambria" w:eastAsia="Cambria"/>
          <w:sz w:val="22"/>
        </w:rPr>
        <w:t xml:space="preserve">“no-repair”</w:t>
      </w:r>
      <w:r>
        <w:rPr>
          <w:rFonts w:ascii="Cambria" w:hAnsi="Cambria" w:cs="Cambria" w:eastAsia="Cambria"/>
          <w:sz w:val="22"/>
        </w:rPr>
        <w:t xml:space="preserve"> </w:t>
      </w:r>
      <w:r>
        <w:rPr>
          <w:rFonts w:ascii="Cambria" w:hAnsi="Cambria" w:cs="Cambria" w:eastAsia="Cambria"/>
          <w:sz w:val="22"/>
        </w:rPr>
        <w:t xml:space="preserve">rule makes the accumulation of damage irreversible, a necessary condition for a true aging substrate [7, 8].</w:t>
      </w:r>
    </w:p>
    <w:p>
      <w:pPr>
        <w:pStyle w:val="BodyText"/>
        <w:spacing w:before="0" w:after="200" w:line="276" w:lineRule="auto"/>
        <w:jc w:val="both"/>
      </w:pPr>
      <w:r>
        <w:rPr>
          <w:rFonts w:ascii="Cambria" w:hAnsi="Cambria" w:cs="Cambria" w:eastAsia="Cambria"/>
          <w:b/>
          <w:bCs/>
          <w:sz w:val="22"/>
        </w:rPr>
        <w:t xml:space="preserve">3.7. Coherence (Score: 3/3)</w:t>
      </w:r>
      <w:r>
        <w:rPr>
          <w:rFonts w:ascii="Cambria" w:hAnsi="Cambria" w:cs="Cambria" w:eastAsia="Cambria"/>
          <w:sz w:val="22"/>
        </w:rPr>
        <w:t xml:space="preserve"> </w:t>
      </w:r>
      <w:r>
        <w:rPr>
          <w:rFonts w:ascii="Cambria" w:hAnsi="Cambria" w:cs="Cambria" w:eastAsia="Cambria"/>
          <w:sz w:val="22"/>
        </w:rPr>
        <w:t xml:space="preserve">The hypothesis is highly coherent with established biological knowledge. It explains the Hayflick limit paradox: stem cells avoid replicative senescence not by lacking a mitotic counter, but by offloading the aged component (the mother centriole) to a cell fate that will undergo limited further divisions [7, 9]. It aligns perfectly with the evolutionary theory of asymmetric division for damage segregation. It also integrates with the role of the primary cilium (emanating from the mother centriole) as a signaling hub; centriolar aging disrupts ciliary signaling, impairing stem cell niche communication and differentiation—a defect observed in aged MSCs [20, 23].</w:t>
      </w:r>
    </w:p>
    <w:p>
      <w:pPr>
        <w:pStyle w:val="BodyText"/>
        <w:spacing w:before="0" w:after="200" w:line="276" w:lineRule="auto"/>
        <w:jc w:val="both"/>
      </w:pPr>
      <w:r>
        <w:rPr>
          <w:rFonts w:ascii="Cambria" w:hAnsi="Cambria" w:cs="Cambria" w:eastAsia="Cambria"/>
          <w:b/>
          <w:bCs/>
          <w:sz w:val="22"/>
        </w:rPr>
        <w:t xml:space="preserve">3.8. Experiment (Score: 3/3)</w:t>
      </w:r>
      <w:r>
        <w:rPr>
          <w:rFonts w:ascii="Cambria" w:hAnsi="Cambria" w:cs="Cambria" w:eastAsia="Cambria"/>
          <w:sz w:val="22"/>
        </w:rPr>
        <w:t xml:space="preserve"> </w:t>
      </w:r>
      <w:r>
        <w:rPr>
          <w:rFonts w:ascii="Cambria" w:hAnsi="Cambria" w:cs="Cambria" w:eastAsia="Cambria"/>
          <w:sz w:val="22"/>
        </w:rPr>
        <w:t xml:space="preserve">Direct experimental evidence is robust and includes both loss-of-function and gain-of-function approaches.</w:t>
      </w:r>
    </w:p>
    <w:p>
      <w:pPr>
        <w:pStyle w:val="Compact"/>
        <w:numPr>
          <w:ilvl w:val="0"/>
          <w:numId w:val="1002"/>
        </w:numPr>
        <w:spacing w:before="0" w:after="200" w:line="276" w:lineRule="auto"/>
        <w:jc w:val="both"/>
      </w:pPr>
      <w:r>
        <w:rPr>
          <w:rFonts w:ascii="Cambria" w:hAnsi="Cambria" w:cs="Cambria" w:eastAsia="Cambria"/>
          <w:b/>
          <w:bCs/>
          <w:sz w:val="22"/>
        </w:rPr>
        <w:t xml:space="preserve">Intervention to Restore Asymmetry:</w:t>
      </w:r>
      <w:r>
        <w:rPr>
          <w:rFonts w:ascii="Cambria" w:hAnsi="Cambria" w:cs="Cambria" w:eastAsia="Cambria"/>
          <w:sz w:val="22"/>
        </w:rPr>
        <w:t xml:space="preserve"> </w:t>
      </w:r>
      <w:r>
        <w:rPr>
          <w:rFonts w:ascii="Cambria" w:hAnsi="Cambria" w:cs="Cambria" w:eastAsia="Cambria"/>
          <w:sz w:val="22"/>
        </w:rPr>
        <w:t xml:space="preserve">Treatment of aged HSCs with CASIN, a Cdc42 inhibitor, restores centrosome polarity and subsequently improves stem cell function, healthspan, and lifespan [14]. This is a direct causal test.</w:t>
      </w:r>
    </w:p>
    <w:p>
      <w:pPr>
        <w:pStyle w:val="Compact"/>
        <w:numPr>
          <w:ilvl w:val="0"/>
          <w:numId w:val="1002"/>
        </w:numPr>
        <w:spacing w:before="0" w:after="200" w:line="276" w:lineRule="auto"/>
        <w:jc w:val="both"/>
      </w:pPr>
      <w:r>
        <w:rPr>
          <w:rFonts w:ascii="Cambria" w:hAnsi="Cambria" w:cs="Cambria" w:eastAsia="Cambria"/>
          <w:b/>
          <w:bCs/>
          <w:sz w:val="22"/>
        </w:rPr>
        <w:t xml:space="preserve">Inducing Dysfunction:</w:t>
      </w:r>
      <w:r>
        <w:rPr>
          <w:rFonts w:ascii="Cambria" w:hAnsi="Cambria" w:cs="Cambria" w:eastAsia="Cambria"/>
          <w:sz w:val="22"/>
        </w:rPr>
        <w:t xml:space="preserve"> </w:t>
      </w:r>
      <w:r>
        <w:rPr>
          <w:rFonts w:ascii="Cambria" w:hAnsi="Cambria" w:cs="Cambria" w:eastAsia="Cambria"/>
          <w:sz w:val="22"/>
        </w:rPr>
        <w:t xml:space="preserve">CCP1 deficiency causes abnormal polyglutamylation accumulation, leading to shortened primary cilia and impaired osteogenic differentiation in BM-MSCs—a phenotype reversed by CCP1 restoration [20]. This demonstrates that manipulating the centriolar age mark directly alters stem cell function.</w:t>
      </w:r>
    </w:p>
    <w:p>
      <w:pPr>
        <w:pStyle w:val="Compact"/>
        <w:numPr>
          <w:ilvl w:val="0"/>
          <w:numId w:val="1002"/>
        </w:numPr>
        <w:spacing w:before="0" w:after="200" w:line="276" w:lineRule="auto"/>
        <w:jc w:val="both"/>
      </w:pPr>
      <w:r>
        <w:rPr>
          <w:rFonts w:ascii="Cambria" w:hAnsi="Cambria" w:cs="Cambria" w:eastAsia="Cambria"/>
          <w:b/>
          <w:bCs/>
          <w:sz w:val="22"/>
        </w:rPr>
        <w:t xml:space="preserve">Exploiting the Gradient:</w:t>
      </w:r>
      <w:r>
        <w:rPr>
          <w:rFonts w:ascii="Cambria" w:hAnsi="Cambria" w:cs="Cambria" w:eastAsia="Cambria"/>
          <w:sz w:val="22"/>
        </w:rPr>
        <w:t xml:space="preserve"> </w:t>
      </w:r>
      <w:r>
        <w:rPr>
          <w:rFonts w:ascii="Cambria" w:hAnsi="Cambria" w:cs="Cambria" w:eastAsia="Cambria"/>
          <w:sz w:val="22"/>
        </w:rPr>
        <w:t xml:space="preserve">Transplanting HSC subsets with less centriolar history (CD150low) extends lifespan [16], a functional experiment leveraging the biological gradient.</w:t>
      </w:r>
      <w:r>
        <w:rPr>
          <w:rFonts w:ascii="Cambria" w:hAnsi="Cambria" w:cs="Cambria" w:eastAsia="Cambria"/>
          <w:sz w:val="22"/>
        </w:rPr>
        <w:t xml:space="preserve"> </w:t>
      </w:r>
      <w:r>
        <w:rPr>
          <w:rFonts w:ascii="Cambria" w:hAnsi="Cambria" w:cs="Cambria" w:eastAsia="Cambria"/>
          <w:sz w:val="22"/>
        </w:rPr>
        <w:t xml:space="preserve">These experiments satisfy the Hill criterion of</w:t>
      </w:r>
      <w:r>
        <w:rPr>
          <w:rFonts w:ascii="Cambria" w:hAnsi="Cambria" w:cs="Cambria" w:eastAsia="Cambria"/>
          <w:sz w:val="22"/>
        </w:rPr>
        <w:t xml:space="preserve"> </w:t>
      </w:r>
      <w:r>
        <w:rPr>
          <w:rFonts w:ascii="Cambria" w:hAnsi="Cambria" w:cs="Cambria" w:eastAsia="Cambria"/>
          <w:sz w:val="22"/>
        </w:rPr>
        <w:t xml:space="preserve">“Experiment”</w:t>
      </w:r>
      <w:r>
        <w:rPr>
          <w:rFonts w:ascii="Cambria" w:hAnsi="Cambria" w:cs="Cambria" w:eastAsia="Cambria"/>
          <w:sz w:val="22"/>
        </w:rPr>
        <w:t xml:space="preserve"> </w:t>
      </w:r>
      <w:r>
        <w:rPr>
          <w:rFonts w:ascii="Cambria" w:hAnsi="Cambria" w:cs="Cambria" w:eastAsia="Cambria"/>
          <w:sz w:val="22"/>
        </w:rPr>
        <w:t xml:space="preserve">by showing that altering the cause (centriolar age/asymmetry) directly and predictably alters the effect (stem cell function and organismal lifespan).</w:t>
      </w:r>
    </w:p>
    <w:p>
      <w:pPr>
        <w:pStyle w:val="FirstParagraph"/>
        <w:spacing w:before="0" w:after="200" w:line="276" w:lineRule="auto"/>
        <w:jc w:val="both"/>
      </w:pPr>
      <w:r>
        <w:rPr>
          <w:rFonts w:ascii="Cambria" w:hAnsi="Cambria" w:cs="Cambria" w:eastAsia="Cambria"/>
          <w:b/>
          <w:bCs/>
          <w:sz w:val="22"/>
        </w:rPr>
        <w:t xml:space="preserve">3.9. Analogy (Score: 2/3)</w:t>
      </w:r>
      <w:r>
        <w:rPr>
          <w:rFonts w:ascii="Cambria" w:hAnsi="Cambria" w:cs="Cambria" w:eastAsia="Cambria"/>
          <w:sz w:val="22"/>
        </w:rPr>
        <w:t xml:space="preserve"> </w:t>
      </w:r>
      <w:r>
        <w:rPr>
          <w:rFonts w:ascii="Cambria" w:hAnsi="Cambria" w:cs="Cambria" w:eastAsia="Cambria"/>
          <w:sz w:val="22"/>
        </w:rPr>
        <w:t xml:space="preserve">Strong analogies exist with other asymmetrically partitioned aging factors. The most compelling is the asymmetric segregation of dysfunctional mitochondria and protein aggregates in stem cells [2, 3], which follows a similar logic of preserving a clean lineage. Furthermore, the concept of a non-repairable, accumulating entity dictating replicative fate is analogous to the role of telomeres in somatic cells, though the inheritance pattern differs. The principle of asymmetric inheritance of cellular damage is a recognized paradigm. The deduction reflects that while the analogy is strong, the centriole’s unique, non-repairable, and structurally central nature makes it a distinctly potent entity within this broader class.</w:t>
      </w:r>
    </w:p>
    <w:p>
      <w:pPr>
        <w:pStyle w:val="BodyText"/>
        <w:spacing w:before="0" w:after="200" w:line="276" w:lineRule="auto"/>
        <w:jc w:val="both"/>
      </w:pPr>
      <w:r>
        <w:rPr>
          <w:rFonts w:ascii="Cambria" w:hAnsi="Cambria" w:cs="Cambria" w:eastAsia="Cambria"/>
          <w:b/>
          <w:bCs/>
          <w:sz w:val="22"/>
        </w:rPr>
        <w:t xml:space="preserve">Total BHCA Score: 25/27 – Class I Evidence (Established Causal Fact).</w:t>
      </w:r>
    </w:p>
    <w:p>
      <w:pPr>
        <w:spacing w:before="0" w:after="200" w:line="276" w:lineRule="auto"/>
        <w:jc w:val="both"/>
      </w:pPr>
      <w:r>
        <w:pict>
          <v:rect style="width:0;height:1.5pt" o:hralign="center" o:hrstd="t" o:hr="t"/>
        </w:pict>
      </w:r>
    </w:p>
    <w:p>
      <w:pPr>
        <w:pStyle w:val="Heading3"/>
        <w:spacing w:before="200" w:after="120" w:line="276" w:lineRule="auto"/>
        <w:jc w:val="left"/>
      </w:pPr>
      <w:r>
        <w:rPr>
          <w:rFonts w:ascii="Calibri" w:hAnsi="Calibri" w:cs="Calibri" w:eastAsia="Calibri"/>
          <w:b/>
          <w:bCs/>
          <w:color w:val="4F81BD"/>
          <w:sz w:val="26"/>
        </w:rPr>
        <w:t xml:space="preserve">4. Discussion</w:t>
      </w:r>
    </w:p>
    <w:p>
      <w:pPr>
        <w:pStyle w:val="FirstParagraph"/>
        <w:spacing w:before="0" w:after="200" w:line="276" w:lineRule="auto"/>
        <w:jc w:val="both"/>
      </w:pPr>
      <w:r>
        <w:rPr>
          <w:rFonts w:ascii="Cambria" w:hAnsi="Cambria" w:cs="Cambria" w:eastAsia="Cambria"/>
          <w:sz w:val="22"/>
        </w:rPr>
        <w:t xml:space="preserve">This BHCA provides a formal, multi-parametric justification for categorizing the asymmetric inheritance of the aged mother centriole as a causal fact in stem cell and organismal aging. The score of 25/27 represents overwhelming evidence across all dimensions of causal inference. This conclusion is further cemented by the recent official recognition of centrosome misorientation as a hallmark of stem cell aging by leaders in the field [24].</w:t>
      </w:r>
    </w:p>
    <w:p>
      <w:pPr>
        <w:pStyle w:val="BodyText"/>
        <w:spacing w:before="0" w:after="200" w:line="276" w:lineRule="auto"/>
        <w:jc w:val="both"/>
      </w:pPr>
      <w:r>
        <w:rPr>
          <w:rFonts w:ascii="Cambria" w:hAnsi="Cambria" w:cs="Cambria" w:eastAsia="Cambria"/>
          <w:sz w:val="22"/>
        </w:rPr>
        <w:t xml:space="preserve">Our analysis resolves a key ontological issue in aging biology. While many hallmarks of aging are correlative or downstream consequences, the centriolar asymmetry mechanism meets the stringent criteria for a</w:t>
      </w:r>
      <w:r>
        <w:rPr>
          <w:rFonts w:ascii="Cambria" w:hAnsi="Cambria" w:cs="Cambria" w:eastAsia="Cambria"/>
          <w:sz w:val="22"/>
        </w:rPr>
        <w:t xml:space="preserve"> </w:t>
      </w:r>
      <w:r>
        <w:rPr>
          <w:rFonts w:ascii="Cambria" w:hAnsi="Cambria" w:cs="Cambria" w:eastAsia="Cambria"/>
          <w:i/>
          <w:iCs/>
          <w:sz w:val="22"/>
        </w:rPr>
        <w:t xml:space="preserve">driver</w:t>
      </w:r>
      <w:r>
        <w:rPr>
          <w:rFonts w:ascii="Cambria" w:hAnsi="Cambria" w:cs="Cambria" w:eastAsia="Cambria"/>
          <w:sz w:val="22"/>
        </w:rPr>
        <w:t xml:space="preserve"> </w:t>
      </w:r>
      <w:r>
        <w:rPr>
          <w:rFonts w:ascii="Cambria" w:hAnsi="Cambria" w:cs="Cambria" w:eastAsia="Cambria"/>
          <w:sz w:val="22"/>
        </w:rPr>
        <w:t xml:space="preserve">of aging. Its properties are unique: the centriole is a non-repairable organelle, its age is molecularly encoded via PTMs like polyglutamylation, and its asymmetric segregation is an active, regulated process essential for lineage continuity. The mechanistic work on the ATF5 tethering complex provides a satisfying molecular explanation for how the age mark is recognized and integrated into centrosome function [5], while the TTLL6 feedback loop explains how the mark progressively accumulates [6].</w:t>
      </w:r>
    </w:p>
    <w:p>
      <w:pPr>
        <w:pStyle w:val="BodyText"/>
        <w:spacing w:before="0" w:after="200" w:line="276" w:lineRule="auto"/>
        <w:jc w:val="both"/>
      </w:pPr>
      <w:r>
        <w:rPr>
          <w:rFonts w:ascii="Cambria" w:hAnsi="Cambria" w:cs="Cambria" w:eastAsia="Cambria"/>
          <w:sz w:val="22"/>
        </w:rPr>
        <w:t xml:space="preserve">The implications are profound for the CDATA (Centriole Damage As The Anchor) theory of aging, which posits centriolar damage as the fundamental rate-limiting lesion underlying the hallmarks of aging [8, 9]. This BHCA strongly supports that view. It suggests that rejuvenation strategies must look beyond molecular and metabolic cleanup to the architectural and structural integrity of the centrosome. Interventions like CASIN, or future therapies targeting tubulin polyglutamylation cycles (e.g., modulating TTLL or CCP enzyme activities), could form the basis for a new class of regenerative medicines.</w:t>
      </w:r>
    </w:p>
    <w:p>
      <w:pPr>
        <w:pStyle w:val="BodyText"/>
        <w:spacing w:before="0" w:after="200" w:line="276" w:lineRule="auto"/>
        <w:jc w:val="both"/>
      </w:pPr>
      <w:r>
        <w:rPr>
          <w:rFonts w:ascii="Cambria" w:hAnsi="Cambria" w:cs="Cambria" w:eastAsia="Cambria"/>
          <w:sz w:val="22"/>
        </w:rPr>
        <w:t xml:space="preserve">A limitation, reflected in the Specificity score, is that the aged mother centriole likely functions as a scaffold for other aging factors. Disentangling its purely structural role from its role as a carrier for aggregated proteins or oxidized macromolecules is challenging. However, this interdependence may reinforce, rather than weaken, its causal primacy. Furthermore, while evidence in epithelial and neural stem cells is growing, deeper validation across all adult stem cell niches is warranted.</w:t>
      </w:r>
    </w:p>
    <w:p>
      <w:pPr>
        <w:pStyle w:val="BodyText"/>
        <w:spacing w:before="0" w:after="200" w:line="276" w:lineRule="auto"/>
        <w:jc w:val="both"/>
      </w:pPr>
      <w:r>
        <w:rPr>
          <w:rFonts w:ascii="Cambria" w:hAnsi="Cambria" w:cs="Cambria" w:eastAsia="Cambria"/>
          <w:sz w:val="22"/>
        </w:rPr>
        <w:t xml:space="preserve">Future research must focus on developing non-invasive biomarkers of centriolar age (e.g., via advanced imaging of PTMs or ciliary function), directly testing the effects of forced symmetric inheritance of aged centrioles on stem cell exhaustion</w:t>
      </w:r>
      <w:r>
        <w:rPr>
          <w:rFonts w:ascii="Cambria" w:hAnsi="Cambria" w:cs="Cambria" w:eastAsia="Cambria"/>
          <w:sz w:val="22"/>
        </w:rPr>
        <w:t xml:space="preserve"> </w:t>
      </w:r>
      <w:r>
        <w:rPr>
          <w:rFonts w:ascii="Cambria" w:hAnsi="Cambria" w:cs="Cambria" w:eastAsia="Cambria"/>
          <w:i/>
          <w:iCs/>
          <w:sz w:val="22"/>
        </w:rPr>
        <w:t xml:space="preserve">in vivo</w:t>
      </w:r>
      <w:r>
        <w:rPr>
          <w:rFonts w:ascii="Cambria" w:hAnsi="Cambria" w:cs="Cambria" w:eastAsia="Cambria"/>
          <w:sz w:val="22"/>
        </w:rPr>
        <w:t xml:space="preserve">, and exploring the evolutionary conservation of this mechanism across the animal kingdom.</w:t>
      </w:r>
    </w:p>
    <w:p>
      <w:pPr>
        <w:spacing w:before="0" w:after="200" w:line="276" w:lineRule="auto"/>
        <w:jc w:val="both"/>
      </w:pPr>
      <w:r>
        <w:pict>
          <v:rect style="width:0;height:1.5pt" o:hralign="center" o:hrstd="t" o:hr="t"/>
        </w:pict>
      </w:r>
    </w:p>
    <w:p>
      <w:pPr>
        <w:pStyle w:val="Heading3"/>
        <w:spacing w:before="200" w:after="120" w:line="276" w:lineRule="auto"/>
        <w:jc w:val="left"/>
      </w:pPr>
      <w:r>
        <w:rPr>
          <w:rFonts w:ascii="Calibri" w:hAnsi="Calibri" w:cs="Calibri" w:eastAsia="Calibri"/>
          <w:b/>
          <w:bCs/>
          <w:color w:val="4F81BD"/>
          <w:sz w:val="26"/>
        </w:rPr>
        <w:t xml:space="preserve">5. Conclusion</w:t>
      </w:r>
    </w:p>
    <w:p>
      <w:pPr>
        <w:pStyle w:val="FirstParagraph"/>
        <w:spacing w:before="0" w:after="200" w:line="276" w:lineRule="auto"/>
        <w:jc w:val="both"/>
      </w:pPr>
      <w:r>
        <w:rPr>
          <w:rFonts w:ascii="Cambria" w:hAnsi="Cambria" w:cs="Cambria" w:eastAsia="Cambria"/>
          <w:sz w:val="22"/>
        </w:rPr>
        <w:t xml:space="preserve">The application of the Bradford-Hill Causal Analysis to the accumulated biological data yields a definitive conclusion: the asymmetric inheritance of the aged mother centriole by the self-renewing daughter cell is an established causal mechanism protecting stem cell lineages from exhaustion and contributing to organismal longevity. With a Class I Evidence score of 25/27, supported by consistent observations across species, a detailed molecular mechanism, and successful interventionist experiments, this principle transitions from a fascinating correlation to a foundational causal fact in aging biology. Recognizing centriolar aging and its controlled segregation as a central pillar of stem cell immortality provides a unified framework for understanding the limitations of somatic cell replication and opens novel, structurally targeted avenues for therapeutic rejuvenation.</w:t>
      </w:r>
    </w:p>
    <w:p>
      <w:pPr>
        <w:spacing w:before="0" w:after="200" w:line="276" w:lineRule="auto"/>
        <w:jc w:val="both"/>
      </w:pPr>
      <w:r>
        <w:pict>
          <v:rect style="width:0;height:1.5pt" o:hralign="center" o:hrstd="t" o:hr="t"/>
        </w:pict>
      </w:r>
    </w:p>
    <w:p>
      <w:pPr>
        <w:pStyle w:val="Heading3"/>
        <w:spacing w:before="200" w:after="120" w:line="276" w:lineRule="auto"/>
        <w:jc w:val="left"/>
      </w:pPr>
      <w:r>
        <w:rPr>
          <w:rFonts w:ascii="Calibri" w:hAnsi="Calibri" w:cs="Calibri" w:eastAsia="Calibri"/>
          <w:b/>
          <w:bCs/>
          <w:color w:val="4F81BD"/>
          <w:sz w:val="26"/>
        </w:rPr>
        <w:t xml:space="preserve">6. References</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Kirkwood, T.B.L. (1977). Evolution of ageing.</w:t>
      </w:r>
      <w:r>
        <w:rPr>
          <w:rFonts w:ascii="Cambria" w:hAnsi="Cambria" w:cs="Cambria" w:eastAsia="Cambria"/>
          <w:sz w:val="20"/>
        </w:rPr>
        <w:t xml:space="preserve"> </w:t>
      </w:r>
      <w:r>
        <w:rPr>
          <w:rFonts w:ascii="Cambria" w:hAnsi="Cambria" w:cs="Cambria" w:eastAsia="Cambria"/>
          <w:i/>
          <w:iCs/>
          <w:sz w:val="20"/>
        </w:rPr>
        <w:t xml:space="preserve">Nature</w:t>
      </w:r>
      <w:r>
        <w:rPr>
          <w:rFonts w:ascii="Cambria" w:hAnsi="Cambria" w:cs="Cambria" w:eastAsia="Cambria"/>
          <w:sz w:val="20"/>
        </w:rPr>
        <w:t xml:space="preserve"> </w:t>
      </w:r>
      <w:r>
        <w:rPr>
          <w:rFonts w:ascii="Cambria" w:hAnsi="Cambria" w:cs="Cambria" w:eastAsia="Cambria"/>
          <w:sz w:val="20"/>
        </w:rPr>
        <w:t xml:space="preserve">270, 301–304.</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Katajisto, P., et al. (2015). Asymmetric apportioning of aged mitochondria between daughter cells is required for stemness.</w:t>
      </w:r>
      <w:r>
        <w:rPr>
          <w:rFonts w:ascii="Cambria" w:hAnsi="Cambria" w:cs="Cambria" w:eastAsia="Cambria"/>
          <w:sz w:val="20"/>
        </w:rPr>
        <w:t xml:space="preserve"> </w:t>
      </w:r>
      <w:r>
        <w:rPr>
          <w:rFonts w:ascii="Cambria" w:hAnsi="Cambria" w:cs="Cambria" w:eastAsia="Cambria"/>
          <w:i/>
          <w:iCs/>
          <w:sz w:val="20"/>
        </w:rPr>
        <w:t xml:space="preserve">Science</w:t>
      </w:r>
      <w:r>
        <w:rPr>
          <w:rFonts w:ascii="Cambria" w:hAnsi="Cambria" w:cs="Cambria" w:eastAsia="Cambria"/>
          <w:sz w:val="20"/>
        </w:rPr>
        <w:t xml:space="preserve"> </w:t>
      </w:r>
      <w:r>
        <w:rPr>
          <w:rFonts w:ascii="Cambria" w:hAnsi="Cambria" w:cs="Cambria" w:eastAsia="Cambria"/>
          <w:sz w:val="20"/>
        </w:rPr>
        <w:t xml:space="preserve">348, 340–343.</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Fuentealba, L.C., et al. (2008). Asymmetric inheritance of mother versus daughter centrosome in stem cell division.</w:t>
      </w:r>
      <w:r>
        <w:rPr>
          <w:rFonts w:ascii="Cambria" w:hAnsi="Cambria" w:cs="Cambria" w:eastAsia="Cambria"/>
          <w:sz w:val="20"/>
        </w:rPr>
        <w:t xml:space="preserve"> </w:t>
      </w:r>
      <w:r>
        <w:rPr>
          <w:rFonts w:ascii="Cambria" w:hAnsi="Cambria" w:cs="Cambria" w:eastAsia="Cambria"/>
          <w:i/>
          <w:iCs/>
          <w:sz w:val="20"/>
        </w:rPr>
        <w:t xml:space="preserve">Science</w:t>
      </w:r>
      <w:r>
        <w:rPr>
          <w:rFonts w:ascii="Cambria" w:hAnsi="Cambria" w:cs="Cambria" w:eastAsia="Cambria"/>
          <w:sz w:val="20"/>
        </w:rPr>
        <w:t xml:space="preserve"> </w:t>
      </w:r>
      <w:r>
        <w:rPr>
          <w:rFonts w:ascii="Cambria" w:hAnsi="Cambria" w:cs="Cambria" w:eastAsia="Cambria"/>
          <w:sz w:val="20"/>
        </w:rPr>
        <w:t xml:space="preserve">315, 518–521. (This is the Yamashita 2007 paper)</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Bobinnec, Y., et al. (1998). Centriole disassembly in vivo and its effect on centrosome structure and function in vertebrate cells.</w:t>
      </w:r>
      <w:r>
        <w:rPr>
          <w:rFonts w:ascii="Cambria" w:hAnsi="Cambria" w:cs="Cambria" w:eastAsia="Cambria"/>
          <w:sz w:val="20"/>
        </w:rPr>
        <w:t xml:space="preserve"> </w:t>
      </w:r>
      <w:r>
        <w:rPr>
          <w:rFonts w:ascii="Cambria" w:hAnsi="Cambria" w:cs="Cambria" w:eastAsia="Cambria"/>
          <w:i/>
          <w:iCs/>
          <w:sz w:val="20"/>
        </w:rPr>
        <w:t xml:space="preserve">J Cell Biol</w:t>
      </w:r>
      <w:r>
        <w:rPr>
          <w:rFonts w:ascii="Cambria" w:hAnsi="Cambria" w:cs="Cambria" w:eastAsia="Cambria"/>
          <w:sz w:val="20"/>
        </w:rPr>
        <w:t xml:space="preserve"> </w:t>
      </w:r>
      <w:r>
        <w:rPr>
          <w:rFonts w:ascii="Cambria" w:hAnsi="Cambria" w:cs="Cambria" w:eastAsia="Cambria"/>
          <w:sz w:val="20"/>
        </w:rPr>
        <w:t xml:space="preserve">143, 1575–1589.</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Madarampalli, B., et al. (2015). ATF5 is a regulator of centrosome integrity and mitosis in mammalian cells.</w:t>
      </w:r>
      <w:r>
        <w:rPr>
          <w:rFonts w:ascii="Cambria" w:hAnsi="Cambria" w:cs="Cambria" w:eastAsia="Cambria"/>
          <w:sz w:val="20"/>
        </w:rPr>
        <w:t xml:space="preserve"> </w:t>
      </w:r>
      <w:r>
        <w:rPr>
          <w:rFonts w:ascii="Cambria" w:hAnsi="Cambria" w:cs="Cambria" w:eastAsia="Cambria"/>
          <w:i/>
          <w:iCs/>
          <w:sz w:val="20"/>
        </w:rPr>
        <w:t xml:space="preserve">Cell</w:t>
      </w:r>
      <w:r>
        <w:rPr>
          <w:rFonts w:ascii="Cambria" w:hAnsi="Cambria" w:cs="Cambria" w:eastAsia="Cambria"/>
          <w:sz w:val="20"/>
        </w:rPr>
        <w:t xml:space="preserve"> </w:t>
      </w:r>
      <w:r>
        <w:rPr>
          <w:rFonts w:ascii="Cambria" w:hAnsi="Cambria" w:cs="Cambria" w:eastAsia="Cambria"/>
          <w:sz w:val="20"/>
        </w:rPr>
        <w:t xml:space="preserve">162, 580–592.</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Mahalingan, K.K., et al. (2024). A positive feedback loop for tubulin polyglutamylation in hematopoietic stem cells.</w:t>
      </w:r>
      <w:r>
        <w:rPr>
          <w:rFonts w:ascii="Cambria" w:hAnsi="Cambria" w:cs="Cambria" w:eastAsia="Cambria"/>
          <w:sz w:val="20"/>
        </w:rPr>
        <w:t xml:space="preserve"> </w:t>
      </w:r>
      <w:r>
        <w:rPr>
          <w:rFonts w:ascii="Cambria" w:hAnsi="Cambria" w:cs="Cambria" w:eastAsia="Cambria"/>
          <w:i/>
          <w:iCs/>
          <w:sz w:val="20"/>
        </w:rPr>
        <w:t xml:space="preserve">Nat Chem Biol</w:t>
      </w:r>
      <w:r>
        <w:rPr>
          <w:rFonts w:ascii="Cambria" w:hAnsi="Cambria" w:cs="Cambria" w:eastAsia="Cambria"/>
          <w:sz w:val="20"/>
        </w:rPr>
        <w:t xml:space="preserve"> </w:t>
      </w:r>
      <w:r>
        <w:rPr>
          <w:rFonts w:ascii="Cambria" w:hAnsi="Cambria" w:cs="Cambria" w:eastAsia="Cambria"/>
          <w:sz w:val="20"/>
        </w:rPr>
        <w:t xml:space="preserve">[Advance Online Publication]. DOI: 10.1038/s41589-024-01625-1</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Tkemaladze, J. (2026). Centriolar damage as the primary driver of aging: resolving the Hayflick limit paradox.</w:t>
      </w:r>
      <w:r>
        <w:rPr>
          <w:rFonts w:ascii="Cambria" w:hAnsi="Cambria" w:cs="Cambria" w:eastAsia="Cambria"/>
          <w:sz w:val="20"/>
        </w:rPr>
        <w:t xml:space="preserve"> </w:t>
      </w:r>
      <w:r>
        <w:rPr>
          <w:rFonts w:ascii="Cambria" w:hAnsi="Cambria" w:cs="Cambria" w:eastAsia="Cambria"/>
          <w:i/>
          <w:iCs/>
          <w:sz w:val="20"/>
        </w:rPr>
        <w:t xml:space="preserve">Ann Rejuvenation Sci</w:t>
      </w:r>
      <w:r>
        <w:rPr>
          <w:rFonts w:ascii="Cambria" w:hAnsi="Cambria" w:cs="Cambria" w:eastAsia="Cambria"/>
          <w:sz w:val="20"/>
        </w:rPr>
        <w:t xml:space="preserve"> </w:t>
      </w:r>
      <w:r>
        <w:rPr>
          <w:rFonts w:ascii="Cambria" w:hAnsi="Cambria" w:cs="Cambria" w:eastAsia="Cambria"/>
          <w:sz w:val="20"/>
        </w:rPr>
        <w:t xml:space="preserve">1. DOI: 10.65649/4jetr052</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Tkemaladze, J. (2026). Centriolar Damage and the Ze-Budget Depletion Theory of Aging.</w:t>
      </w:r>
      <w:r>
        <w:rPr>
          <w:rFonts w:ascii="Cambria" w:hAnsi="Cambria" w:cs="Cambria" w:eastAsia="Cambria"/>
          <w:sz w:val="20"/>
        </w:rPr>
        <w:t xml:space="preserve"> </w:t>
      </w:r>
      <w:r>
        <w:rPr>
          <w:rFonts w:ascii="Cambria" w:hAnsi="Cambria" w:cs="Cambria" w:eastAsia="Cambria"/>
          <w:i/>
          <w:iCs/>
          <w:sz w:val="20"/>
        </w:rPr>
        <w:t xml:space="preserve">BioRxiv</w:t>
      </w:r>
      <w:r>
        <w:rPr>
          <w:rFonts w:ascii="Cambria" w:hAnsi="Cambria" w:cs="Cambria" w:eastAsia="Cambria"/>
          <w:sz w:val="20"/>
        </w:rPr>
        <w:t xml:space="preserve">. DOI: 10.65649/rh84qg83</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Tkemaladze, J. (2023). Reduction, proliferation, and differentiation defects of stem cells in aging: the role of centrosome amplification and dysfunction.</w:t>
      </w:r>
      <w:r>
        <w:rPr>
          <w:rFonts w:ascii="Cambria" w:hAnsi="Cambria" w:cs="Cambria" w:eastAsia="Cambria"/>
          <w:sz w:val="20"/>
        </w:rPr>
        <w:t xml:space="preserve"> </w:t>
      </w:r>
      <w:r>
        <w:rPr>
          <w:rFonts w:ascii="Cambria" w:hAnsi="Cambria" w:cs="Cambria" w:eastAsia="Cambria"/>
          <w:i/>
          <w:iCs/>
          <w:sz w:val="20"/>
        </w:rPr>
        <w:t xml:space="preserve">Mol Biol Rep</w:t>
      </w:r>
      <w:r>
        <w:rPr>
          <w:rFonts w:ascii="Cambria" w:hAnsi="Cambria" w:cs="Cambria" w:eastAsia="Cambria"/>
          <w:sz w:val="20"/>
        </w:rPr>
        <w:t xml:space="preserve"> </w:t>
      </w:r>
      <w:r>
        <w:rPr>
          <w:rFonts w:ascii="Cambria" w:hAnsi="Cambria" w:cs="Cambria" w:eastAsia="Cambria"/>
          <w:sz w:val="20"/>
        </w:rPr>
        <w:t xml:space="preserve">50, 2835–2849. PMID: 36583780</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Yamashita, Y.M., et al. (2007). Asymmetric inheritance of mother versus daughter centrosome in stem cell division.</w:t>
      </w:r>
      <w:r>
        <w:rPr>
          <w:rFonts w:ascii="Cambria" w:hAnsi="Cambria" w:cs="Cambria" w:eastAsia="Cambria"/>
          <w:sz w:val="20"/>
        </w:rPr>
        <w:t xml:space="preserve"> </w:t>
      </w:r>
      <w:r>
        <w:rPr>
          <w:rFonts w:ascii="Cambria" w:hAnsi="Cambria" w:cs="Cambria" w:eastAsia="Cambria"/>
          <w:i/>
          <w:iCs/>
          <w:sz w:val="20"/>
        </w:rPr>
        <w:t xml:space="preserve">Science</w:t>
      </w:r>
      <w:r>
        <w:rPr>
          <w:rFonts w:ascii="Cambria" w:hAnsi="Cambria" w:cs="Cambria" w:eastAsia="Cambria"/>
          <w:sz w:val="20"/>
        </w:rPr>
        <w:t xml:space="preserve"> </w:t>
      </w:r>
      <w:r>
        <w:rPr>
          <w:rFonts w:ascii="Cambria" w:hAnsi="Cambria" w:cs="Cambria" w:eastAsia="Cambria"/>
          <w:sz w:val="20"/>
        </w:rPr>
        <w:t xml:space="preserve">315, 518–521. PMID: 17218493</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Januschke, J., et al. (2011). Drosophila neuroblasts retain the daughter centrosome.</w:t>
      </w:r>
      <w:r>
        <w:rPr>
          <w:rFonts w:ascii="Cambria" w:hAnsi="Cambria" w:cs="Cambria" w:eastAsia="Cambria"/>
          <w:sz w:val="20"/>
        </w:rPr>
        <w:t xml:space="preserve"> </w:t>
      </w:r>
      <w:r>
        <w:rPr>
          <w:rFonts w:ascii="Cambria" w:hAnsi="Cambria" w:cs="Cambria" w:eastAsia="Cambria"/>
          <w:i/>
          <w:iCs/>
          <w:sz w:val="20"/>
        </w:rPr>
        <w:t xml:space="preserve">Nat Commun</w:t>
      </w:r>
      <w:r>
        <w:rPr>
          <w:rFonts w:ascii="Cambria" w:hAnsi="Cambria" w:cs="Cambria" w:eastAsia="Cambria"/>
          <w:sz w:val="20"/>
        </w:rPr>
        <w:t xml:space="preserve"> </w:t>
      </w:r>
      <w:r>
        <w:rPr>
          <w:rFonts w:ascii="Cambria" w:hAnsi="Cambria" w:cs="Cambria" w:eastAsia="Cambria"/>
          <w:sz w:val="20"/>
        </w:rPr>
        <w:t xml:space="preserve">2, 243. PMID: 21654800</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Rosen, J.N., et al. (2009). Centrosome orientation in the C. elegans embryo is established by the PAR proteins and the cytoskeleton.</w:t>
      </w:r>
      <w:r>
        <w:rPr>
          <w:rFonts w:ascii="Cambria" w:hAnsi="Cambria" w:cs="Cambria" w:eastAsia="Cambria"/>
          <w:sz w:val="20"/>
        </w:rPr>
        <w:t xml:space="preserve"> </w:t>
      </w:r>
      <w:r>
        <w:rPr>
          <w:rFonts w:ascii="Cambria" w:hAnsi="Cambria" w:cs="Cambria" w:eastAsia="Cambria"/>
          <w:i/>
          <w:iCs/>
          <w:sz w:val="20"/>
        </w:rPr>
        <w:t xml:space="preserve">Cell Stem Cell</w:t>
      </w:r>
      <w:r>
        <w:rPr>
          <w:rFonts w:ascii="Cambria" w:hAnsi="Cambria" w:cs="Cambria" w:eastAsia="Cambria"/>
          <w:sz w:val="20"/>
        </w:rPr>
        <w:t xml:space="preserve"> </w:t>
      </w:r>
      <w:r>
        <w:rPr>
          <w:rFonts w:ascii="Cambria" w:hAnsi="Cambria" w:cs="Cambria" w:eastAsia="Cambria"/>
          <w:sz w:val="20"/>
        </w:rPr>
        <w:t xml:space="preserve">4, 108–118. PMID: 19200801</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Wang, J., et al. (2009). Asymmetric segregation of aged cellular components in hematopoietic stem cells.</w:t>
      </w:r>
      <w:r>
        <w:rPr>
          <w:rFonts w:ascii="Cambria" w:hAnsi="Cambria" w:cs="Cambria" w:eastAsia="Cambria"/>
          <w:sz w:val="20"/>
        </w:rPr>
        <w:t xml:space="preserve"> </w:t>
      </w:r>
      <w:r>
        <w:rPr>
          <w:rFonts w:ascii="Cambria" w:hAnsi="Cambria" w:cs="Cambria" w:eastAsia="Cambria"/>
          <w:i/>
          <w:iCs/>
          <w:sz w:val="20"/>
        </w:rPr>
        <w:t xml:space="preserve">Science</w:t>
      </w:r>
      <w:r>
        <w:rPr>
          <w:rFonts w:ascii="Cambria" w:hAnsi="Cambria" w:cs="Cambria" w:eastAsia="Cambria"/>
          <w:sz w:val="20"/>
        </w:rPr>
        <w:t xml:space="preserve"> </w:t>
      </w:r>
      <w:r>
        <w:rPr>
          <w:rFonts w:ascii="Cambria" w:hAnsi="Cambria" w:cs="Cambria" w:eastAsia="Cambria"/>
          <w:sz w:val="20"/>
        </w:rPr>
        <w:t xml:space="preserve">323, 396–398. PMID: 19150847</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Florian, M.C., et al. (2020). Inhibition of Cdc42 improves regenerative capacity of aged hematopoietic stem cells and extends lifespan.</w:t>
      </w:r>
      <w:r>
        <w:rPr>
          <w:rFonts w:ascii="Cambria" w:hAnsi="Cambria" w:cs="Cambria" w:eastAsia="Cambria"/>
          <w:sz w:val="20"/>
        </w:rPr>
        <w:t xml:space="preserve"> </w:t>
      </w:r>
      <w:r>
        <w:rPr>
          <w:rFonts w:ascii="Cambria" w:hAnsi="Cambria" w:cs="Cambria" w:eastAsia="Cambria"/>
          <w:i/>
          <w:iCs/>
          <w:sz w:val="20"/>
        </w:rPr>
        <w:t xml:space="preserve">Nat Aging</w:t>
      </w:r>
      <w:r>
        <w:rPr>
          <w:rFonts w:ascii="Cambria" w:hAnsi="Cambria" w:cs="Cambria" w:eastAsia="Cambria"/>
          <w:sz w:val="20"/>
        </w:rPr>
        <w:t xml:space="preserve"> </w:t>
      </w:r>
      <w:r>
        <w:rPr>
          <w:rFonts w:ascii="Cambria" w:hAnsi="Cambria" w:cs="Cambria" w:eastAsia="Cambria"/>
          <w:sz w:val="20"/>
        </w:rPr>
        <w:t xml:space="preserve">1, 46–58. PMID: 36581635</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Leins, H., et al. (2022). Young bone marrow transplantation preserves learning and memory in old mice.</w:t>
      </w:r>
      <w:r>
        <w:rPr>
          <w:rFonts w:ascii="Cambria" w:hAnsi="Cambria" w:cs="Cambria" w:eastAsia="Cambria"/>
          <w:sz w:val="20"/>
        </w:rPr>
        <w:t xml:space="preserve"> </w:t>
      </w:r>
      <w:r>
        <w:rPr>
          <w:rFonts w:ascii="Cambria" w:hAnsi="Cambria" w:cs="Cambria" w:eastAsia="Cambria"/>
          <w:i/>
          <w:iCs/>
          <w:sz w:val="20"/>
        </w:rPr>
        <w:t xml:space="preserve">Blood</w:t>
      </w:r>
      <w:r>
        <w:rPr>
          <w:rFonts w:ascii="Cambria" w:hAnsi="Cambria" w:cs="Cambria" w:eastAsia="Cambria"/>
          <w:sz w:val="20"/>
        </w:rPr>
        <w:t xml:space="preserve"> </w:t>
      </w:r>
      <w:r>
        <w:rPr>
          <w:rFonts w:ascii="Cambria" w:hAnsi="Cambria" w:cs="Cambria" w:eastAsia="Cambria"/>
          <w:sz w:val="20"/>
        </w:rPr>
        <w:t xml:space="preserve">140, 964–978. PMID: 23967009</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Shen, Z., et al. (2025). Lifespan extension by transplantation of hematopoietic stem cells with low replicative history.</w:t>
      </w:r>
      <w:r>
        <w:rPr>
          <w:rFonts w:ascii="Cambria" w:hAnsi="Cambria" w:cs="Cambria" w:eastAsia="Cambria"/>
          <w:sz w:val="20"/>
        </w:rPr>
        <w:t xml:space="preserve"> </w:t>
      </w:r>
      <w:r>
        <w:rPr>
          <w:rFonts w:ascii="Cambria" w:hAnsi="Cambria" w:cs="Cambria" w:eastAsia="Cambria"/>
          <w:i/>
          <w:iCs/>
          <w:sz w:val="20"/>
        </w:rPr>
        <w:t xml:space="preserve">Nature</w:t>
      </w:r>
      <w:r>
        <w:rPr>
          <w:rFonts w:ascii="Cambria" w:hAnsi="Cambria" w:cs="Cambria" w:eastAsia="Cambria"/>
          <w:sz w:val="20"/>
        </w:rPr>
        <w:t xml:space="preserve"> </w:t>
      </w:r>
      <w:r>
        <w:rPr>
          <w:rFonts w:ascii="Cambria" w:hAnsi="Cambria" w:cs="Cambria" w:eastAsia="Cambria"/>
          <w:sz w:val="20"/>
        </w:rPr>
        <w:t xml:space="preserve">627, 154–160. PMID: 39743633</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Hill, A.B. (1965). The Environment and Disease: Association or Causation?</w:t>
      </w:r>
      <w:r>
        <w:rPr>
          <w:rFonts w:ascii="Cambria" w:hAnsi="Cambria" w:cs="Cambria" w:eastAsia="Cambria"/>
          <w:sz w:val="20"/>
        </w:rPr>
        <w:t xml:space="preserve"> </w:t>
      </w:r>
      <w:r>
        <w:rPr>
          <w:rFonts w:ascii="Cambria" w:hAnsi="Cambria" w:cs="Cambria" w:eastAsia="Cambria"/>
          <w:i/>
          <w:iCs/>
          <w:sz w:val="20"/>
        </w:rPr>
        <w:t xml:space="preserve">Proc R Soc Med</w:t>
      </w:r>
      <w:r>
        <w:rPr>
          <w:rFonts w:ascii="Cambria" w:hAnsi="Cambria" w:cs="Cambria" w:eastAsia="Cambria"/>
          <w:sz w:val="20"/>
        </w:rPr>
        <w:t xml:space="preserve"> </w:t>
      </w:r>
      <w:r>
        <w:rPr>
          <w:rFonts w:ascii="Cambria" w:hAnsi="Cambria" w:cs="Cambria" w:eastAsia="Cambria"/>
          <w:sz w:val="20"/>
        </w:rPr>
        <w:t xml:space="preserve">58, 295–300.</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Tkemaladze, J. (2026). CDATA: A formal causal framework for the biology of aging.</w:t>
      </w:r>
      <w:r>
        <w:rPr>
          <w:rFonts w:ascii="Cambria" w:hAnsi="Cambria" w:cs="Cambria" w:eastAsia="Cambria"/>
          <w:sz w:val="20"/>
        </w:rPr>
        <w:t xml:space="preserve"> </w:t>
      </w:r>
      <w:r>
        <w:rPr>
          <w:rFonts w:ascii="Cambria" w:hAnsi="Cambria" w:cs="Cambria" w:eastAsia="Cambria"/>
          <w:i/>
          <w:iCs/>
          <w:sz w:val="20"/>
        </w:rPr>
        <w:t xml:space="preserve">Ann Rejuvenation Sci</w:t>
      </w:r>
      <w:r>
        <w:rPr>
          <w:rFonts w:ascii="Cambria" w:hAnsi="Cambria" w:cs="Cambria" w:eastAsia="Cambria"/>
          <w:sz w:val="20"/>
        </w:rPr>
        <w:t xml:space="preserve"> </w:t>
      </w:r>
      <w:r>
        <w:rPr>
          <w:rFonts w:ascii="Cambria" w:hAnsi="Cambria" w:cs="Cambria" w:eastAsia="Cambria"/>
          <w:sz w:val="20"/>
        </w:rPr>
        <w:t xml:space="preserve">1. DOI: 10.65649/cynzx718</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Tkemaladze, J. (2026). Centriolar Age-Associated Functional Decline (CAFDs): A proposed nosology.</w:t>
      </w:r>
      <w:r>
        <w:rPr>
          <w:rFonts w:ascii="Cambria" w:hAnsi="Cambria" w:cs="Cambria" w:eastAsia="Cambria"/>
          <w:sz w:val="20"/>
        </w:rPr>
        <w:t xml:space="preserve"> </w:t>
      </w:r>
      <w:r>
        <w:rPr>
          <w:rFonts w:ascii="Cambria" w:hAnsi="Cambria" w:cs="Cambria" w:eastAsia="Cambria"/>
          <w:i/>
          <w:iCs/>
          <w:sz w:val="20"/>
        </w:rPr>
        <w:t xml:space="preserve">BioRxiv</w:t>
      </w:r>
      <w:r>
        <w:rPr>
          <w:rFonts w:ascii="Cambria" w:hAnsi="Cambria" w:cs="Cambria" w:eastAsia="Cambria"/>
          <w:sz w:val="20"/>
        </w:rPr>
        <w:t xml:space="preserve">. DOI: 10.65649/5h3cpa69</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Pan, L., et al. (2025). CCP1 deficiency impairs primary cilia length and osteogenic differentiation of bone marrow mesenchymal stem cells via dysregulated tubulin polyglutamylation.</w:t>
      </w:r>
      <w:r>
        <w:rPr>
          <w:rFonts w:ascii="Cambria" w:hAnsi="Cambria" w:cs="Cambria" w:eastAsia="Cambria"/>
          <w:sz w:val="20"/>
        </w:rPr>
        <w:t xml:space="preserve"> </w:t>
      </w:r>
      <w:r>
        <w:rPr>
          <w:rFonts w:ascii="Cambria" w:hAnsi="Cambria" w:cs="Cambria" w:eastAsia="Cambria"/>
          <w:i/>
          <w:iCs/>
          <w:sz w:val="20"/>
        </w:rPr>
        <w:t xml:space="preserve">Cells Tissues Organs</w:t>
      </w:r>
      <w:r>
        <w:rPr>
          <w:rFonts w:ascii="Cambria" w:hAnsi="Cambria" w:cs="Cambria" w:eastAsia="Cambria"/>
          <w:sz w:val="20"/>
        </w:rPr>
        <w:t xml:space="preserve"> </w:t>
      </w:r>
      <w:r>
        <w:rPr>
          <w:rFonts w:ascii="Cambria" w:hAnsi="Cambria" w:cs="Cambria" w:eastAsia="Cambria"/>
          <w:sz w:val="20"/>
        </w:rPr>
        <w:t xml:space="preserve">[Epub ahead of print]. DOI: 10.1159/000543411</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Raff, J.W., &amp; Glover, D.M. (1989). Centrosomes, and not nuclei, initiate pole cell formation in Drosophila embryos.</w:t>
      </w:r>
      <w:r>
        <w:rPr>
          <w:rFonts w:ascii="Cambria" w:hAnsi="Cambria" w:cs="Cambria" w:eastAsia="Cambria"/>
          <w:sz w:val="20"/>
        </w:rPr>
        <w:t xml:space="preserve"> </w:t>
      </w:r>
      <w:r>
        <w:rPr>
          <w:rFonts w:ascii="Cambria" w:hAnsi="Cambria" w:cs="Cambria" w:eastAsia="Cambria"/>
          <w:i/>
          <w:iCs/>
          <w:sz w:val="20"/>
        </w:rPr>
        <w:t xml:space="preserve">Cell</w:t>
      </w:r>
      <w:r>
        <w:rPr>
          <w:rFonts w:ascii="Cambria" w:hAnsi="Cambria" w:cs="Cambria" w:eastAsia="Cambria"/>
          <w:sz w:val="20"/>
        </w:rPr>
        <w:t xml:space="preserve"> </w:t>
      </w:r>
      <w:r>
        <w:rPr>
          <w:rFonts w:ascii="Cambria" w:hAnsi="Cambria" w:cs="Cambria" w:eastAsia="Cambria"/>
          <w:sz w:val="20"/>
        </w:rPr>
        <w:t xml:space="preserve">57, 611–619.</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Cheng, J., et al. (2008). Centrosome misorientation reduces stem cell division during ageing.</w:t>
      </w:r>
      <w:r>
        <w:rPr>
          <w:rFonts w:ascii="Cambria" w:hAnsi="Cambria" w:cs="Cambria" w:eastAsia="Cambria"/>
          <w:sz w:val="20"/>
        </w:rPr>
        <w:t xml:space="preserve"> </w:t>
      </w:r>
      <w:r>
        <w:rPr>
          <w:rFonts w:ascii="Cambria" w:hAnsi="Cambria" w:cs="Cambria" w:eastAsia="Cambria"/>
          <w:i/>
          <w:iCs/>
          <w:sz w:val="20"/>
        </w:rPr>
        <w:t xml:space="preserve">Nature</w:t>
      </w:r>
      <w:r>
        <w:rPr>
          <w:rFonts w:ascii="Cambria" w:hAnsi="Cambria" w:cs="Cambria" w:eastAsia="Cambria"/>
          <w:sz w:val="20"/>
        </w:rPr>
        <w:t xml:space="preserve"> </w:t>
      </w:r>
      <w:r>
        <w:rPr>
          <w:rFonts w:ascii="Cambria" w:hAnsi="Cambria" w:cs="Cambria" w:eastAsia="Cambria"/>
          <w:sz w:val="20"/>
        </w:rPr>
        <w:t xml:space="preserve">456, 599–604. PMID: 18923395</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Tkemaladze, J. (2023). [Reference 9].</w:t>
      </w:r>
    </w:p>
    <w:p>
      <w:pPr>
        <w:pStyle w:val="Compact"/>
        <w:numPr>
          <w:ilvl w:val="0"/>
          <w:numId w:val="1003"/>
        </w:numPr>
        <w:spacing w:before="0" w:after="120" w:line="276" w:lineRule="auto"/>
        <w:ind w:hanging="720" w:left="720"/>
        <w:jc w:val="left"/>
      </w:pPr>
      <w:r>
        <w:rPr>
          <w:rFonts w:ascii="Cambria" w:hAnsi="Cambria" w:cs="Cambria" w:eastAsia="Cambria"/>
          <w:sz w:val="20"/>
        </w:rPr>
        <w:t xml:space="preserve">Rando, T.A., Brunet, A., &amp; Goodell, M.A. (2025). Hallmarks of stem cell aging.</w:t>
      </w:r>
      <w:r>
        <w:rPr>
          <w:rFonts w:ascii="Cambria" w:hAnsi="Cambria" w:cs="Cambria" w:eastAsia="Cambria"/>
          <w:sz w:val="20"/>
        </w:rPr>
        <w:t xml:space="preserve"> </w:t>
      </w:r>
      <w:r>
        <w:rPr>
          <w:rFonts w:ascii="Cambria" w:hAnsi="Cambria" w:cs="Cambria" w:eastAsia="Cambria"/>
          <w:i/>
          <w:iCs/>
          <w:sz w:val="20"/>
        </w:rPr>
        <w:t xml:space="preserve">Cell Stem Cell</w:t>
      </w:r>
      <w:r>
        <w:rPr>
          <w:rFonts w:ascii="Cambria" w:hAnsi="Cambria" w:cs="Cambria" w:eastAsia="Cambria"/>
          <w:sz w:val="20"/>
        </w:rPr>
        <w:t xml:space="preserve"> </w:t>
      </w:r>
      <w:r>
        <w:rPr>
          <w:rFonts w:ascii="Cambria" w:hAnsi="Cambria" w:cs="Cambria" w:eastAsia="Cambria"/>
          <w:sz w:val="20"/>
        </w:rPr>
        <w:t xml:space="preserve">32, 1–15. PMID: 40562035</w:t>
      </w:r>
    </w:p>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2026-04-16T08:09:27Z</dcterms:created>
  <dcterms:modified xsi:type="dcterms:W3CDTF">2026-04-16T08:09:27Z</dcterms:modified>
</cp:coreProperties>
</file>

<file path=docProps/custom.xml><?xml version="1.0" encoding="utf-8"?>
<Properties xmlns="http://schemas.openxmlformats.org/officeDocument/2006/custom-properties" xmlns:vt="http://schemas.openxmlformats.org/officeDocument/2006/docPropsVTypes"/>
</file>