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CLAUDE.md — HAP (HepatoEmotions)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Контекст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HAP (HepatoAffective Primacy)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теория гепатогенного происхождения эмоций.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Статус: CONCEPT v4.0 APPROVED · Принята к публикации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Biological Reviews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(IF ~10).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Расположение: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Style w:val="VerbatimChar"/>
          <w:rFonts w:ascii="Cambria" w:hAnsi="Cambria" w:cs="Cambria" w:eastAsia="Cambria"/>
          <w:sz w:val="22"/>
        </w:rPr>
        <w:t xml:space="preserve">~/Desktop/HAP/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Авторитетный документ</w:t>
      </w:r>
    </w:p>
    <w:p>
      <w:pPr>
        <w:pStyle w:val="FirstParagraph"/>
        <w:spacing w:before="0" w:after="200" w:line="276" w:lineRule="auto"/>
        <w:jc w:val="both"/>
      </w:pPr>
      <w:r>
        <w:rPr>
          <w:rStyle w:val="VerbatimChar"/>
          <w:rFonts w:ascii="Cambria" w:hAnsi="Cambria" w:cs="Cambria" w:eastAsia="Cambria"/>
          <w:sz w:val="22"/>
        </w:rPr>
        <w:t xml:space="preserve">CONCEPT.md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единственный источник истины. Версия v4.0 (Strong).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Центральная гипотеза: аффективные состояния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онтогенетически зависят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от органа с функциями (A) секреции стероидных регуляторов, преодолевающих BBB, и (B) барьерно-детоксикационной функцией.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Правила разработки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Код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Python (биостатистика, анализ данных) или R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Тексты, статьи, рецензии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→ DeepSeek API (</w:t>
      </w:r>
      <w:r>
        <w:rPr>
          <w:rStyle w:val="VerbatimChar"/>
          <w:rFonts w:ascii="Cambria" w:hAnsi="Cambria" w:cs="Cambria" w:eastAsia="Cambria"/>
          <w:sz w:val="22"/>
        </w:rPr>
        <w:t xml:space="preserve">~/Desktop/AIM/llm.py</w:t>
      </w:r>
      <w:r>
        <w:rPr>
          <w:rFonts w:ascii="Cambria" w:hAnsi="Cambria" w:cs="Cambria" w:eastAsia="Cambria"/>
          <w:sz w:val="22"/>
        </w:rPr>
        <w:t xml:space="preserve">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BHCA-оценка</w:t>
      </w:r>
      <w:r>
        <w:rPr>
          <w:rFonts w:ascii="Cambria" w:hAnsi="Cambria" w:cs="Cambria" w:eastAsia="Cambria"/>
          <w:sz w:val="22"/>
        </w:rPr>
        <w:t xml:space="preserve">: 9 критериев Bradford-Hill 0–3, итого /27. HAP ≈ 20/27 (Класс II)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Никогда не менять центральную гипотезу без явного указания пользователя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Уточнение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“онтогенетической необходимости”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ключевое; не убирать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Связь с экосистемой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CommonHealth CLAUDE.md: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Style w:val="VerbatimChar"/>
          <w:rFonts w:ascii="Cambria" w:hAnsi="Cambria" w:cs="Cambria" w:eastAsia="Cambria"/>
          <w:sz w:val="22"/>
        </w:rPr>
        <w:t xml:space="preserve">~/Desktop/CommonHealth/CLAUDE.md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DeepSeek API: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Style w:val="VerbatimChar"/>
          <w:rFonts w:ascii="Cambria" w:hAnsi="Cambria" w:cs="Cambria" w:eastAsia="Cambria"/>
          <w:sz w:val="22"/>
        </w:rPr>
        <w:t xml:space="preserve">~/.aim_env → DEEPSEEK_API_KEY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Самоцитирование: DOI 10.65649/d76f6c48 (HAP Theory, Longevity Horizon 2026)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2026-04-17T20:50:12Z</dcterms:created>
  <dcterms:modified xsi:type="dcterms:W3CDTF">2026-04-17T20:50:12Z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