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240" w:after="120" w:line="276" w:lineRule="auto"/>
        <w:jc w:val="left"/>
      </w:pPr>
      <w:r>
        <w:rPr>
          <w:rFonts w:ascii="Calibri" w:hAnsi="Calibri" w:cs="Calibri" w:eastAsia="Calibri"/>
          <w:b/>
          <w:color w:val="17365D"/>
          <w:sz w:val="52"/>
        </w:rPr>
        <w:t xml:space="preserve">HAP — KNOWLEDGE BASE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Версия: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1.0 |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Дата: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2026-04-14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Ядро теории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HAP Strong: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Аффективные состояния не могут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b/>
          <w:bCs/>
          <w:sz w:val="22"/>
        </w:rPr>
        <w:t xml:space="preserve">развиться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у любого билатерального животного без органа, выполняющего: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</w:p>
    <w:p>
      <w:pPr>
        <w:pStyle w:val="Compact"/>
        <w:numPr>
          <w:ilvl w:val="1"/>
          <w:numId w:val="100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Секрецию стероидных регуляторов, способных преодолевать ГЭБ</w:t>
      </w:r>
    </w:p>
    <w:p>
      <w:pPr>
        <w:pStyle w:val="Compact"/>
        <w:numPr>
          <w:ilvl w:val="0"/>
          <w:numId w:val="1001"/>
        </w:numPr>
        <w:spacing w:before="0" w:after="200" w:line="276" w:lineRule="auto"/>
        <w:jc w:val="both"/>
      </w:pPr>
    </w:p>
    <w:p>
      <w:pPr>
        <w:pStyle w:val="Compact"/>
        <w:numPr>
          <w:ilvl w:val="1"/>
          <w:numId w:val="100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Барьерно-детоксикационную функцию циркулирующей жидкости</w:t>
      </w:r>
    </w:p>
    <w:p>
      <w:pPr>
        <w:pStyle w:val="FirstParagraph"/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Ключевое различие HAP vs. аналоги: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Жёлчные кислоты (позвоночные): FXR / TGR5 → серотонин, дофамин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Экдистероиды (насекомые): EcR/USP → октопамин, дофамин</w:t>
      </w:r>
    </w:p>
    <w:p>
      <w:pPr>
        <w:pStyle w:val="Compact"/>
        <w:numPr>
          <w:ilvl w:val="0"/>
          <w:numId w:val="100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Половые стероиды (гонады) — НЕ удовлетворяют (не гепатический источник)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Ключевые ссылки (проверенные)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Жёлчные кислоты → мозг</w:t>
      </w:r>
    </w:p>
    <w:p>
      <w:pPr>
        <w:pStyle w:val="Compact"/>
        <w:numPr>
          <w:ilvl w:val="0"/>
          <w:numId w:val="100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Mertens et al., 2017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(Hepatology) — жёлчные кислоты в СМЖ у пациентов с печёночной энцефалопатией: до 10 мкМ (норма &lt;1 мкМ). Нейротоксический эффект.</w:t>
      </w:r>
    </w:p>
    <w:p>
      <w:pPr>
        <w:pStyle w:val="Compact"/>
        <w:numPr>
          <w:ilvl w:val="0"/>
          <w:numId w:val="100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Yanguas-Casas et al., 2017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(Sci Rep) — TGR5 экспрессирован в астроцитах и нейронах гиппокампа мыши. TGR5-агонист → противовоспалительный эффект в ЦНС.</w:t>
      </w:r>
    </w:p>
    <w:p>
      <w:pPr>
        <w:pStyle w:val="Compact"/>
        <w:numPr>
          <w:ilvl w:val="0"/>
          <w:numId w:val="1005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Huang et al., 2016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(Mol Neurobiol) — ось кишечник-мозг через жёлчные кислоты; FXR в нейронах модулирует нейрогенез и настроение.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Экдистероиды → поведение насекомых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Truman &amp; Riddiford, 2002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(Science) — экдистероиды управляют метаморфозом и поведенческими переходами у насекомых. Рецепторы EcR/USP широко экспрессированы в ЦНС.</w:t>
      </w:r>
    </w:p>
    <w:p>
      <w:pPr>
        <w:pStyle w:val="Compact"/>
        <w:numPr>
          <w:ilvl w:val="0"/>
          <w:numId w:val="1006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Ishimoto &amp; Kitamoto, 2010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(Curr Biol) — экдизон регулирует сон и активность дрозофилы через нейральные цепи.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NAFLD → депрессия</w:t>
      </w:r>
    </w:p>
    <w:p>
      <w:pPr>
        <w:pStyle w:val="Compact"/>
        <w:numPr>
          <w:ilvl w:val="0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Shang et al., 2022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(Hepatology) — мета-анализ: NAFLD → ↑ риск депрессии OR 1.45 (95% CI 1.23–1.71), 15 исследований, N&gt;1M.</w:t>
      </w:r>
    </w:p>
    <w:p>
      <w:pPr>
        <w:pStyle w:val="Compact"/>
        <w:numPr>
          <w:ilvl w:val="0"/>
          <w:numId w:val="1007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Weinstein et al., 2011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(Psychosom Med) — первичный билиарный цирроз + нейропсихиатрические симптомы: депрессия, усталость, когнитивный дефицит у &gt;50% пациентов.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Трансплантация печени → эмоции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Marchetti et al., 2004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(Ann Ital Chir) — клинические наблюдения: изменения личности и аффективного профиля после трансплантации печени. Механизм неясен.</w:t>
      </w:r>
    </w:p>
    <w:p>
      <w:pPr>
        <w:pStyle w:val="Compact"/>
        <w:numPr>
          <w:ilvl w:val="0"/>
          <w:numId w:val="1008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Bunzel et al., 1992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(Qual Life Res) — систематическое наблюдение: реципиенты сердца/печени сообщают об изменениях предпочтений и настроения.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ГЭБ-проницаемость жёлчных кислот</w:t>
      </w:r>
    </w:p>
    <w:p>
      <w:pPr>
        <w:pStyle w:val="Compact"/>
        <w:numPr>
          <w:ilvl w:val="0"/>
          <w:numId w:val="100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Хенодезоксихолевая кислота: logP ~3.1, умеренная проницаемость через ГЭБ при воспалении</w:t>
      </w:r>
    </w:p>
    <w:p>
      <w:pPr>
        <w:pStyle w:val="Compact"/>
        <w:numPr>
          <w:ilvl w:val="0"/>
          <w:numId w:val="100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Дезоксихолевая кислота: logP ~3.2, обнаружена в мозге при холестазе</w:t>
      </w:r>
    </w:p>
    <w:p>
      <w:pPr>
        <w:pStyle w:val="Compact"/>
        <w:numPr>
          <w:ilvl w:val="0"/>
          <w:numId w:val="1009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Таурохолевая кислота: logP &lt;0, низкая проницаемость — только при повреждении ГЭБ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Онтогенез: печень раньше аффекта</w:t>
      </w:r>
    </w:p>
    <w:p>
      <w:pPr>
        <w:pStyle w:val="Compact"/>
        <w:numPr>
          <w:ilvl w:val="0"/>
          <w:numId w:val="1010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Эмбриональная печень закладывается у позвоночных на 3-5 неделе (человек) / 8-10 дне (мышь)</w:t>
      </w:r>
    </w:p>
    <w:p>
      <w:pPr>
        <w:pStyle w:val="Compact"/>
        <w:numPr>
          <w:ilvl w:val="0"/>
          <w:numId w:val="1010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Аффективные цепи (лимбическая система) формируются позже: 9-25 недель (человек)</w:t>
      </w:r>
    </w:p>
    <w:p>
      <w:pPr>
        <w:pStyle w:val="Compact"/>
        <w:numPr>
          <w:ilvl w:val="0"/>
          <w:numId w:val="1010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У бесчелюстных (миноги): печень есть, аффективное поведение есть, гонады примитивные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BHCA-оценка (текущая)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Критерий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Балл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Основание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Сила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2/3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100% корреляция, но нет дозозависимости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Согласованность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3/3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56 таксонов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Специфичность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1.5/3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Печень не единственный источник модуляторов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Временность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2/3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Онтогенетически подтверждено для позвоночных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Градиент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1.5/3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Нет дозозависимых данных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Правдоподобие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2.5/3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Механизмы FXR/TGR5/EcR + ГЭБ описаны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Когерентность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2.5/3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Согласуется с interoception / active inference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Эксперимент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1.5/3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Косвенные эксперименты, нет прямого теста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Аналогия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1.5/3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Слабее, чем у других систем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Итого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~18/27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b/>
                <w:bCs/>
                <w:sz w:val="20"/>
              </w:rPr>
              <w:t xml:space="preserve">Класс II (умеренная поддержка)</w:t>
            </w:r>
          </w:p>
        </w:tc>
      </w:tr>
    </w:tbl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Новые данные из DeepSeek-анализа (2026-04-14)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Наиболее сильные данные (обновление)</w:t>
      </w:r>
    </w:p>
    <w:p>
      <w:pPr>
        <w:pStyle w:val="Compact"/>
        <w:numPr>
          <w:ilvl w:val="0"/>
          <w:numId w:val="101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NAFLD → депрессия: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Youssef et al. 2013 (</w:t>
      </w:r>
      <w:r>
        <w:rPr>
          <w:rFonts w:ascii="Cambria" w:hAnsi="Cambria" w:cs="Cambria" w:eastAsia="Cambria"/>
          <w:i/>
          <w:iCs/>
          <w:sz w:val="22"/>
        </w:rPr>
        <w:t xml:space="preserve">Clin Gastroenterol Hepatol</w:t>
      </w:r>
      <w:r>
        <w:rPr>
          <w:rFonts w:ascii="Cambria" w:hAnsi="Cambria" w:cs="Cambria" w:eastAsia="Cambria"/>
          <w:sz w:val="22"/>
        </w:rPr>
        <w:t xml:space="preserve">) — OR=2.6; Kim D. et al. 2019 (</w:t>
      </w:r>
      <w:r>
        <w:rPr>
          <w:rFonts w:ascii="Cambria" w:hAnsi="Cambria" w:cs="Cambria" w:eastAsia="Cambria"/>
          <w:i/>
          <w:iCs/>
          <w:sz w:val="22"/>
        </w:rPr>
        <w:t xml:space="preserve">J Hepatol</w:t>
      </w:r>
      <w:r>
        <w:rPr>
          <w:rFonts w:ascii="Cambria" w:hAnsi="Cambria" w:cs="Cambria" w:eastAsia="Cambria"/>
          <w:sz w:val="22"/>
        </w:rPr>
        <w:t xml:space="preserve">, N=3.6M) — 2-3x риск</w:t>
      </w:r>
    </w:p>
    <w:p>
      <w:pPr>
        <w:pStyle w:val="Compact"/>
        <w:numPr>
          <w:ilvl w:val="0"/>
          <w:numId w:val="101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TGR5 в мозге: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Keitel et al. 2010 (</w:t>
      </w:r>
      <w:r>
        <w:rPr>
          <w:rFonts w:ascii="Cambria" w:hAnsi="Cambria" w:cs="Cambria" w:eastAsia="Cambria"/>
          <w:i/>
          <w:iCs/>
          <w:sz w:val="22"/>
        </w:rPr>
        <w:t xml:space="preserve">FASEB J</w:t>
      </w:r>
      <w:r>
        <w:rPr>
          <w:rFonts w:ascii="Cambria" w:hAnsi="Cambria" w:cs="Cambria" w:eastAsia="Cambria"/>
          <w:sz w:val="22"/>
        </w:rPr>
        <w:t xml:space="preserve">); Carino et al. 2017 (</w:t>
      </w:r>
      <w:r>
        <w:rPr>
          <w:rFonts w:ascii="Cambria" w:hAnsi="Cambria" w:cs="Cambria" w:eastAsia="Cambria"/>
          <w:i/>
          <w:iCs/>
          <w:sz w:val="22"/>
        </w:rPr>
        <w:t xml:space="preserve">Sci Rep</w:t>
      </w:r>
      <w:r>
        <w:rPr>
          <w:rFonts w:ascii="Cambria" w:hAnsi="Cambria" w:cs="Cambria" w:eastAsia="Cambria"/>
          <w:sz w:val="22"/>
        </w:rPr>
        <w:t xml:space="preserve">) — TGR5-агонист INT-777 → антидепрессантный эффект у мыши</w:t>
      </w:r>
    </w:p>
    <w:p>
      <w:pPr>
        <w:pStyle w:val="Compact"/>
        <w:numPr>
          <w:ilvl w:val="0"/>
          <w:numId w:val="101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FXR в нейронах: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Huang et al. 2016 (</w:t>
      </w:r>
      <w:r>
        <w:rPr>
          <w:rFonts w:ascii="Cambria" w:hAnsi="Cambria" w:cs="Cambria" w:eastAsia="Cambria"/>
          <w:i/>
          <w:iCs/>
          <w:sz w:val="22"/>
        </w:rPr>
        <w:t xml:space="preserve">PNAS</w:t>
      </w:r>
      <w:r>
        <w:rPr>
          <w:rFonts w:ascii="Cambria" w:hAnsi="Cambria" w:cs="Cambria" w:eastAsia="Cambria"/>
          <w:sz w:val="22"/>
        </w:rPr>
        <w:t xml:space="preserve">) — FXR в мозге мыши → модуляция пищевого поведения и тревоги</w:t>
      </w:r>
    </w:p>
    <w:p>
      <w:pPr>
        <w:pStyle w:val="Compact"/>
        <w:numPr>
          <w:ilvl w:val="0"/>
          <w:numId w:val="101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ЖК модулируют GABA-A: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CDCA → GABA-A рецепторы (Meltzer et al. </w:t>
      </w:r>
      <w:r>
        <w:rPr>
          <w:rFonts w:ascii="Cambria" w:hAnsi="Cambria" w:cs="Cambria" w:eastAsia="Cambria"/>
          <w:i/>
          <w:iCs/>
          <w:sz w:val="22"/>
        </w:rPr>
        <w:t xml:space="preserve">Br J Pharmacol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2011)</w:t>
      </w:r>
    </w:p>
    <w:p>
      <w:pPr>
        <w:pStyle w:val="Compact"/>
        <w:numPr>
          <w:ilvl w:val="0"/>
          <w:numId w:val="101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Экдистероиды → поведение: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20E действует как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“гормон решительности”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(Ismail et al. </w:t>
      </w:r>
      <w:r>
        <w:rPr>
          <w:rFonts w:ascii="Cambria" w:hAnsi="Cambria" w:cs="Cambria" w:eastAsia="Cambria"/>
          <w:i/>
          <w:iCs/>
          <w:sz w:val="22"/>
        </w:rPr>
        <w:t xml:space="preserve">Science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2015)</w:t>
      </w:r>
    </w:p>
    <w:p>
      <w:pPr>
        <w:pStyle w:val="Compact"/>
        <w:numPr>
          <w:ilvl w:val="0"/>
          <w:numId w:val="101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ПБЦ → усталость + депрессия: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Jones et al. 2015 (</w:t>
      </w:r>
      <w:r>
        <w:rPr>
          <w:rFonts w:ascii="Cambria" w:hAnsi="Cambria" w:cs="Cambria" w:eastAsia="Cambria"/>
          <w:i/>
          <w:iCs/>
          <w:sz w:val="22"/>
        </w:rPr>
        <w:t xml:space="preserve">Hepatology</w:t>
      </w:r>
      <w:r>
        <w:rPr>
          <w:rFonts w:ascii="Cambria" w:hAnsi="Cambria" w:cs="Cambria" w:eastAsia="Cambria"/>
          <w:sz w:val="22"/>
        </w:rPr>
        <w:t xml:space="preserve">) — &gt;80% усталость, &gt;40% депрессия при холестазе</w:t>
      </w:r>
    </w:p>
    <w:p>
      <w:pPr>
        <w:pStyle w:val="Compact"/>
        <w:numPr>
          <w:ilvl w:val="0"/>
          <w:numId w:val="101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ЖК в СМЖ: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1-3 мкМ (Kurien et al. </w:t>
      </w:r>
      <w:r>
        <w:rPr>
          <w:rFonts w:ascii="Cambria" w:hAnsi="Cambria" w:cs="Cambria" w:eastAsia="Cambria"/>
          <w:i/>
          <w:iCs/>
          <w:sz w:val="22"/>
        </w:rPr>
        <w:t xml:space="preserve">Metab Brain Dis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2017); при холестазе — выше</w:t>
      </w:r>
    </w:p>
    <w:p>
      <w:pPr>
        <w:pStyle w:val="Compact"/>
        <w:numPr>
          <w:ilvl w:val="0"/>
          <w:numId w:val="1011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Микробиота → вторичные ЖК → ГЭБ: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Zheng et al. 2019 (</w:t>
      </w:r>
      <w:r>
        <w:rPr>
          <w:rFonts w:ascii="Cambria" w:hAnsi="Cambria" w:cs="Cambria" w:eastAsia="Cambria"/>
          <w:i/>
          <w:iCs/>
          <w:sz w:val="22"/>
        </w:rPr>
        <w:t xml:space="preserve">Nat Commun</w:t>
      </w:r>
      <w:r>
        <w:rPr>
          <w:rFonts w:ascii="Cambria" w:hAnsi="Cambria" w:cs="Cambria" w:eastAsia="Cambria"/>
          <w:sz w:val="22"/>
        </w:rPr>
        <w:t xml:space="preserve">) — профиль ЖК меняется при депрессии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Контрданные (честно)</w:t>
      </w:r>
    </w:p>
    <w:p>
      <w:pPr>
        <w:pStyle w:val="Compact"/>
        <w:numPr>
          <w:ilvl w:val="0"/>
          <w:numId w:val="101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CYP7A1 KO мышь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нет данных по аффекту (критический пробел)</w:t>
      </w:r>
    </w:p>
    <w:p>
      <w:pPr>
        <w:pStyle w:val="Compact"/>
        <w:numPr>
          <w:ilvl w:val="0"/>
          <w:numId w:val="101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Трансплантация печени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— изменения аффекта после, но объяснимы устранением энцефалопатии + иммуносупрессанты</w:t>
      </w:r>
    </w:p>
    <w:p>
      <w:pPr>
        <w:pStyle w:val="Compact"/>
        <w:numPr>
          <w:ilvl w:val="0"/>
          <w:numId w:val="1012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b/>
          <w:bCs/>
          <w:sz w:val="22"/>
        </w:rPr>
        <w:t xml:space="preserve">Альтернативы корреляции:</w:t>
      </w:r>
      <w:r>
        <w:rPr>
          <w:rFonts w:ascii="Cambria" w:hAnsi="Cambria" w:cs="Cambria" w:eastAsia="Cambria"/>
          <w:sz w:val="22"/>
        </w:rPr>
        <w:t xml:space="preserve"> </w:t>
      </w:r>
      <w:r>
        <w:rPr>
          <w:rFonts w:ascii="Cambria" w:hAnsi="Cambria" w:cs="Cambria" w:eastAsia="Cambria"/>
          <w:sz w:val="22"/>
        </w:rPr>
        <w:t xml:space="preserve">системное воспаление (IL-6, TNF-α), энергетический дефицит, вагусные сигналы</w:t>
      </w:r>
    </w:p>
    <w:p>
      <w:pPr>
        <w:pStyle w:val="Heading3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4F81BD"/>
          <w:sz w:val="26"/>
        </w:rPr>
        <w:t xml:space="preserve">Новые обсервационные эксперименты (без лаборатории)</w:t>
      </w:r>
    </w:p>
    <w:p>
      <w:pPr>
        <w:pStyle w:val="Compact"/>
        <w:numPr>
          <w:ilvl w:val="0"/>
          <w:numId w:val="101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UK Biobank: Менделевская рандомизация CYP7A1/ABCB11 → депрессия</w:t>
      </w:r>
    </w:p>
    <w:p>
      <w:pPr>
        <w:pStyle w:val="Compact"/>
        <w:numPr>
          <w:ilvl w:val="0"/>
          <w:numId w:val="101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FAERS: секвестранты ЖК (холестирамин) → нейропсихиатрические ПЭ vs статины</w:t>
      </w:r>
    </w:p>
    <w:p>
      <w:pPr>
        <w:pStyle w:val="Compact"/>
        <w:numPr>
          <w:ilvl w:val="0"/>
          <w:numId w:val="101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EHR: УДХК при ПСХ → динамика PHQ-9/GAD-7</w:t>
      </w:r>
    </w:p>
    <w:p>
      <w:pPr>
        <w:pStyle w:val="Compact"/>
        <w:numPr>
          <w:ilvl w:val="0"/>
          <w:numId w:val="101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HCP: вторичные ЖК в сыворотке → функциональная связность лимбики (fMRI)</w:t>
      </w:r>
    </w:p>
    <w:p>
      <w:pPr>
        <w:pStyle w:val="Compact"/>
        <w:numPr>
          <w:ilvl w:val="0"/>
          <w:numId w:val="1013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GEO: мета-анализ транскриптомики: депрессия (PFC) vs холестаз (печень) — общие пути</w: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Открытые вопросы (пробелы)</w:t>
      </w:r>
    </w:p>
    <w:p>
      <w:pPr>
        <w:pStyle w:val="Compact"/>
        <w:numPr>
          <w:ilvl w:val="0"/>
          <w:numId w:val="101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FXR/TGR5 экспрессия в нейронах человека — нет прямых данных из лимбической системы</w:t>
      </w:r>
    </w:p>
    <w:p>
      <w:pPr>
        <w:pStyle w:val="Compact"/>
        <w:numPr>
          <w:ilvl w:val="0"/>
          <w:numId w:val="101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Zebrafish conditional hepatectomy + affective behavior — эксперимент не проведён</w:t>
      </w:r>
    </w:p>
    <w:p>
      <w:pPr>
        <w:pStyle w:val="Compact"/>
        <w:numPr>
          <w:ilvl w:val="0"/>
          <w:numId w:val="101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CYP7A1 KO мышь + аффективное поведение — нет данных</w:t>
      </w:r>
    </w:p>
    <w:p>
      <w:pPr>
        <w:pStyle w:val="Compact"/>
        <w:numPr>
          <w:ilvl w:val="0"/>
          <w:numId w:val="101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Дозозависимость экдистероидов → аффект у насекомых — нет прямых данных</w:t>
      </w:r>
    </w:p>
    <w:p>
      <w:pPr>
        <w:pStyle w:val="Compact"/>
        <w:numPr>
          <w:ilvl w:val="0"/>
          <w:numId w:val="1014"/>
        </w:numPr>
        <w:spacing w:before="0" w:after="200" w:line="276" w:lineRule="auto"/>
        <w:jc w:val="both"/>
      </w:pPr>
      <w:r>
        <w:rPr>
          <w:rFonts w:ascii="Cambria" w:hAnsi="Cambria" w:cs="Cambria" w:eastAsia="Cambria"/>
          <w:sz w:val="22"/>
        </w:rPr>
        <w:t xml:space="preserve">Планарии: нет гепатического органа + нет аффекта — корреляция, но нет механистики</w:t>
      </w:r>
    </w:p>
    <w:p>
      <w:pPr>
        <w:spacing w:before="0" w:after="200" w:line="276" w:lineRule="auto"/>
        <w:jc w:val="both"/>
      </w:pPr>
      <w:r>
        <w:pict>
          <v:rect style="width:0;height:1.5pt" o:hralign="center" o:hrstd="t" o:hr="t"/>
        </w:pict>
      </w:r>
    </w:p>
    <w:p>
      <w:pPr>
        <w:pStyle w:val="Heading2"/>
        <w:spacing w:before="200" w:after="120" w:line="276" w:lineRule="auto"/>
        <w:jc w:val="left"/>
      </w:pPr>
      <w:r>
        <w:rPr>
          <w:rFonts w:ascii="Calibri" w:hAnsi="Calibri" w:cs="Calibri" w:eastAsia="Calibri"/>
          <w:b/>
          <w:color w:val="366091"/>
          <w:sz w:val="28"/>
        </w:rPr>
        <w:t xml:space="preserve">Конкуренты теории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Теория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Сила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Почему HAP не конкурирует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Мозгоцентричная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Очень высокая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HAP добавляет орган, не заменяет мозг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Ось кишечник-мозг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Высокая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HAP: микробиота → жёлчные кислоты → печень → мозг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Interoception (Feldman Barrett)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Высокая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HAP предлагает молекулярный механизм interoception</w:t>
            </w:r>
          </w:p>
        </w:tc>
      </w:tr>
      <w:tr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Воспалительная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Средняя</w:t>
            </w:r>
          </w:p>
        </w:tc>
        <w:tc>
          <w:tcPr/>
          <w:p>
            <w:pPr>
              <w:pStyle w:val="Compact"/>
              <w:spacing w:before="0" w:after="80" w:line="276" w:lineRule="auto"/>
              <w:jc w:val="both"/>
            </w:pPr>
            <w:r>
              <w:rPr>
                <w:rFonts w:ascii="Cambria" w:hAnsi="Cambria" w:cs="Cambria" w:eastAsia="Cambria"/>
                <w:sz w:val="20"/>
              </w:rPr>
              <w:t xml:space="preserve">HAP не противоречит, жёлчные кислоты = иммуномодуляторы</w:t>
            </w:r>
          </w:p>
        </w:tc>
      </w:tr>
    </w:tbl>
    <w:sectPr>
      <w:footnotePr>
        <w:numRestart w:val="eachSect"/>
      </w:footnotePr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31">
    <w:nsid w:val="00A99831"/>
    <w:multiLevelType w:val="multilevel"/>
    <w:lvl w:ilvl="0">
      <w:start w:val="1"/>
      <w:numFmt w:val="upperLetter"/>
      <w:lvlText w:val="(%1)"/>
      <w:lvlJc w:val="left"/>
      <w:pPr>
        <w:ind w:left="720" w:hanging="360"/>
      </w:pPr>
    </w:lvl>
    <w:lvl w:ilvl="1">
      <w:start w:val="1"/>
      <w:numFmt w:val="upperLetter"/>
      <w:lvlText w:val="(%2)"/>
      <w:lvlJc w:val="left"/>
      <w:pPr>
        <w:ind w:left="1440" w:hanging="360"/>
      </w:pPr>
    </w:lvl>
    <w:lvl w:ilvl="2">
      <w:start w:val="1"/>
      <w:numFmt w:val="upperLetter"/>
      <w:lvlText w:val="(%3)"/>
      <w:lvlJc w:val="left"/>
      <w:pPr>
        <w:ind w:left="2160" w:hanging="360"/>
      </w:pPr>
    </w:lvl>
    <w:lvl w:ilvl="3">
      <w:start w:val="1"/>
      <w:numFmt w:val="upperLetter"/>
      <w:lvlText w:val="(%4)"/>
      <w:lvlJc w:val="left"/>
      <w:pPr>
        <w:ind w:left="2880" w:hanging="360"/>
      </w:pPr>
    </w:lvl>
    <w:lvl w:ilvl="4">
      <w:start w:val="1"/>
      <w:numFmt w:val="upperLetter"/>
      <w:lvlText w:val="(%5)"/>
      <w:lvlJc w:val="left"/>
      <w:pPr>
        <w:ind w:left="3600" w:hanging="360"/>
      </w:pPr>
    </w:lvl>
    <w:lvl w:ilvl="5">
      <w:start w:val="1"/>
      <w:numFmt w:val="upperLetter"/>
      <w:lvlText w:val="(%6)"/>
      <w:lvlJc w:val="left"/>
      <w:pPr>
        <w:ind w:left="4320" w:hanging="360"/>
      </w:pPr>
    </w:lvl>
    <w:lvl w:ilvl="6">
      <w:start w:val="1"/>
      <w:numFmt w:val="upperLetter"/>
      <w:lvlText w:val="(%7)"/>
      <w:lvlJc w:val="left"/>
      <w:pPr>
        <w:ind w:left="5040" w:hanging="360"/>
      </w:pPr>
    </w:lvl>
    <w:lvl w:ilvl="7">
      <w:start w:val="1"/>
      <w:numFmt w:val="upperLetter"/>
      <w:lvlText w:val="(%8)"/>
      <w:lvlJc w:val="left"/>
      <w:pPr>
        <w:ind w:left="5760" w:hanging="360"/>
      </w:pPr>
    </w:lvl>
    <w:lvl w:ilvl="8">
      <w:start w:val="1"/>
      <w:numFmt w:val="upperLetter"/>
      <w:lvlText w:val="(%9)"/>
      <w:lvlJc w:val="left"/>
      <w:pPr>
        <w:ind w:left="6480" w:hanging="360"/>
      </w:p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mbria" w:hAnsi="Cambri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2026-04-17T20:50:13Z</dcterms:created>
  <dcterms:modified xsi:type="dcterms:W3CDTF">2026-04-17T20:50:13Z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