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HAP — PARAMETERS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Версия: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1.0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Дата: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2026-04-14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Идентификаторы проекта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Полное название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HepatoAffect Principle (HAP Strong)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Аббревиатура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HAP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Версия CONCEPT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v4.0 (STRONG)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Автор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Dr. Jaba Tkemaladze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 Longevity Alliance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Email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djabbat@gmail.com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ORCID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0000-0002-4898-1099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Целевой журнал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Журнал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i/>
                <w:iCs/>
                <w:sz w:val="20"/>
              </w:rPr>
              <w:t xml:space="preserve">Biological Reviews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IF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~10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Тип статьи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Review / Theory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Язык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Английский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BHCA-параметры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Текущий балл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~18/27 (Класс II)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Целевой балл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≥24/27 (Класс I)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Минимум для публикации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≥12/27 (Класс III)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Ключевые молекулы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Молекула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Источник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Рецептор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Жёлчные кислоты (CDCA, DCA)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Печень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FXR, TGR5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Подтверждён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Экдистероиды (20E)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Жировое тело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EcR/USP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Подтверждён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Холевая кислота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Печень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FXR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Подтверждён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Таксоны (текущий мета-анализ)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Всего таксонов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56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 гепатическим органом И аффектом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Без гепатического органа И без аффекта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Корреляция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p-значение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&lt;0.0001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Экспериментальная модель (основная)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Модель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Zebrafish (Danio rerio)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Линия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Tg(hsp70l:Gal4; UAS:nfsB)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Условный KO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Метронидазол 72ч после оплодотворения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Тест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Условный страх, light/dark, боль в 8-10 дней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Предсказание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Отсутствие или снижение аффективных реакций при сохранных сенсомоторных</w:t>
            </w:r>
          </w:p>
        </w:tc>
      </w:tr>
    </w:tbl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