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HAP — HepatoAffective Primacy Theory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Теория гепатогенного происхождения эмоций</w:t>
      </w:r>
    </w:p>
    <w:p>
      <w:pPr>
        <w:pStyle w:val="BodyText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Author: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Dr. Jaba Tkemaladze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Status: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Accepted for publication (</w:t>
      </w:r>
      <w:r>
        <w:rPr>
          <w:rFonts w:ascii="Cambria" w:hAnsi="Cambria" w:cs="Cambria" w:eastAsia="Cambria"/>
          <w:i/>
          <w:iCs/>
          <w:sz w:val="22"/>
        </w:rPr>
        <w:t xml:space="preserve">Biological Reviews</w:t>
      </w:r>
      <w:r>
        <w:rPr>
          <w:rFonts w:ascii="Cambria" w:hAnsi="Cambria" w:cs="Cambria" w:eastAsia="Cambria"/>
          <w:sz w:val="22"/>
        </w:rPr>
        <w:t xml:space="preserve">, IF ~10)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Core Claim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Affective states cannot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develop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in any bilateral animal lacking an organ that: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Secretes steroid regulatory molecules crossing the BBB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Performs barrier-detoxification of circulating fluid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Key Evidence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Convergent evolution: bile acids (vertebrates) ↔ ecdysteroids (arthropods)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FXR/TGR5 receptors in limbic structures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Clinical correlates: hepatic encephalopathy, mood disorders in liver disease</w:t>
      </w:r>
    </w:p>
    <w:p>
      <w:pPr>
        <w:pStyle w:val="Compact"/>
        <w:numPr>
          <w:ilvl w:val="0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BHCA score: ~20/27 (Class II — strong circumstantial causation)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Files</w:t>
      </w:r>
    </w:p>
    <w:tbl>
      <w:tblPr>
        <w:tblStyle w:val="Table"/>
        <w:tblW w:type="dxa" w:w="936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File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Content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Style w:val="VerbatimChar"/>
                <w:rFonts w:ascii="Cambria" w:hAnsi="Cambria" w:cs="Cambria" w:eastAsia="Cambria"/>
                <w:sz w:val="20"/>
              </w:rPr>
              <w:t xml:space="preserve">CONCEPT.md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Full theory, hypotheses, experiments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Style w:val="VerbatimChar"/>
                <w:rFonts w:ascii="Cambria" w:hAnsi="Cambria" w:cs="Cambria" w:eastAsia="Cambria"/>
                <w:sz w:val="20"/>
              </w:rPr>
              <w:t xml:space="preserve">PARAMETERS.md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BHCA scoring, quantitative parameters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Style w:val="VerbatimChar"/>
                <w:rFonts w:ascii="Cambria" w:hAnsi="Cambria" w:cs="Cambria" w:eastAsia="Cambria"/>
                <w:sz w:val="20"/>
              </w:rPr>
              <w:t xml:space="preserve">KNOWLEDGE.md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Scientific knowledge base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Style w:val="VerbatimChar"/>
                <w:rFonts w:ascii="Cambria" w:hAnsi="Cambria" w:cs="Cambria" w:eastAsia="Cambria"/>
                <w:sz w:val="20"/>
              </w:rPr>
              <w:t xml:space="preserve">TODO.md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Current tasks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Style w:val="VerbatimChar"/>
                <w:rFonts w:ascii="Cambria" w:hAnsi="Cambria" w:cs="Cambria" w:eastAsia="Cambria"/>
                <w:sz w:val="20"/>
              </w:rPr>
              <w:t xml:space="preserve">UPGRADE.md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Development plan</w:t>
            </w:r>
          </w:p>
        </w:tc>
      </w:tr>
    </w:tbl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2026-04-17T20:50:14Z</dcterms:created>
  <dcterms:modified xsi:type="dcterms:W3CDTF">2026-04-17T20:50:14Z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