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jc w:val="center"/>
      </w:pPr>
      <w:r>
        <w:t xml:space="preserve">Highlights</w:t>
      </w:r>
    </w:p>
    <w:p>
      <w:pPr>
        <w:jc w:val="both"/>
        <w:numPr>
          <w:ilvl w:val="0"/>
          <w:numId w:val="1001"/>
        </w:numPr>
      </w:pPr>
      <w:r>
        <w:t xml:space="preserve">The Hepato-Affective Primacy (HAP) theory is formalised as a 6-variable nonlinear dynamical system coupling hepatic steroid output, brain steroid sensitivity, affective circuit integrity, inflammation, HPA axis, and metabolism.</w:t>
      </w:r>
    </w:p>
    <w:p>
      <w:pPr>
        <w:jc w:val="both"/>
        <w:numPr>
          <w:ilvl w:val="0"/>
          <w:numId w:val="1001"/>
        </w:numPr>
      </w:pPr>
      <w:r>
        <w:t xml:space="preserve">Global sensitivity analysis (Morris + Sobol) identifies the hepatic threshold parameter θ_L as dominant (Sobol ST = 0.75), quantitatively confirming that hepatic — not neural — parameters drive the system.</w:t>
      </w:r>
    </w:p>
    <w:p>
      <w:pPr>
        <w:jc w:val="both"/>
        <w:numPr>
          <w:ilvl w:val="0"/>
          <w:numId w:val="1001"/>
        </w:numPr>
      </w:pPr>
      <w:r>
        <w:t xml:space="preserve">The model is structurally robust under both white Gaussian noise (CV = 0.78%) and Ornstein-Uhlenbeck coloured noise (CV = 1.59%).</w:t>
      </w:r>
    </w:p>
    <w:p>
      <w:pPr>
        <w:jc w:val="both"/>
        <w:numPr>
          <w:ilvl w:val="0"/>
          <w:numId w:val="1001"/>
        </w:numPr>
      </w:pPr>
      <w:r>
        <w:t xml:space="preserve">A 2D parameter scan (L_basal × θ_L, 900 simulations) maps the bifurcation boundary between A = 0 (affect impossible) and A &gt; 0 (affect possible).</w:t>
      </w:r>
    </w:p>
    <w:p>
      <w:pPr>
        <w:jc w:val="both"/>
        <w:numPr>
          <w:ilvl w:val="0"/>
          <w:numId w:val="1001"/>
        </w:numPr>
      </w:pPr>
      <w:r>
        <w:t xml:space="preserve">Clinical validation against bile acid dysregulation in MDD, NAFLD-depression comorbidity (meta-analysis, N = 2,126,593), and Mendelian randomisation supports the model’s qualitative predictions.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cs="Arial"/>
      <w:sz w:val="24"/>
      <w:szCs w:val="24"/>
    </w:rPr>
    <w:pPr>
      <w:spacing w:line="276" w:lineRule="auto" w:after="0"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qFormat/>
    <w:rPr>
      <w:rFonts w:ascii="Arial" w:hAnsi="Arial" w:cs="Arial"/>
      <w:sz w:val="56"/>
      <w:szCs w:val="56"/>
    </w:rPr>
    <w:pPr>
      <w:jc w:val="center"/>
      <w:spacing w:line="240" w:after="120"/>
    </w:p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qFormat/>
    <w:rPr>
      <w:rFonts w:ascii="Arial" w:hAnsi="Arial" w:cs="Arial"/>
      <w:sz w:val="28"/>
      <w:szCs w:val="28"/>
    </w:rPr>
    <w:pPr>
      <w:jc w:val="center"/>
      <w:spacing w:line="240" w:after="120"/>
    </w:p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Normal"/>
    <w:link w:val="Heading1Char"/>
    <w:uiPriority w:val="9"/>
    <w:qFormat/>
    <w:rPr>
      <w:rFonts w:ascii="Arial" w:hAnsi="Arial" w:cs="Arial"/>
      <w:b/>
      <w:sz w:val="40"/>
      <w:szCs w:val="40"/>
    </w:rPr>
    <w:pPr>
      <w:keepNext/>
      <w:keepLines/>
      <w:spacing w:after="120" w:before="360"/>
      <w:outlineLvl w:val="0"/>
    </w:pPr>
  </w:style>
  <w:style w:styleId="Heading2" w:type="paragraph">
    <w:name w:val="heading 2"/>
    <w:basedOn w:val="Normal"/>
    <w:next w:val="Normal"/>
    <w:link w:val="Heading2Char"/>
    <w:uiPriority w:val="9"/>
    <w:qFormat/>
    <w:rPr>
      <w:rFonts w:ascii="Arial" w:hAnsi="Arial" w:cs="Arial"/>
      <w:b/>
      <w:sz w:val="32"/>
      <w:szCs w:val="32"/>
    </w:rPr>
    <w:pPr>
      <w:keepNext/>
      <w:keepLines/>
      <w:spacing w:after="80" w:before="240"/>
      <w:outlineLvl w:val="1"/>
    </w:pPr>
  </w:style>
  <w:style w:styleId="Heading3" w:type="paragraph">
    <w:name w:val="heading 3"/>
    <w:basedOn w:val="Normal"/>
    <w:next w:val="Normal"/>
    <w:link w:val="Heading3Char"/>
    <w:uiPriority w:val="9"/>
    <w:qFormat/>
    <w:rPr>
      <w:rFonts w:ascii="Arial" w:hAnsi="Arial" w:cs="Arial"/>
      <w:b/>
      <w:sz w:val="24"/>
      <w:szCs w:val="24"/>
    </w:rPr>
    <w:pPr>
      <w:keepNext/>
      <w:keepLines/>
      <w:spacing w:after="60" w:before="200"/>
      <w:outlineLvl w:val="2"/>
    </w:p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2026-06-18T14:40:18Z</dcterms:created>
  <dcterms:modified xsi:type="dcterms:W3CDTF">2026-06-18T14:40:18Z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