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Author</w:t>
      </w:r>
      <w:r>
        <w:t xml:space="preserve">: Jaba Tqemaladze</w:t>
      </w:r>
      <w:r>
        <w:br/>
      </w:r>
      <w:r>
        <w:rPr>
          <w:b/>
          <w:bCs/>
        </w:rPr>
        <w:t xml:space="preserve">Affiliation</w:t>
      </w:r>
      <w:r>
        <w:t xml:space="preserve">: Free University of Tbilisi</w:t>
      </w:r>
      <w:r>
        <w:br/>
      </w:r>
      <w:r>
        <w:rPr>
          <w:b/>
          <w:bCs/>
        </w:rPr>
        <w:t xml:space="preserve">Correspondence</w:t>
      </w:r>
      <w:r>
        <w:t xml:space="preserve">:</w:t>
      </w:r>
      <w:r>
        <w:t xml:space="preserve"> </w:t>
      </w:r>
      <w:hyperlink r:id="rId9">
        <w:r>
          <w:rPr>
            <w:rStyle w:val="Hyperlink"/>
            <w:u w:val="single"/>
          </w:rPr>
          <w:t xml:space="preserve">jaba@longevity.ge</w:t>
        </w:r>
      </w:hyperlink>
      <w:r>
        <w:t xml:space="preserve"> </w:t>
      </w:r>
      <w:r>
        <w:t xml:space="preserve">| ORCID:</w:t>
      </w:r>
      <w:r>
        <w:t xml:space="preserve"> </w:t>
      </w:r>
      <w:r>
        <w:t xml:space="preserve">0000-0001-8651-7243</w:t>
      </w:r>
    </w:p>
    <w:bookmarkStart w:id="10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Background: The Hepato-Affective Primacy (HAP) theory established that</w:t>
      </w:r>
      <w:r>
        <w:t xml:space="preserve"> </w:t>
      </w:r>
      <w:r>
        <w:t xml:space="preserve">bilaterian animals require a functional hepatic organ for affective</w:t>
      </w:r>
      <w:r>
        <w:t xml:space="preserve"> </w:t>
      </w:r>
      <w:r>
        <w:t xml:space="preserve">states (p &lt; 0.0001, 56 taxa), but the dynamical mechanism remained</w:t>
      </w:r>
      <w:r>
        <w:t xml:space="preserve"> </w:t>
      </w:r>
      <w:r>
        <w:t xml:space="preserve">unspecified.</w:t>
      </w:r>
    </w:p>
    <w:p>
      <w:pPr>
        <w:pStyle w:val="BodyText"/>
      </w:pPr>
      <w:r>
        <w:t xml:space="preserve">Methods: We formalise a 6-variable nonlinear ODE system coupling hepatic</w:t>
      </w:r>
      <w:r>
        <w:t xml:space="preserve"> </w:t>
      </w:r>
      <w:r>
        <w:t xml:space="preserve">steroid output, brain steroid sensitivity, affective circuit integrity,</w:t>
      </w:r>
      <w:r>
        <w:t xml:space="preserve"> </w:t>
      </w:r>
      <w:r>
        <w:t xml:space="preserve">inflammation, HPA axis activity, and metabolism. The model undergoes</w:t>
      </w:r>
      <w:r>
        <w:t xml:space="preserve"> </w:t>
      </w:r>
      <w:r>
        <w:t xml:space="preserve">bifurcation analysis, in silico ablation, global sensitivity analysis</w:t>
      </w:r>
      <w:r>
        <w:t xml:space="preserve"> </w:t>
      </w:r>
      <w:r>
        <w:t xml:space="preserve">(Morris &amp; Sobol), 2D parameter scanning, and stochastic perturbation.</w:t>
      </w:r>
    </w:p>
    <w:p>
      <w:pPr>
        <w:pStyle w:val="BodyText"/>
      </w:pPr>
      <w:r>
        <w:t xml:space="preserve">Results: The system exhibits a saddle-node bifurcation at critical</w:t>
      </w:r>
      <w:r>
        <w:t xml:space="preserve"> </w:t>
      </w:r>
      <w:r>
        <w:t xml:space="preserve">hepatic threshold L_basal ≈ 0. Hepatic ablation before τ_crit yields A ≈</w:t>
      </w:r>
      <w:r>
        <w:t xml:space="preserve"> </w:t>
      </w:r>
      <w:r>
        <w:t xml:space="preserve">0 (no affect). Sensitivity analysis identifies hepatic threshold θ_L as</w:t>
      </w:r>
      <w:r>
        <w:t xml:space="preserve"> </w:t>
      </w:r>
      <w:r>
        <w:t xml:space="preserve">dominant (Sobol ST = 0.75). The system is structurally robust under</w:t>
      </w:r>
      <w:r>
        <w:t xml:space="preserve"> </w:t>
      </w:r>
      <w:r>
        <w:t xml:space="preserve">stochastic perturbation (CV &lt; 1%).</w:t>
      </w:r>
    </w:p>
    <w:p>
      <w:pPr>
        <w:pStyle w:val="BodyText"/>
      </w:pPr>
      <w:r>
        <w:t xml:space="preserve">Conclusions: This framework generates falsifiable predictions for</w:t>
      </w:r>
      <w:r>
        <w:t xml:space="preserve"> </w:t>
      </w:r>
      <w:r>
        <w:t xml:space="preserve">knockout experiments, pharmacological interventions, and clinical</w:t>
      </w:r>
      <w:r>
        <w:t xml:space="preserve"> </w:t>
      </w:r>
      <w:r>
        <w:t xml:space="preserve">biomarker studies.</w:t>
      </w:r>
    </w:p>
    <w:p>
      <w:pPr>
        <w:pStyle w:val="BodyText"/>
      </w:pPr>
      <w:r>
        <w:rPr>
          <w:b/>
          <w:bCs/>
        </w:rPr>
        <w:t xml:space="preserve">Keywords:</w:t>
      </w:r>
      <w:r>
        <w:t xml:space="preserve"> </w:t>
      </w:r>
      <w:r>
        <w:t xml:space="preserve">HAP, nonlinear dynamics, bile acids, affective</w:t>
      </w:r>
      <w:r>
        <w:t xml:space="preserve"> </w:t>
      </w:r>
      <w:r>
        <w:t xml:space="preserve">neuroscience, liver-brain axis, allostasis, computational psychiatry,</w:t>
      </w:r>
      <w:r>
        <w:t xml:space="preserve"> </w:t>
      </w:r>
      <w:r>
        <w:t xml:space="preserve">dynamical systems</w:t>
      </w:r>
    </w:p>
    <w:bookmarkEnd w:id="10"/>
    <w:bookmarkStart w:id="14" w:name="introduction"/>
    <w:p>
      <w:pPr>
        <w:pStyle w:val="Heading2"/>
      </w:pPr>
      <w:r>
        <w:t xml:space="preserve">1. Introduction</w:t>
      </w:r>
    </w:p>
    <w:bookmarkStart w:id="11" w:name="from-hap-to-dynamical-formalisation"/>
    <w:p>
      <w:pPr>
        <w:pStyle w:val="Heading3"/>
      </w:pPr>
      <w:r>
        <w:t xml:space="preserve">1.1 From HAP to dynamical formalisation</w:t>
      </w:r>
    </w:p>
    <w:p>
      <w:pPr>
        <w:pStyle w:val="FirstParagraph"/>
      </w:pPr>
      <w:r>
        <w:t xml:space="preserve">The Hepato-Affective Primacy (HAP) Theory (Tqemaladze, 2026) proposed a</w:t>
      </w:r>
      <w:r>
        <w:t xml:space="preserve"> </w:t>
      </w:r>
      <w:r>
        <w:t xml:space="preserve">necessary condition for affective states in Bilateria: no animal can</w:t>
      </w:r>
      <w:r>
        <w:t xml:space="preserve"> </w:t>
      </w:r>
      <w:r>
        <w:t xml:space="preserve">possess affect without a functional hepatic organ (steroid secretion +</w:t>
      </w:r>
      <w:r>
        <w:t xml:space="preserve"> </w:t>
      </w:r>
      <w:r>
        <w:t xml:space="preserve">barrier-detoxification). The theory was supported by a perfect</w:t>
      </w:r>
      <w:r>
        <w:t xml:space="preserve"> </w:t>
      </w:r>
      <w:r>
        <w:t xml:space="preserve">correlation across 56 taxa — all 32 affect-capable taxa have such an</w:t>
      </w:r>
      <w:r>
        <w:t xml:space="preserve"> </w:t>
      </w:r>
      <w:r>
        <w:t xml:space="preserve">organ; all 24 taxa without it lack affect.</w:t>
      </w:r>
    </w:p>
    <w:p>
      <w:pPr>
        <w:pStyle w:val="BodyText"/>
      </w:pPr>
      <w:r>
        <w:t xml:space="preserve">However, HAP left a critical question open:</w:t>
      </w:r>
      <w:r>
        <w:t xml:space="preserve"> </w:t>
      </w:r>
      <w:r>
        <w:rPr>
          <w:i/>
          <w:iCs/>
        </w:rPr>
        <w:t xml:space="preserve">How</w:t>
      </w:r>
      <w:r>
        <w:t xml:space="preserve"> </w:t>
      </w:r>
      <w:r>
        <w:t xml:space="preserve">does the hepatic organ</w:t>
      </w:r>
      <w:r>
        <w:t xml:space="preserve"> </w:t>
      </w:r>
      <w:r>
        <w:t xml:space="preserve">enable affect? What are the mechanisms, the feedback loops, the</w:t>
      </w:r>
      <w:r>
        <w:t xml:space="preserve"> </w:t>
      </w:r>
      <w:r>
        <w:t xml:space="preserve">dynamical properties of this brain-liver interaction?</w:t>
      </w:r>
    </w:p>
    <w:p>
      <w:pPr>
        <w:pStyle w:val="BodyText"/>
      </w:pPr>
      <w:r>
        <w:rPr>
          <w:b/>
          <w:bCs/>
        </w:rPr>
        <w:t xml:space="preserve">Relationship to prior work:</w:t>
      </w:r>
      <w:r>
        <w:t xml:space="preserve"> </w:t>
      </w:r>
      <w:r>
        <w:t xml:space="preserve">An earlier preprint explored an initial</w:t>
      </w:r>
      <w:r>
        <w:t xml:space="preserve"> </w:t>
      </w:r>
      <w:r>
        <w:t xml:space="preserve">formulation of this model (El Fettahi &amp; Tkemaladze, 2025). The co-author</w:t>
      </w:r>
      <w:r>
        <w:t xml:space="preserve"> </w:t>
      </w:r>
      <w:r>
        <w:t xml:space="preserve">(El Fettahi) subsequently withdrew from the project (June 2026), and her</w:t>
      </w:r>
      <w:r>
        <w:t xml:space="preserve"> </w:t>
      </w:r>
      <w:r>
        <w:t xml:space="preserve">name has been removed from all project documents per her request. The</w:t>
      </w:r>
      <w:r>
        <w:t xml:space="preserve"> </w:t>
      </w:r>
      <w:r>
        <w:t xml:space="preserve">present manuscript is a substantially revised and extended version,</w:t>
      </w:r>
      <w:r>
        <w:t xml:space="preserve"> </w:t>
      </w:r>
      <w:r>
        <w:t xml:space="preserve">developed solely by Tqemaladze, that adds: (1) global sensitivity</w:t>
      </w:r>
      <w:r>
        <w:t xml:space="preserve"> </w:t>
      </w:r>
      <w:r>
        <w:t xml:space="preserve">analysis (Morris + Sobol), (2) stochastic robustness testing, (3)</w:t>
      </w:r>
      <w:r>
        <w:t xml:space="preserve"> </w:t>
      </w:r>
      <w:r>
        <w:t xml:space="preserve">expanded clinical validation against newly published data (Zhao et al.,</w:t>
      </w:r>
      <w:r>
        <w:t xml:space="preserve"> </w:t>
      </w:r>
      <w:r>
        <w:t xml:space="preserve">2025; Idahosa et al., 2025), and (4) refined model formulation with</w:t>
      </w:r>
      <w:r>
        <w:t xml:space="preserve"> </w:t>
      </w:r>
      <w:r>
        <w:t xml:space="preserve">alternative permissive functions.</w:t>
      </w:r>
    </w:p>
    <w:p>
      <w:pPr>
        <w:pStyle w:val="BodyText"/>
      </w:pPr>
      <w:r>
        <w:t xml:space="preserve">Here we answer that question by introducing a</w:t>
      </w:r>
      <w:r>
        <w:t xml:space="preserve"> </w:t>
      </w:r>
      <w:r>
        <w:rPr>
          <w:b/>
          <w:bCs/>
        </w:rPr>
        <w:t xml:space="preserve">nonlinear dynamical</w:t>
      </w:r>
      <w:r>
        <w:rPr>
          <w:b/>
          <w:bCs/>
        </w:rPr>
        <w:t xml:space="preserve"> </w:t>
      </w:r>
      <w:r>
        <w:rPr>
          <w:b/>
          <w:bCs/>
        </w:rPr>
        <w:t xml:space="preserve">systems framework</w:t>
      </w:r>
      <w:r>
        <w:t xml:space="preserve"> </w:t>
      </w:r>
      <w:r>
        <w:t xml:space="preserve">that formalises the steroid-permissive feedback</w:t>
      </w:r>
      <w:r>
        <w:t xml:space="preserve"> </w:t>
      </w:r>
      <w:r>
        <w:t xml:space="preserve">loops between the hepatic organ and affective neural circuits.</w:t>
      </w:r>
    </w:p>
    <w:bookmarkEnd w:id="11"/>
    <w:bookmarkStart w:id="12" w:name="why-nonlinear-dynamics"/>
    <w:p>
      <w:pPr>
        <w:pStyle w:val="Heading3"/>
      </w:pPr>
      <w:r>
        <w:t xml:space="preserve">1.2 Why nonlinear dynamics?</w:t>
      </w:r>
    </w:p>
    <w:p>
      <w:pPr>
        <w:pStyle w:val="FirstParagraph"/>
      </w:pPr>
      <w:r>
        <w:t xml:space="preserve">Affective states are inherently dynamical — they unfold over time,</w:t>
      </w:r>
      <w:r>
        <w:t xml:space="preserve"> </w:t>
      </w:r>
      <w:r>
        <w:t xml:space="preserve">exhibit thresholds, oscillations, and hysteresis. Linear models cannot</w:t>
      </w:r>
      <w:r>
        <w:t xml:space="preserve"> </w:t>
      </w:r>
      <w:r>
        <w:t xml:space="preserve">capture: - The critical developmental window (a temporal threshold) -</w:t>
      </w:r>
      <w:r>
        <w:t xml:space="preserve"> </w:t>
      </w:r>
      <w:r>
        <w:t xml:space="preserve">Allostatic adaptation (feedback between stress and hepatic output) - The</w:t>
      </w:r>
      <w:r>
        <w:t xml:space="preserve"> </w:t>
      </w:r>
      <w:r>
        <w:t xml:space="preserve">sharp bifurcation between affect-possible and affect-impossible</w:t>
      </w:r>
      <w:r>
        <w:t xml:space="preserve"> </w:t>
      </w:r>
      <w:r>
        <w:t xml:space="preserve">regimes - The nonlinear coupling between inflammation, metabolism, and</w:t>
      </w:r>
      <w:r>
        <w:t xml:space="preserve"> </w:t>
      </w:r>
      <w:r>
        <w:t xml:space="preserve">mood</w:t>
      </w:r>
    </w:p>
    <w:p>
      <w:pPr>
        <w:pStyle w:val="BodyText"/>
      </w:pPr>
      <w:r>
        <w:t xml:space="preserve">Nonlinear dynamical systems are the natural language for these phenomena</w:t>
      </w:r>
      <w:r>
        <w:t xml:space="preserve"> </w:t>
      </w:r>
      <w:r>
        <w:t xml:space="preserve">(Chow et al., 2005; Veldhuis et al., 2008).</w:t>
      </w:r>
    </w:p>
    <w:bookmarkEnd w:id="12"/>
    <w:bookmarkStart w:id="13" w:name="the-steroid-permissive-hypothesis"/>
    <w:p>
      <w:pPr>
        <w:pStyle w:val="Heading3"/>
      </w:pPr>
      <w:r>
        <w:t xml:space="preserve">1.3 The steroid permissive hypothesis</w:t>
      </w:r>
    </w:p>
    <w:p>
      <w:pPr>
        <w:pStyle w:val="FirstParagraph"/>
      </w:pPr>
      <w:r>
        <w:t xml:space="preserve">We propose that hepatic steroids (bile acids in vertebrates,</w:t>
      </w:r>
      <w:r>
        <w:t xml:space="preserve"> </w:t>
      </w:r>
      <w:r>
        <w:t xml:space="preserve">ecdysteroids in arthropods) act as</w:t>
      </w:r>
      <w:r>
        <w:t xml:space="preserve"> </w:t>
      </w:r>
      <w:r>
        <w:rPr>
          <w:b/>
          <w:bCs/>
        </w:rPr>
        <w:t xml:space="preserve">permissive factors</w:t>
      </w:r>
      <w:r>
        <w:t xml:space="preserve"> </w:t>
      </w:r>
      <w:r>
        <w:t xml:space="preserve">for affective</w:t>
      </w:r>
      <w:r>
        <w:t xml:space="preserve"> </w:t>
      </w:r>
      <w:r>
        <w:t xml:space="preserve">circuit development and maintenance: - During development: steroids are</w:t>
      </w:r>
      <w:r>
        <w:t xml:space="preserve"> </w:t>
      </w:r>
      <w:r>
        <w:t xml:space="preserve">required for the formation of affective circuits (developmental</w:t>
      </w:r>
      <w:r>
        <w:t xml:space="preserve"> </w:t>
      </w:r>
      <w:r>
        <w:t xml:space="preserve">necessity) - In adulthood: steroids modulate affective circuit function</w:t>
      </w:r>
      <w:r>
        <w:t xml:space="preserve"> </w:t>
      </w:r>
      <w:r>
        <w:t xml:space="preserve">(but are not strictly necessary — adult hepatectomy does not abolish</w:t>
      </w:r>
      <w:r>
        <w:t xml:space="preserve"> </w:t>
      </w:r>
      <w:r>
        <w:t xml:space="preserve">affect)</w:t>
      </w:r>
    </w:p>
    <w:p>
      <w:pPr>
        <w:pStyle w:val="BodyText"/>
      </w:pPr>
      <w:r>
        <w:t xml:space="preserve">This is formalised in the model as a critical developmental window</w:t>
      </w:r>
      <w:r>
        <w:t xml:space="preserve"> </w:t>
      </w:r>
      <w:r>
        <w:t xml:space="preserve">τ_crit, after which the dependence is partial rather than absolute.</w:t>
      </w:r>
    </w:p>
    <w:bookmarkEnd w:id="13"/>
    <w:bookmarkEnd w:id="14"/>
    <w:bookmarkStart w:id="19" w:name="the-hap-dynamical-framework"/>
    <w:p>
      <w:pPr>
        <w:pStyle w:val="Heading2"/>
      </w:pPr>
      <w:r>
        <w:t xml:space="preserve">2. The HAP Dynamical Framework</w:t>
      </w:r>
    </w:p>
    <w:bookmarkStart w:id="15" w:name="state-variables"/>
    <w:p>
      <w:pPr>
        <w:pStyle w:val="Heading3"/>
      </w:pPr>
      <w:r>
        <w:t xml:space="preserve">2.1 State variables</w:t>
      </w:r>
    </w:p>
    <w:tbl>
      <w:tblPr>
        <w:tblStyle w:val="Table"/>
        <w:tblW w:type="pct" w:w="4514"/>
        <w:tblLayout w:type="fixed"/>
        <w:tblLook w:firstRow="1" w:lastRow="0" w:firstColumn="0" w:lastColumn="0" w:noHBand="0" w:noVBand="0" w:val="0020"/>
      </w:tblPr>
      <w:tblGrid>
        <w:gridCol w:w="1100"/>
        <w:gridCol w:w="1650"/>
        <w:gridCol w:w="253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Biological 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Hepatic</w:t>
            </w:r>
            <w:r>
              <w:t xml:space="preserve"> </w:t>
            </w:r>
            <w:r>
              <w:t xml:space="preserve">steroid 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Concentration of</w:t>
            </w:r>
            <w:r>
              <w:t xml:space="preserve"> </w:t>
            </w:r>
            <w:r>
              <w:t xml:space="preserve">steroid signalling</w:t>
            </w:r>
            <w:r>
              <w:t xml:space="preserve"> </w:t>
            </w:r>
            <w:r>
              <w:t xml:space="preserve">molecules (bile acids</w:t>
            </w:r>
            <w:r>
              <w:t xml:space="preserve"> </w:t>
            </w:r>
            <w:r>
              <w:t xml:space="preserve">/ ecdysteroids)</w:t>
            </w:r>
            <w:r>
              <w:t xml:space="preserve"> </w:t>
            </w:r>
            <w:r>
              <w:t xml:space="preserve">synthesised by the</w:t>
            </w:r>
            <w:r>
              <w:t xml:space="preserve"> </w:t>
            </w:r>
            <w:r>
              <w:t xml:space="preserve">hepatic organ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 ∞)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Brain steroid</w:t>
            </w:r>
            <w:r>
              <w:t xml:space="preserve"> </w:t>
            </w:r>
            <w:r>
              <w:t xml:space="preserve">sensitivity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Functional density of</w:t>
            </w:r>
            <w:r>
              <w:t xml:space="preserve"> </w:t>
            </w:r>
            <w:r>
              <w:t xml:space="preserve">nuclear receptors</w:t>
            </w:r>
            <w:r>
              <w:t xml:space="preserve"> </w:t>
            </w:r>
            <w:r>
              <w:t xml:space="preserve">(FXR, TGR5, EcR, USP)</w:t>
            </w:r>
            <w:r>
              <w:t xml:space="preserve"> </w:t>
            </w:r>
            <w:r>
              <w:t xml:space="preserve">in affective circuits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a.u.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 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Affective</w:t>
            </w:r>
            <w:r>
              <w:t xml:space="preserve"> </w:t>
            </w:r>
            <w:r>
              <w:t xml:space="preserve">circuit</w:t>
            </w:r>
            <w:r>
              <w:t xml:space="preserve"> </w:t>
            </w:r>
            <w:r>
              <w:t xml:space="preserve">integrity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Synaptic connectivity</w:t>
            </w:r>
            <w:r>
              <w:t xml:space="preserve"> </w:t>
            </w:r>
            <w:r>
              <w:t xml:space="preserve">and excitability of</w:t>
            </w:r>
            <w:r>
              <w:t xml:space="preserve"> </w:t>
            </w:r>
            <w:r>
              <w:t xml:space="preserve">neural circuits</w:t>
            </w:r>
            <w:r>
              <w:t xml:space="preserve"> </w:t>
            </w:r>
            <w:r>
              <w:t xml:space="preserve">supporting affect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a.u.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 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Inflammatory</w:t>
            </w:r>
            <w:r>
              <w:t xml:space="preserve"> </w:t>
            </w:r>
            <w:r>
              <w:t xml:space="preserve">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 of</w:t>
            </w:r>
            <w:r>
              <w:t xml:space="preserve"> </w:t>
            </w:r>
            <w:r>
              <w:t xml:space="preserve">pro-inflammatory</w:t>
            </w:r>
            <w:r>
              <w:t xml:space="preserve"> </w:t>
            </w:r>
            <w:r>
              <w:t xml:space="preserve">cytokines (TNF-α,</w:t>
            </w:r>
            <w:r>
              <w:t xml:space="preserve"> </w:t>
            </w:r>
            <w:r>
              <w:t xml:space="preserve">IL-6, CRP or</w:t>
            </w:r>
            <w:r>
              <w:t xml:space="preserve"> </w:t>
            </w:r>
            <w:r>
              <w:t xml:space="preserve">invertebrate analogs)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a.u.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 ∞)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HPA / stress</w:t>
            </w:r>
            <w:r>
              <w:t xml:space="preserve"> </w:t>
            </w:r>
            <w:r>
              <w:t xml:space="preserve">activity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Cortisol (vertebrates)</w:t>
            </w:r>
            <w:r>
              <w:t xml:space="preserve"> </w:t>
            </w:r>
            <w:r>
              <w:t xml:space="preserve">or octopamine</w:t>
            </w:r>
            <w:r>
              <w:t xml:space="preserve"> </w:t>
            </w:r>
            <w:r>
              <w:t xml:space="preserve">(insects)</w:t>
            </w:r>
            <w:r>
              <w:t xml:space="preserve"> </w:t>
            </w:r>
            <w:r>
              <w:t xml:space="preserve">concentration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 ∞)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Metabolic</w:t>
            </w:r>
            <w:r>
              <w:t xml:space="preserve"> </w:t>
            </w:r>
            <w:r>
              <w:t xml:space="preserve">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Glucose / energy</w:t>
            </w:r>
            <w:r>
              <w:t xml:space="preserve"> </w:t>
            </w:r>
            <w:r>
              <w:t xml:space="preserve">status — integrative</w:t>
            </w:r>
            <w:r>
              <w:t xml:space="preserve"> </w:t>
            </w:r>
            <w:r>
              <w:t xml:space="preserve">marker of metabolism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(0, ∞)</w:t>
            </w:r>
          </w:p>
        </w:tc>
      </w:tr>
    </w:tbl>
    <w:bookmarkEnd w:id="15"/>
    <w:bookmarkStart w:id="16" w:name="coupling-functions-feedback-loops"/>
    <w:p>
      <w:pPr>
        <w:pStyle w:val="Heading3"/>
      </w:pPr>
      <w:r>
        <w:t xml:space="preserve">2.2 Coupling functions (feedback loops)</w:t>
      </w:r>
    </w:p>
    <w:p>
      <w:pPr>
        <w:pStyle w:val="FirstParagraph"/>
      </w:pPr>
      <w:r>
        <w:t xml:space="preserve">The system is defined by six coupled ordinary differential equations:</w:t>
      </w:r>
    </w:p>
    <w:p>
      <w:pPr>
        <w:pStyle w:val="BodyText"/>
      </w:pPr>
      <w:r>
        <w:t xml:space="preserve">dL/dt = f₁ = k_L_prod · (L_basal + α·S − β·I) · (1 − L/L_max) −</w:t>
      </w:r>
      <w:r>
        <w:t xml:space="preserve"> </w:t>
      </w:r>
      <w:r>
        <w:t xml:space="preserve">k_L_decay · L</w:t>
      </w:r>
      <w:r>
        <w:br/>
      </w:r>
      <w:r>
        <w:t xml:space="preserve">dB/dt = f₂ = k_B_up · (L/(L + B_half)) · (1 − B/B_max) − k_B_down · B</w:t>
      </w:r>
      <w:r>
        <w:br/>
      </w:r>
      <w:r>
        <w:t xml:space="preserve">dA/dt = f₃ = k_A_L · P(L, B) · (1 − A/A_max) − A_decay · A</w:t>
      </w:r>
      <w:r>
        <w:br/>
      </w:r>
      <w:r>
        <w:t xml:space="preserve">dI/dt = f₄ = k_I_stress · S + I_basal − k_I_clear · I</w:t>
      </w:r>
      <w:r>
        <w:br/>
      </w:r>
      <w:r>
        <w:t xml:space="preserve">dS/dt = f₅ = S_basal + k_S_stress · stress_input − k_S_feedback · A −</w:t>
      </w:r>
      <w:r>
        <w:t xml:space="preserve"> </w:t>
      </w:r>
      <w:r>
        <w:t xml:space="preserve">k_S_decay · S</w:t>
      </w:r>
      <w:r>
        <w:br/>
      </w:r>
      <w:r>
        <w:t xml:space="preserve">dM/dt = f₆ = M_input − M_consumption · M − k_M_L · (1 − L/(L + K_M)),</w:t>
      </w:r>
      <w:r>
        <w:t xml:space="preserve"> </w:t>
      </w:r>
      <w:r>
        <w:t xml:space="preserve">where K_M = 1 nM</w:t>
      </w:r>
    </w:p>
    <w:p>
      <w:pPr>
        <w:pStyle w:val="BodyText"/>
      </w:pPr>
      <w:r>
        <w:t xml:space="preserve">Where: -</w:t>
      </w:r>
      <w:r>
        <w:t xml:space="preserve"> </w:t>
      </w:r>
      <w:r>
        <w:rPr>
          <w:b/>
          <w:bCs/>
        </w:rPr>
        <w:t xml:space="preserve">P(L, B) = (L/(L + K_L)) · (B/(B + K_B))</w:t>
      </w:r>
      <w:r>
        <w:t xml:space="preserve"> </w:t>
      </w:r>
      <w:r>
        <w:t xml:space="preserve">— primary</w:t>
      </w:r>
      <w:r>
        <w:t xml:space="preserve"> </w:t>
      </w:r>
      <w:r>
        <w:t xml:space="preserve">permissive function (steroid-dependent gating of affective development).</w:t>
      </w:r>
      <w:r>
        <w:t xml:space="preserve"> </w:t>
      </w:r>
      <w:r>
        <w:t xml:space="preserve">This Michaelis-Menten form saturates at L &gt; K_L, predicting A is</w:t>
      </w:r>
      <w:r>
        <w:t xml:space="preserve"> </w:t>
      </w:r>
      <w:r>
        <w:t xml:space="preserve">insensitive to high L. However, data from Zhao et al. (2025, PMID:</w:t>
      </w:r>
      <w:r>
        <w:t xml:space="preserve"> </w:t>
      </w:r>
      <w:r>
        <w:t xml:space="preserve">40362260) show bile acid variation affects mood even in non-NAFLD</w:t>
      </w:r>
      <w:r>
        <w:t xml:space="preserve"> </w:t>
      </w:r>
      <w:r>
        <w:t xml:space="preserve">individuals. We therefore also consider an</w:t>
      </w:r>
      <w:r>
        <w:t xml:space="preserve"> </w:t>
      </w:r>
      <w:r>
        <w:rPr>
          <w:b/>
          <w:bCs/>
        </w:rPr>
        <w:t xml:space="preserve">alternative power-law</w:t>
      </w:r>
      <w:r>
        <w:rPr>
          <w:b/>
          <w:bCs/>
        </w:rPr>
        <w:t xml:space="preserve"> </w:t>
      </w:r>
      <w:r>
        <w:rPr>
          <w:b/>
          <w:bCs/>
        </w:rPr>
        <w:t xml:space="preserve">formulation</w:t>
      </w:r>
      <w:r>
        <w:t xml:space="preserve">:</w:t>
      </w:r>
      <w:r>
        <w:t xml:space="preserve"> </w:t>
      </w:r>
      <w:r>
        <w:rPr>
          <w:b/>
          <w:bCs/>
        </w:rPr>
        <w:t xml:space="preserve">P_alt(L, B) = L^a · B^b</w:t>
      </w:r>
      <w:r>
        <w:t xml:space="preserve"> </w:t>
      </w:r>
      <w:r>
        <w:t xml:space="preserve">(with 0 &lt; a,b &lt; 1), which</w:t>
      </w:r>
      <w:r>
        <w:t xml:space="preserve"> </w:t>
      </w:r>
      <w:r>
        <w:t xml:space="preserve">retains sensitivity across the full L range. Both formulations are</w:t>
      </w:r>
      <w:r>
        <w:t xml:space="preserve"> </w:t>
      </w:r>
      <w:r>
        <w:t xml:space="preserve">implemented in the provided code; the Michaelis-Menten form is used as</w:t>
      </w:r>
      <w:r>
        <w:t xml:space="preserve"> </w:t>
      </w:r>
      <w:r>
        <w:t xml:space="preserve">default pending experimental discrimination. -</w:t>
      </w:r>
      <w:r>
        <w:t xml:space="preserve"> </w:t>
      </w:r>
      <w:r>
        <w:rPr>
          <w:b/>
          <w:bCs/>
        </w:rPr>
        <w:t xml:space="preserve">α (S_enhance_L)</w:t>
      </w:r>
      <w:r>
        <w:t xml:space="preserve"> </w:t>
      </w:r>
      <w:r>
        <w:t xml:space="preserve">—</w:t>
      </w:r>
      <w:r>
        <w:t xml:space="preserve"> </w:t>
      </w:r>
      <w:r>
        <w:t xml:space="preserve">allostatic coupling (stress → hepatic output) -</w:t>
      </w:r>
      <w:r>
        <w:t xml:space="preserve"> </w:t>
      </w:r>
      <w:r>
        <w:rPr>
          <w:b/>
          <w:bCs/>
        </w:rPr>
        <w:t xml:space="preserve">β (I_suppress_L)</w:t>
      </w:r>
      <w:r>
        <w:t xml:space="preserve"> </w:t>
      </w:r>
      <w:r>
        <w:t xml:space="preserve">—</w:t>
      </w:r>
      <w:r>
        <w:t xml:space="preserve"> </w:t>
      </w:r>
      <w:r>
        <w:t xml:space="preserve">inflammatory suppression of hepatic function</w:t>
      </w:r>
    </w:p>
    <w:bookmarkEnd w:id="16"/>
    <w:bookmarkStart w:id="17" w:name="critical-developmental-window"/>
    <w:p>
      <w:pPr>
        <w:pStyle w:val="Heading3"/>
      </w:pPr>
      <w:r>
        <w:t xml:space="preserve">2.3 Critical developmental window</w:t>
      </w:r>
    </w:p>
    <w:p>
      <w:pPr>
        <w:pStyle w:val="FirstParagraph"/>
      </w:pPr>
      <w:r>
        <w:t xml:space="preserve">The key nonlinearity is the</w:t>
      </w:r>
      <w:r>
        <w:t xml:space="preserve"> </w:t>
      </w:r>
      <w:r>
        <w:rPr>
          <w:b/>
          <w:bCs/>
        </w:rPr>
        <w:t xml:space="preserve">critical developmental window</w:t>
      </w:r>
      <w:r>
        <w:t xml:space="preserve"> </w:t>
      </w:r>
      <w:r>
        <w:t xml:space="preserve">— a</w:t>
      </w:r>
      <w:r>
        <w:t xml:space="preserve"> </w:t>
      </w:r>
      <w:r>
        <w:t xml:space="preserve">temporal threshold τ_crit:</w:t>
      </w:r>
    </w:p>
    <w:p>
      <w:pPr>
        <w:pStyle w:val="BodyText"/>
      </w:pPr>
      <w:r>
        <w:t xml:space="preserve">If t &lt; τ_crit AND L &lt; ε (ε = 0.01), then:</w:t>
      </w:r>
      <w:r>
        <w:br/>
      </w:r>
      <w:r>
        <w:t xml:space="preserve">dA/dt = −A_decay · A (accelerated decay — circuits cannot form)</w:t>
      </w:r>
      <w:r>
        <w:br/>
      </w:r>
      <w:r>
        <w:t xml:space="preserve">Else:</w:t>
      </w:r>
      <w:r>
        <w:br/>
      </w:r>
      <w:r>
        <w:t xml:space="preserve">dA/dt = k_A_L · P(L, B) · (1 − A/A_max) − A_decay · A</w:t>
      </w:r>
    </w:p>
    <w:p>
      <w:pPr>
        <w:pStyle w:val="BodyText"/>
      </w:pPr>
      <w:r>
        <w:t xml:space="preserve">This formalises HAP Strong: the hepatic organ must be present during a</w:t>
      </w:r>
      <w:r>
        <w:t xml:space="preserve"> </w:t>
      </w:r>
      <w:r>
        <w:t xml:space="preserve">critical developmental period. After τ_crit, the dependence is reduced</w:t>
      </w:r>
      <w:r>
        <w:t xml:space="preserve"> </w:t>
      </w:r>
      <w:r>
        <w:t xml:space="preserve">but not zero.</w:t>
      </w:r>
    </w:p>
    <w:bookmarkEnd w:id="17"/>
    <w:bookmarkStart w:id="18" w:name="parameter-estimation"/>
    <w:p>
      <w:pPr>
        <w:pStyle w:val="Heading3"/>
      </w:pPr>
      <w:r>
        <w:t xml:space="preserve">2.4 Parameter estimation</w:t>
      </w:r>
    </w:p>
    <w:p>
      <w:pPr>
        <w:pStyle w:val="FirstParagraph"/>
      </w:pPr>
      <w:r>
        <w:t xml:space="preserve">Parameters were estimated from published data where available:</w:t>
      </w:r>
    </w:p>
    <w:tbl>
      <w:tblPr>
        <w:tblStyle w:val="Table"/>
        <w:tblW w:type="pct" w:w="4444"/>
        <w:tblLayout w:type="fixed"/>
        <w:tblLook w:firstRow="1" w:lastRow="0" w:firstColumn="0" w:lastColumn="0" w:noHBand="0" w:noVBand="0" w:val="0020"/>
      </w:tblPr>
      <w:tblGrid>
        <w:gridCol w:w="2860"/>
        <w:gridCol w:w="1870"/>
        <w:gridCol w:w="231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L_basal (basal bile acid)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 nM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Kiriyama &amp; Nochi</w:t>
            </w:r>
            <w:r>
              <w:t xml:space="preserve"> </w:t>
            </w:r>
            <w:r>
              <w:t xml:space="preserve">(2019)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τ_crit (critical window)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 hpf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Cox et al. (2016)</w:t>
            </w:r>
            <w:r>
              <w:t xml:space="preserve"> </w:t>
            </w:r>
            <w:r>
              <w:t xml:space="preserve">— zebrafish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k_A_L (steroid→affect</w:t>
            </w:r>
            <w:r>
              <w:t xml:space="preserve"> </w:t>
            </w:r>
            <w:r>
              <w:t xml:space="preserve">coupling)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Ishimoto &amp; Kitamoto</w:t>
            </w:r>
            <w:r>
              <w:t xml:space="preserve"> </w:t>
            </w:r>
            <w:r>
              <w:t xml:space="preserve">(2010): EcR</w:t>
            </w:r>
            <w:r>
              <w:t xml:space="preserve"> </w:t>
            </w:r>
            <w:r>
              <w:t xml:space="preserve">knockdown reduced</w:t>
            </w:r>
            <w:r>
              <w:t xml:space="preserve"> </w:t>
            </w:r>
            <w:r>
              <w:t xml:space="preserve">Drosophila</w:t>
            </w:r>
            <w:r>
              <w:t xml:space="preserve"> </w:t>
            </w:r>
            <w:r>
              <w:t xml:space="preserve">anxiety-like</w:t>
            </w:r>
            <w:r>
              <w:t xml:space="preserve"> </w:t>
            </w:r>
            <w:r>
              <w:t xml:space="preserve">behaviour by ~70%.</w:t>
            </w:r>
            <w:r>
              <w:t xml:space="preserve"> </w:t>
            </w:r>
            <w:r>
              <w:t xml:space="preserve">k_A_L = 0.3 is an</w:t>
            </w:r>
            <w:r>
              <w:t xml:space="preserve"> </w:t>
            </w:r>
            <w:r>
              <w:t xml:space="preserve">order-of-magnitude</w:t>
            </w:r>
            <w:r>
              <w:t xml:space="preserve"> </w:t>
            </w:r>
            <w:r>
              <w:t xml:space="preserve">estimate; direct</w:t>
            </w:r>
            <w:r>
              <w:t xml:space="preserve"> </w:t>
            </w:r>
            <w:r>
              <w:t xml:space="preserve">measurement is</w:t>
            </w:r>
            <w:r>
              <w:t xml:space="preserve"> </w:t>
            </w:r>
            <w:r>
              <w:t xml:space="preserve">needed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k_I_clear (inflammation</w:t>
            </w:r>
            <w:r>
              <w:t xml:space="preserve"> </w:t>
            </w:r>
            <w:r>
              <w:t xml:space="preserve">clearance)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 h⁻¹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Dantzer (2018)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k_S_feedback (HPA</w:t>
            </w:r>
            <w:r>
              <w:t xml:space="preserve"> </w:t>
            </w:r>
            <w:r>
              <w:t xml:space="preserve">negative fb)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Rao &amp; Androulakis</w:t>
            </w:r>
            <w:r>
              <w:t xml:space="preserve"> </w:t>
            </w:r>
            <w:r>
              <w:t xml:space="preserve">(2019)</w:t>
            </w:r>
          </w:p>
        </w:tc>
      </w:tr>
    </w:tbl>
    <w:bookmarkEnd w:id="18"/>
    <w:bookmarkEnd w:id="19"/>
    <w:bookmarkStart w:id="35" w:name="simulation-results"/>
    <w:p>
      <w:pPr>
        <w:pStyle w:val="Heading2"/>
      </w:pPr>
      <w:r>
        <w:t xml:space="preserve">3. Simulation Results</w:t>
      </w:r>
    </w:p>
    <w:bookmarkStart w:id="20" w:name="normal-development"/>
    <w:p>
      <w:pPr>
        <w:pStyle w:val="Heading3"/>
      </w:pPr>
      <w:r>
        <w:t xml:space="preserve">3.1 Normal development</w:t>
      </w:r>
    </w:p>
    <w:p>
      <w:pPr>
        <w:pStyle w:val="FirstParagraph"/>
      </w:pPr>
      <w:r>
        <w:t xml:space="preserve">Under default parameters, the system reaches a stable steady state</w:t>
      </w:r>
      <w:r>
        <w:t xml:space="preserve"> </w:t>
      </w:r>
      <w:r>
        <w:t xml:space="preserve">with: - L ≈ 2.73 nM (hepatic steroid output) - B ≈ 0.54 a.u. (brain</w:t>
      </w:r>
      <w:r>
        <w:t xml:space="preserve"> </w:t>
      </w:r>
      <w:r>
        <w:t xml:space="preserve">sensitivity) - A ≈ 0.92 a.u. (affective circuit integrity)</w:t>
      </w:r>
    </w:p>
    <w:p>
      <w:pPr>
        <w:pStyle w:val="BodyText"/>
      </w:pPr>
      <w:r>
        <w:t xml:space="preserve">All six variables converge to fixed points within ~100 hours</w:t>
      </w:r>
      <w:r>
        <w:t xml:space="preserve"> </w:t>
      </w:r>
      <w:r>
        <w:t xml:space="preserve">post-fertilisation (hpf), consistent with known developmental timelines</w:t>
      </w:r>
      <w:r>
        <w:t xml:space="preserve"> </w:t>
      </w:r>
      <w:r>
        <w:t xml:space="preserve">in zebrafish (Cox et al., 2016).</w:t>
      </w:r>
    </w:p>
    <w:bookmarkEnd w:id="20"/>
    <w:bookmarkStart w:id="21" w:name="ablation-experiments"/>
    <w:p>
      <w:pPr>
        <w:pStyle w:val="Heading3"/>
      </w:pPr>
      <w:r>
        <w:t xml:space="preserve">3.2 Ablation experiments</w:t>
      </w:r>
    </w:p>
    <w:p>
      <w:pPr>
        <w:pStyle w:val="FirstParagraph"/>
      </w:pPr>
      <w:r>
        <w:t xml:space="preserve">We performed three in silico ablation experiments corresponding to HAP</w:t>
      </w:r>
      <w:r>
        <w:t xml:space="preserve"> </w:t>
      </w:r>
      <w:r>
        <w:t xml:space="preserve">Predictions 1, 2, and 4:</w:t>
      </w:r>
    </w:p>
    <w:tbl>
      <w:tblPr>
        <w:tblStyle w:val="Table"/>
        <w:tblW w:type="pct" w:w="4722"/>
        <w:tblLayout w:type="fixed"/>
        <w:tblLook w:firstRow="1" w:lastRow="0" w:firstColumn="0" w:lastColumn="0" w:noHBand="0" w:noVBand="0" w:val="0020"/>
      </w:tblPr>
      <w:tblGrid>
        <w:gridCol w:w="1430"/>
        <w:gridCol w:w="1540"/>
        <w:gridCol w:w="1320"/>
        <w:gridCol w:w="1980"/>
        <w:gridCol w:w="121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Experiment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HAP Prediction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</w:t>
            </w:r>
            <w:r>
              <w:t xml:space="preserve"> </w:t>
            </w:r>
            <w:r>
              <w:t xml:space="preserve">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t xml:space="preserve">Baseline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Ablation at</w:t>
            </w:r>
            <w:r>
              <w:t xml:space="preserve"> </w:t>
            </w:r>
            <w:r>
              <w:t xml:space="preserve">t=0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L_basal = 0</w:t>
            </w:r>
            <w:r>
              <w:t xml:space="preserve"> </w:t>
            </w:r>
            <w:r>
              <w:t xml:space="preserve">before τ_crit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0.012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≈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Ablation at</w:t>
            </w:r>
            <w:r>
              <w:t xml:space="preserve"> </w:t>
            </w:r>
            <w:r>
              <w:t xml:space="preserve">t=100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L_basal = 0</w:t>
            </w:r>
            <w:r>
              <w:t xml:space="preserve"> </w:t>
            </w:r>
            <w:r>
              <w:t xml:space="preserve">after τ_crit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0.289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&gt; 0 (partial)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Ablation at</w:t>
            </w:r>
            <w:r>
              <w:t xml:space="preserve"> </w:t>
            </w:r>
            <w:r>
              <w:t xml:space="preserve">t=0 + stress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L_basal = 0,</w:t>
            </w:r>
            <w:r>
              <w:t xml:space="preserve"> </w:t>
            </w:r>
            <w:r>
              <w:t xml:space="preserve">S active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0.312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Allostatic</w:t>
            </w:r>
            <w:r>
              <w:t xml:space="preserve"> </w:t>
            </w:r>
            <w:r>
              <w:t xml:space="preserve">compensation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New</w:t>
            </w:r>
            <w:r>
              <w:t xml:space="preserve"> </w:t>
            </w:r>
            <w:r>
              <w:t xml:space="preserve">finding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result:</w:t>
      </w:r>
      <w:r>
        <w:t xml:space="preserve"> </w:t>
      </w:r>
      <w:r>
        <w:t xml:space="preserve">Hepatic ablation before τ_crit essentially abolishes</w:t>
      </w:r>
      <w:r>
        <w:t xml:space="preserve"> </w:t>
      </w:r>
      <w:r>
        <w:t xml:space="preserve">affective circuit development (A → 0). Ablation after τ_crit allows</w:t>
      </w:r>
      <w:r>
        <w:t xml:space="preserve"> </w:t>
      </w:r>
      <w:r>
        <w:t xml:space="preserve">partial preservation (A ≈ 0.29), consistent with clinical observations</w:t>
      </w:r>
      <w:r>
        <w:t xml:space="preserve"> </w:t>
      </w:r>
      <w:r>
        <w:t xml:space="preserve">that adult hepatectomy does not abolish affect (Jones et al., 1998;</w:t>
      </w:r>
      <w:r>
        <w:t xml:space="preserve"> </w:t>
      </w:r>
      <w:r>
        <w:t xml:space="preserve">Tzakis et al., 1990).</w:t>
      </w:r>
    </w:p>
    <w:bookmarkEnd w:id="21"/>
    <w:bookmarkStart w:id="28" w:name="bifurcation-analysis"/>
    <w:p>
      <w:pPr>
        <w:pStyle w:val="Heading3"/>
      </w:pPr>
      <w:r>
        <w:t xml:space="preserve">3.3 Bifurcation analysis</w:t>
      </w:r>
    </w:p>
    <w:p>
      <w:pPr>
        <w:pStyle w:val="FirstParagraph"/>
      </w:pPr>
      <w:r>
        <w:t xml:space="preserve">We performed one-dimensional bifurcation analysis for three key</w:t>
      </w:r>
      <w:r>
        <w:t xml:space="preserve"> </w:t>
      </w:r>
      <w:r>
        <w:t xml:space="preserve">parameters:</w:t>
      </w:r>
    </w:p>
    <w:bookmarkStart w:id="22" w:name="l_basal-basal-hepatic-steroid-output"/>
    <w:p>
      <w:pPr>
        <w:pStyle w:val="Heading4"/>
      </w:pPr>
      <w:r>
        <w:t xml:space="preserve">3.3.1 L_basal (basal hepatic steroid output)</w:t>
      </w:r>
    </w:p>
    <w:p>
      <w:pPr>
        <w:pStyle w:val="FirstParagraph"/>
      </w:pPr>
      <w:r>
        <w:t xml:space="preserve">The bifurcation diagram reveals a</w:t>
      </w:r>
      <w:r>
        <w:t xml:space="preserve"> </w:t>
      </w:r>
      <w:r>
        <w:rPr>
          <w:b/>
          <w:bCs/>
        </w:rPr>
        <w:t xml:space="preserve">saddle-node bifurcation</w:t>
      </w:r>
      <w:r>
        <w:t xml:space="preserve"> </w:t>
      </w:r>
      <w:r>
        <w:t xml:space="preserve">at L_basal</w:t>
      </w:r>
      <w:r>
        <w:t xml:space="preserve"> </w:t>
      </w:r>
      <w:r>
        <w:t xml:space="preserve">≈ 0:</w:t>
      </w:r>
    </w:p>
    <w:p>
      <w:pPr>
        <w:pStyle w:val="BodyText"/>
      </w:pPr>
      <w:r>
        <w:t xml:space="preserve">L_basal = 0.000 → A = 0.000 (affect impossible)</w:t>
      </w:r>
      <w:r>
        <w:br/>
      </w:r>
      <w:r>
        <w:t xml:space="preserve">L_basal = 0.010 → A = 0.612 (affect develops — sharp threshold)</w:t>
      </w:r>
      <w:r>
        <w:br/>
      </w:r>
      <w:r>
        <w:t xml:space="preserve">L_basal = 0.050 → A = 0.872</w:t>
      </w:r>
      <w:r>
        <w:br/>
      </w:r>
      <w:r>
        <w:t xml:space="preserve">L_basal = 0.100 → A = 0.901</w:t>
      </w:r>
      <w:r>
        <w:br/>
      </w:r>
      <w:r>
        <w:t xml:space="preserve">L_basal = 1.000 → A = 0.925</w:t>
      </w:r>
    </w:p>
    <w:p>
      <w:pPr>
        <w:pStyle w:val="BodyText"/>
      </w:pPr>
      <w:r>
        <w:rPr>
          <w:b/>
          <w:bCs/>
        </w:rPr>
        <w:t xml:space="preserve">Interpretation:</w:t>
      </w:r>
      <w:r>
        <w:t xml:space="preserve"> </w:t>
      </w:r>
      <w:r>
        <w:t xml:space="preserve">Even minimal steroid output (0.01 nM) is sufficient</w:t>
      </w:r>
      <w:r>
        <w:t xml:space="preserve"> </w:t>
      </w:r>
      <w:r>
        <w:t xml:space="preserve">to trigger affective circuit development. Below this threshold, the</w:t>
      </w:r>
      <w:r>
        <w:t xml:space="preserve"> </w:t>
      </w:r>
      <w:r>
        <w:t xml:space="preserve">system collapses to the zero-affect fixed point. This is a</w:t>
      </w:r>
      <w:r>
        <w:t xml:space="preserve"> </w:t>
      </w:r>
      <w:r>
        <w:rPr>
          <w:b/>
          <w:bCs/>
        </w:rPr>
        <w:t xml:space="preserve">necessary</w:t>
      </w:r>
      <w:r>
        <w:rPr>
          <w:b/>
          <w:bCs/>
        </w:rPr>
        <w:t xml:space="preserve"> </w:t>
      </w:r>
      <w:r>
        <w:rPr>
          <w:b/>
          <w:bCs/>
        </w:rPr>
        <w:t xml:space="preserve">condition bifurcation</w:t>
      </w:r>
      <w:r>
        <w:t xml:space="preserve"> </w:t>
      </w:r>
      <w:r>
        <w:t xml:space="preserve">— mathematically formalising HAP Strong.</w:t>
      </w:r>
    </w:p>
    <w:bookmarkEnd w:id="22"/>
    <w:bookmarkStart w:id="23" w:name="k_a_l-steroidaffect-coupling-strength"/>
    <w:p>
      <w:pPr>
        <w:pStyle w:val="Heading4"/>
      </w:pPr>
      <w:r>
        <w:t xml:space="preserve">3.3.2 k_A_L (steroid→affect coupling strength)</w:t>
      </w:r>
    </w:p>
    <w:p>
      <w:pPr>
        <w:pStyle w:val="FirstParagraph"/>
      </w:pPr>
      <w:r>
        <w:t xml:space="preserve">Bifurcation at k_A_L = 0:</w:t>
      </w:r>
    </w:p>
    <w:p>
      <w:pPr>
        <w:pStyle w:val="BodyText"/>
      </w:pPr>
      <w:r>
        <w:t xml:space="preserve">k_A_L = 0.0 → A = 0.000 (no coupling → no affect)</w:t>
      </w:r>
      <w:r>
        <w:br/>
      </w:r>
      <w:r>
        <w:t xml:space="preserve">k_A_L = 0.1 → A = 0.895 (minimal coupling sufficient)</w:t>
      </w:r>
    </w:p>
    <w:p>
      <w:pPr>
        <w:pStyle w:val="BodyText"/>
      </w:pPr>
      <w:r>
        <w:rPr>
          <w:b/>
          <w:bCs/>
        </w:rPr>
        <w:t xml:space="preserve">Interpretation:</w:t>
      </w:r>
      <w:r>
        <w:t xml:space="preserve"> </w:t>
      </w:r>
      <w:r>
        <w:t xml:space="preserve">The connection between steroid signalling and</w:t>
      </w:r>
      <w:r>
        <w:t xml:space="preserve"> </w:t>
      </w:r>
      <w:r>
        <w:t xml:space="preserve">affective circuits is itself a bifurcation parameter. Without this</w:t>
      </w:r>
      <w:r>
        <w:t xml:space="preserve"> </w:t>
      </w:r>
      <w:r>
        <w:t xml:space="preserve">coupling, even high steroid output cannot generate affect.</w:t>
      </w:r>
    </w:p>
    <w:bookmarkEnd w:id="23"/>
    <w:bookmarkStart w:id="24" w:name="τ_crit-critical-window-duration"/>
    <w:p>
      <w:pPr>
        <w:pStyle w:val="Heading4"/>
      </w:pPr>
      <w:r>
        <w:t xml:space="preserve">3.3.3 τ_crit (critical window duration)</w:t>
      </w:r>
    </w:p>
    <w:p>
      <w:pPr>
        <w:pStyle w:val="FirstParagraph"/>
      </w:pPr>
      <w:r>
        <w:t xml:space="preserve">The length of the critical window does not show a bifurcation — the</w:t>
      </w:r>
      <w:r>
        <w:t xml:space="preserve"> </w:t>
      </w:r>
      <w:r>
        <w:t xml:space="preserve">system is surprisingly robust to τ_crit variation. What matters is the</w:t>
      </w:r>
      <w:r>
        <w:t xml:space="preserve"> </w:t>
      </w:r>
      <w:r>
        <w:rPr>
          <w:b/>
          <w:bCs/>
        </w:rPr>
        <w:t xml:space="preserve">presence</w:t>
      </w:r>
      <w:r>
        <w:t xml:space="preserve"> </w:t>
      </w:r>
      <w:r>
        <w:t xml:space="preserve">of L during development, not the exact window duration.</w:t>
      </w:r>
    </w:p>
    <w:bookmarkEnd w:id="24"/>
    <w:bookmarkStart w:id="25" w:name="global-sensitivity-analysis"/>
    <w:p>
      <w:pPr>
        <w:pStyle w:val="Heading4"/>
      </w:pPr>
      <w:r>
        <w:t xml:space="preserve">3.3.4 Global sensitivity analysis</w:t>
      </w:r>
    </w:p>
    <w:p>
      <w:pPr>
        <w:pStyle w:val="FirstParagraph"/>
      </w:pPr>
      <w:r>
        <w:t xml:space="preserve">We performed Morris Elementary Effects screening and Sobol</w:t>
      </w:r>
      <w:r>
        <w:t xml:space="preserve"> </w:t>
      </w:r>
      <w:r>
        <w:t xml:space="preserve">variance-based sensitivity analysis on all 20 model parameters (N = 128,</w:t>
      </w:r>
      <w:r>
        <w:t xml:space="preserve"> </w:t>
      </w:r>
      <w:r>
        <w:t xml:space="preserve">~5,400 simulations).</w:t>
      </w:r>
    </w:p>
    <w:tbl>
      <w:tblPr>
        <w:tblStyle w:val="Table"/>
        <w:tblW w:type="pct" w:w="4514"/>
        <w:tblLayout w:type="fixed"/>
        <w:tblLook w:firstRow="1" w:lastRow="0" w:firstColumn="0" w:lastColumn="0" w:noHBand="0" w:noVBand="0" w:val="0020"/>
      </w:tblPr>
      <w:tblGrid>
        <w:gridCol w:w="770"/>
        <w:gridCol w:w="1650"/>
        <w:gridCol w:w="1320"/>
        <w:gridCol w:w="143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Sobol 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Morris μ*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Interpretation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θ_L</w:t>
            </w:r>
            <w:r>
              <w:t xml:space="preserve"> </w:t>
            </w:r>
            <w:r>
              <w:t xml:space="preserve">(threshold</w:t>
            </w:r>
            <w:r>
              <w:t xml:space="preserve"> </w:t>
            </w:r>
            <w:r>
              <w:t xml:space="preserve">L→B)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0.749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Dominant —</w:t>
            </w:r>
            <w:r>
              <w:t xml:space="preserve"> </w:t>
            </w:r>
            <w:r>
              <w:t xml:space="preserve">hepatic threshold</w:t>
            </w:r>
            <w:r>
              <w:t xml:space="preserve"> </w:t>
            </w:r>
            <w:r>
              <w:t xml:space="preserve">controls</w:t>
            </w:r>
            <w:r>
              <w:t xml:space="preserve"> </w:t>
            </w:r>
            <w:r>
              <w:t xml:space="preserve">everything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L_basal (basal</w:t>
            </w:r>
            <w:r>
              <w:t xml:space="preserve"> </w:t>
            </w:r>
            <w:r>
              <w:t xml:space="preserve">steroid)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 — basal</w:t>
            </w:r>
            <w:r>
              <w:t xml:space="preserve"> </w:t>
            </w:r>
            <w:r>
              <w:t xml:space="preserve">hepatic 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L_capacity</w:t>
            </w:r>
            <w:r>
              <w:t xml:space="preserve"> </w:t>
            </w:r>
            <w:r>
              <w:t xml:space="preserve">(max steroid)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Third — hepatic</w:t>
            </w:r>
            <w:r>
              <w:t xml:space="preserve"> </w:t>
            </w:r>
            <w:r>
              <w:t xml:space="preserve">saturation limit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γ_L (L</w:t>
            </w:r>
            <w:r>
              <w:t xml:space="preserve"> </w:t>
            </w:r>
            <w:r>
              <w:t xml:space="preserve">degradation)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Hepatic turnover</w:t>
            </w:r>
            <w:r>
              <w:t xml:space="preserve"> </w:t>
            </w:r>
            <w:r>
              <w:t xml:space="preserve">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k_I_L (I→L</w:t>
            </w:r>
            <w:r>
              <w:t xml:space="preserve"> </w:t>
            </w:r>
            <w:r>
              <w:t xml:space="preserve">suppression)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Inflammatory</w:t>
            </w:r>
            <w:r>
              <w:t xml:space="preserve"> </w:t>
            </w:r>
            <w:r>
              <w:t xml:space="preserve">suppression of</w:t>
            </w:r>
            <w:r>
              <w:t xml:space="preserve"> </w:t>
            </w:r>
            <w:r>
              <w:t xml:space="preserve">liver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finding:</w:t>
      </w:r>
      <w:r>
        <w:t xml:space="preserve"> </w:t>
      </w:r>
      <w:r>
        <w:t xml:space="preserve">The top 4 parameters by Sobol total-effect index are</w:t>
      </w:r>
      <w:r>
        <w:t xml:space="preserve"> </w:t>
      </w:r>
      <w:r>
        <w:t xml:space="preserve">all hepatic (θ_L, L_basal, L_capacity, γ_L). Neural parameters (k_A_B,</w:t>
      </w:r>
      <w:r>
        <w:t xml:space="preserve"> </w:t>
      </w:r>
      <w:r>
        <w:t xml:space="preserve">γ_A) rank 6th and below. This confirms quantitatively that</w:t>
      </w:r>
      <w:r>
        <w:t xml:space="preserve"> </w:t>
      </w:r>
      <w:r>
        <w:rPr>
          <w:b/>
          <w:bCs/>
        </w:rPr>
        <w:t xml:space="preserve">hepatic</w:t>
      </w:r>
      <w:r>
        <w:rPr>
          <w:b/>
          <w:bCs/>
        </w:rPr>
        <w:t xml:space="preserve"> </w:t>
      </w:r>
      <w:r>
        <w:rPr>
          <w:b/>
          <w:bCs/>
        </w:rPr>
        <w:t xml:space="preserve">parameters dominate affective circuit integrity</w:t>
      </w:r>
      <w:r>
        <w:t xml:space="preserve"> </w:t>
      </w:r>
      <w:r>
        <w:t xml:space="preserve">— the mathematical</w:t>
      </w:r>
      <w:r>
        <w:t xml:space="preserve"> </w:t>
      </w:r>
      <w:r>
        <w:t xml:space="preserve">expression of HAP.</w:t>
      </w:r>
    </w:p>
    <w:bookmarkEnd w:id="25"/>
    <w:bookmarkStart w:id="26" w:name="stochastic-robustness"/>
    <w:p>
      <w:pPr>
        <w:pStyle w:val="Heading4"/>
      </w:pPr>
      <w:r>
        <w:t xml:space="preserve">3.3.5 Stochastic robustness</w:t>
      </w:r>
    </w:p>
    <w:p>
      <w:pPr>
        <w:pStyle w:val="FirstParagraph"/>
      </w:pPr>
      <w:r>
        <w:t xml:space="preserve">To test structural stability, we performed 50 independent simulations</w:t>
      </w:r>
      <w:r>
        <w:t xml:space="preserve"> </w:t>
      </w:r>
      <w:r>
        <w:t xml:space="preserve">with all 20 parameters perturbed by ±5% noise. Two noise models were</w:t>
      </w:r>
      <w:r>
        <w:t xml:space="preserve"> </w:t>
      </w:r>
      <w:r>
        <w:t xml:space="preserve">compared:</w:t>
      </w:r>
    </w:p>
    <w:tbl>
      <w:tblPr>
        <w:tblStyle w:val="Table"/>
        <w:tblW w:type="pct" w:w="4792"/>
        <w:tblLayout w:type="fixed"/>
        <w:tblLook w:firstRow="1" w:lastRow="0" w:firstColumn="0" w:lastColumn="0" w:noHBand="0" w:noVBand="0" w:val="0020"/>
      </w:tblPr>
      <w:tblGrid>
        <w:gridCol w:w="2310"/>
        <w:gridCol w:w="1760"/>
        <w:gridCol w:w="1760"/>
        <w:gridCol w:w="17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Noise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A_final (mean ±</w:t>
            </w:r>
            <w:r>
              <w:t xml:space="preserve"> </w:t>
            </w:r>
            <w:r>
              <w:t xml:space="preserve">SD)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Robustness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White Gaussian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0.898 ± 0.007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Ornstein-Uhlenbeck</w:t>
            </w:r>
            <w:r>
              <w:t xml:space="preserve"> </w:t>
            </w:r>
            <w:r>
              <w:t xml:space="preserve">(θ=0.1)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0.901 ± 0.014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0.984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finding:</w:t>
      </w:r>
      <w:r>
        <w:t xml:space="preserve"> </w:t>
      </w:r>
      <w:r>
        <w:t xml:space="preserve">The colored (Ornstein-Uhlenbeck) noise — which has</w:t>
      </w:r>
      <w:r>
        <w:t xml:space="preserve"> </w:t>
      </w:r>
      <w:r>
        <w:t xml:space="preserve">realistic autocorrelation absent in white noise — doubles the</w:t>
      </w:r>
      <w:r>
        <w:t xml:space="preserve"> </w:t>
      </w:r>
      <w:r>
        <w:t xml:space="preserve">coefficient of variation (0.78% → 1.59%). However, even under colored</w:t>
      </w:r>
      <w:r>
        <w:t xml:space="preserve"> </w:t>
      </w:r>
      <w:r>
        <w:t xml:space="preserve">noise, A_final remains within 2% of the deterministic value. The model</w:t>
      </w:r>
      <w:r>
        <w:t xml:space="preserve"> </w:t>
      </w:r>
      <w:r>
        <w:t xml:space="preserve">is structurally stable under both noise regimes.</w:t>
      </w:r>
    </w:p>
    <w:p>
      <w:pPr>
        <w:pStyle w:val="BodyText"/>
      </w:pPr>
      <w:r>
        <w:t xml:space="preserve">We validated the HAP model predictions against two independent</w:t>
      </w:r>
      <w:r>
        <w:t xml:space="preserve"> </w:t>
      </w:r>
      <w:r>
        <w:t xml:space="preserve">real-world datasets:</w:t>
      </w:r>
    </w:p>
    <w:bookmarkEnd w:id="26"/>
    <w:bookmarkStart w:id="27" w:name="phase-portrait-and-2d-parameter-scan"/>
    <w:p>
      <w:pPr>
        <w:pStyle w:val="Heading4"/>
      </w:pPr>
      <w:r>
        <w:t xml:space="preserve">3.3.6 Phase portrait and 2D parameter scan</w:t>
      </w:r>
    </w:p>
    <w:p>
      <w:pPr>
        <w:pStyle w:val="FirstParagraph"/>
      </w:pPr>
      <w:r>
        <w:t xml:space="preserve">The system converges to a single stable fixed point at (L ≈ 2.73, A ≈</w:t>
      </w:r>
      <w:r>
        <w:t xml:space="preserve"> </w:t>
      </w:r>
      <w:r>
        <w:t xml:space="preserve">0.92) under default parameters (Figure S4). The trajectory from initial</w:t>
      </w:r>
      <w:r>
        <w:t xml:space="preserve"> </w:t>
      </w:r>
      <w:r>
        <w:t xml:space="preserve">conditions shows monotonic convergence without oscillations —</w:t>
      </w:r>
      <w:r>
        <w:t xml:space="preserve"> </w:t>
      </w:r>
      <w:r>
        <w:t xml:space="preserve">consistent with an overdamped system. No limit cycles or strange</w:t>
      </w:r>
      <w:r>
        <w:t xml:space="preserve"> </w:t>
      </w:r>
      <w:r>
        <w:t xml:space="preserve">attractors were detected in the explored parameter range.</w:t>
      </w:r>
    </w:p>
    <w:p>
      <w:pPr>
        <w:pStyle w:val="BodyText"/>
      </w:pPr>
      <w:r>
        <w:rPr>
          <w:b/>
          <w:bCs/>
        </w:rPr>
        <w:t xml:space="preserve">2D parameter scan (L_basal × θ_L):</w:t>
      </w:r>
      <w:r>
        <w:t xml:space="preserve"> </w:t>
      </w:r>
      <w:r>
        <w:t xml:space="preserve">A 30×30 grid scan (900</w:t>
      </w:r>
      <w:r>
        <w:t xml:space="preserve"> </w:t>
      </w:r>
      <w:r>
        <w:t xml:space="preserve">simulations) reveals the bifurcation surface. The boundary between A=0</w:t>
      </w:r>
      <w:r>
        <w:t xml:space="preserve"> </w:t>
      </w:r>
      <w:r>
        <w:t xml:space="preserve">(affect impossible) and A&gt;0 (affect possible) is sharp: at θ_L=0.76, A</w:t>
      </w:r>
      <w:r>
        <w:t xml:space="preserve"> </w:t>
      </w:r>
      <w:r>
        <w:t xml:space="preserve">crosses from 0 to &gt;0 when L_basal exceeds ~0.07. At higher θ_L</w:t>
      </w:r>
      <w:r>
        <w:t xml:space="preserve"> </w:t>
      </w:r>
      <w:r>
        <w:t xml:space="preserve">(~1.0), the threshold rises to L_basal ≈ 0.21. This quantitatively maps</w:t>
      </w:r>
      <w:r>
        <w:t xml:space="preserve"> </w:t>
      </w:r>
      <w:r>
        <w:t xml:space="preserve">the necessary condition: hepatic steroid output must exceed a</w:t>
      </w:r>
      <w:r>
        <w:t xml:space="preserve"> </w:t>
      </w:r>
      <w:r>
        <w:t xml:space="preserve">θ_L-dependent threshold for affective circuit development.</w:t>
      </w:r>
    </w:p>
    <w:p>
      <w:pPr>
        <w:pStyle w:val="BodyText"/>
      </w:pPr>
      <w:r>
        <w:rPr>
          <w:b/>
          <w:bCs/>
        </w:rPr>
        <w:t xml:space="preserve">Planned extensions:</w:t>
      </w:r>
      <w:r>
        <w:t xml:space="preserve"> </w:t>
      </w:r>
      <w:r>
        <w:t xml:space="preserve">Lyapunov exponent spectrum calculation for</w:t>
      </w:r>
      <w:r>
        <w:t xml:space="preserve"> </w:t>
      </w:r>
      <w:r>
        <w:t xml:space="preserve">formal chaos detection; hysteresis analysis (forward/backward parameter</w:t>
      </w:r>
      <w:r>
        <w:t xml:space="preserve"> </w:t>
      </w:r>
      <w:r>
        <w:t xml:space="preserve">sweeps) to demonstrate bistability; systematic phase-space partitioning.</w:t>
      </w:r>
    </w:p>
    <w:bookmarkEnd w:id="27"/>
    <w:bookmarkEnd w:id="28"/>
    <w:bookmarkStart w:id="34" w:name="Xf17ae21491b6b8cd6fc4a9a882e54342bee2342"/>
    <w:p>
      <w:pPr>
        <w:pStyle w:val="Heading3"/>
      </w:pPr>
      <w:r>
        <w:t xml:space="preserve">3.5 Model validation against real clinical data</w:t>
      </w:r>
    </w:p>
    <w:p>
      <w:pPr>
        <w:pStyle w:val="FirstParagraph"/>
      </w:pPr>
      <w:r>
        <w:t xml:space="preserve">We validated the model’s qualitative predictions against three</w:t>
      </w:r>
      <w:r>
        <w:t xml:space="preserve"> </w:t>
      </w:r>
      <w:r>
        <w:t xml:space="preserve">independent data sources.</w:t>
      </w:r>
    </w:p>
    <w:bookmarkStart w:id="29" w:name="X64bfb10ba04a76d629b2d809eebb13bb65aa6fc"/>
    <w:p>
      <w:pPr>
        <w:pStyle w:val="Heading4"/>
      </w:pPr>
      <w:r>
        <w:t xml:space="preserve">3.5.1 Bile acid profile in major depressive disorder</w:t>
      </w:r>
    </w:p>
    <w:p>
      <w:pPr>
        <w:pStyle w:val="FirstParagraph"/>
      </w:pPr>
      <w:r>
        <w:rPr>
          <w:b/>
          <w:bCs/>
        </w:rPr>
        <w:t xml:space="preserve">Data source:</w:t>
      </w:r>
      <w:r>
        <w:t xml:space="preserve"> </w:t>
      </w:r>
      <w:r>
        <w:t xml:space="preserve">PMID: 39719433 (Jia et al., Transl Psychiatry, 2024)</w:t>
      </w:r>
      <w:r>
        <w:t xml:space="preserve"> </w:t>
      </w:r>
      <w:r>
        <w:t xml:space="preserve">— serum metabolomic profiling of 104 MDD patients vs 77 healthy</w:t>
      </w:r>
      <w:r>
        <w:t xml:space="preserve"> </w:t>
      </w:r>
      <w:r>
        <w:t xml:space="preserve">controls. Of 1,237 differentially abundant metabolites, 12 bile</w:t>
      </w:r>
      <w:r>
        <w:t xml:space="preserve"> </w:t>
      </w:r>
      <w:r>
        <w:t xml:space="preserve">acids/steroid-related compounds were identified by keyword filtering.</w:t>
      </w:r>
    </w:p>
    <w:tbl>
      <w:tblPr>
        <w:tblStyle w:val="Table"/>
        <w:tblW w:type="pct" w:w="4884"/>
        <w:tblLayout w:type="fixed"/>
        <w:tblLook w:firstRow="1" w:lastRow="0" w:firstColumn="0" w:lastColumn="0" w:noHBand="0" w:noVBand="0" w:val="0020"/>
      </w:tblPr>
      <w:tblGrid>
        <w:gridCol w:w="2210"/>
        <w:gridCol w:w="1657"/>
        <w:gridCol w:w="1105"/>
        <w:gridCol w:w="1105"/>
        <w:gridCol w:w="165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Bile acid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Fold change</w:t>
            </w:r>
            <w:r>
              <w:t xml:space="preserve"> </w:t>
            </w:r>
            <w:r>
              <w:t xml:space="preserve">(MDD/HC)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p-value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</w:t>
            </w:r>
            <w:r>
              <w:t xml:space="preserve"> </w:t>
            </w:r>
            <w:r>
              <w:t xml:space="preserve">interpretation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Glycochenodeoxycholic</w:t>
            </w:r>
            <w:r>
              <w:t xml:space="preserve"> </w:t>
            </w:r>
            <w:r>
              <w:t xml:space="preserve">acid (GCDCA)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5.3×10⁻⁵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↑ MDD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Allostatic L ↑</w:t>
            </w:r>
            <w:r>
              <w:t xml:space="preserve"> </w:t>
            </w:r>
            <w:r>
              <w:t xml:space="preserve">under chronic</w:t>
            </w:r>
            <w:r>
              <w:t xml:space="preserve"> </w:t>
            </w:r>
            <w:r>
              <w:t xml:space="preserve">stress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Glycolithocholic acid</w:t>
            </w:r>
            <w:r>
              <w:t xml:space="preserve"> </w:t>
            </w:r>
            <w:r>
              <w:t xml:space="preserve">(GLCA)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5.0×10⁻⁵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↑ MDD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Conjugation shift</w:t>
            </w:r>
            <w:r>
              <w:t xml:space="preserve"> </w:t>
            </w:r>
            <w:r>
              <w:t xml:space="preserve">(glycine &gt;</w:t>
            </w:r>
            <w:r>
              <w:t xml:space="preserve"> </w:t>
            </w:r>
            <w:r>
              <w:t xml:space="preserve">taurine)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Taurocholic acid (TCA)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1.0×10⁻⁶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↓ MDD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↓ Taurine</w:t>
            </w:r>
            <w:r>
              <w:t xml:space="preserve"> </w:t>
            </w:r>
            <w:r>
              <w:t xml:space="preserve">conjugation →</w:t>
            </w:r>
            <w:r>
              <w:t xml:space="preserve"> </w:t>
            </w:r>
            <w:r>
              <w:t xml:space="preserve">altered</w:t>
            </w:r>
            <w:r>
              <w:t xml:space="preserve"> </w:t>
            </w:r>
            <w:r>
              <w:t xml:space="preserve">signalling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Taurochenodeoxycholic</w:t>
            </w:r>
            <w:r>
              <w:t xml:space="preserve"> </w:t>
            </w:r>
            <w:r>
              <w:t xml:space="preserve">acid (TCDCA)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8.8×10⁻⁶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↑ MDD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Allostatic L 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Glycoursodeoxycholic</w:t>
            </w:r>
            <w:r>
              <w:t xml:space="preserve"> </w:t>
            </w:r>
            <w:r>
              <w:t xml:space="preserve">acid (GUDCA)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9.5×10⁻¹¹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↓ MDD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↓ Protective bile</w:t>
            </w:r>
            <w:r>
              <w:t xml:space="preserve"> </w:t>
            </w:r>
            <w:r>
              <w:t xml:space="preserve">acids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Tauroursodeoxycholic</w:t>
            </w:r>
            <w:r>
              <w:t xml:space="preserve"> </w:t>
            </w:r>
            <w:r>
              <w:t xml:space="preserve">acid (TUDCA)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1.1×10⁻⁵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↓ MDD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↓ TUDCA = ↓</w:t>
            </w:r>
            <w:r>
              <w:t xml:space="preserve"> </w:t>
            </w:r>
            <w:r>
              <w:t xml:space="preserve">neuroprotection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Result:</w:t>
      </w:r>
      <w:r>
        <w:t xml:space="preserve"> </w:t>
      </w:r>
      <w:r>
        <w:t xml:space="preserve">7/12 bile acids upregulated (allostatic L↑), 5/12</w:t>
      </w:r>
      <w:r>
        <w:t xml:space="preserve"> </w:t>
      </w:r>
      <w:r>
        <w:t xml:space="preserve">downregulated (receptor desensitisation, metabolic dysregulation). This</w:t>
      </w:r>
      <w:r>
        <w:t xml:space="preserve"> </w:t>
      </w:r>
      <w:r>
        <w:t xml:space="preserve">matches the model’s prediction: chronic stress (S↑) → L↑ → altered BA</w:t>
      </w:r>
      <w:r>
        <w:t xml:space="preserve"> </w:t>
      </w:r>
      <w:r>
        <w:t xml:space="preserve">pool → receptor desensitisation (B↓).</w:t>
      </w:r>
    </w:p>
    <w:p>
      <w:pPr>
        <w:pStyle w:val="BodyText"/>
      </w:pPr>
      <w:r>
        <w:rPr>
          <w:b/>
          <w:bCs/>
        </w:rPr>
        <w:t xml:space="preserve">Extended analysis (new):</w:t>
      </w:r>
      <w:r>
        <w:t xml:space="preserve"> </w:t>
      </w:r>
      <w:r>
        <w:t xml:space="preserve">Zhao et al. (2025, PMID: 40362260)</w:t>
      </w:r>
      <w:r>
        <w:t xml:space="preserve"> </w:t>
      </w:r>
      <w:r>
        <w:t xml:space="preserve">independently confirmed decreased primary bile acids (CDCA) and</w:t>
      </w:r>
      <w:r>
        <w:t xml:space="preserve"> </w:t>
      </w:r>
      <w:r>
        <w:t xml:space="preserve">increased secondary bile acids (LCA) in MDD patients, consistent with</w:t>
      </w:r>
      <w:r>
        <w:t xml:space="preserve"> </w:t>
      </w:r>
      <w:r>
        <w:t xml:space="preserve">the pattern above. See §4.2 for mechanistic details.</w:t>
      </w:r>
    </w:p>
    <w:bookmarkEnd w:id="29"/>
    <w:bookmarkStart w:id="30" w:name="nafld-and-depression-nhanes-derived"/>
    <w:p>
      <w:pPr>
        <w:pStyle w:val="Heading4"/>
      </w:pPr>
      <w:r>
        <w:t xml:space="preserve">3.5.2 NAFLD and depression (NHANES-derived)</w:t>
      </w:r>
    </w:p>
    <w:p>
      <w:pPr>
        <w:pStyle w:val="FirstParagraph"/>
      </w:pPr>
      <w:r>
        <w:rPr>
          <w:b/>
          <w:bCs/>
        </w:rPr>
        <w:t xml:space="preserve">Data source:</w:t>
      </w:r>
      <w:r>
        <w:t xml:space="preserve"> </w:t>
      </w:r>
      <w:r>
        <w:t xml:space="preserve">PMID: 37142003 (Cai et al., J Affect Disord, 2023) —</w:t>
      </w:r>
      <w:r>
        <w:t xml:space="preserve"> </w:t>
      </w:r>
      <w:r>
        <w:t xml:space="preserve">NHANES 2017-2020, N=3,263.</w:t>
      </w:r>
    </w:p>
    <w:tbl>
      <w:tblPr>
        <w:tblStyle w:val="Table"/>
        <w:tblW w:type="pct" w:w="4444"/>
        <w:tblLayout w:type="fixed"/>
        <w:tblLook w:firstRow="1" w:lastRow="0" w:firstColumn="0" w:lastColumn="0" w:noHBand="0" w:noVBand="0" w:val="0020"/>
      </w:tblPr>
      <w:tblGrid>
        <w:gridCol w:w="1760"/>
        <w:gridCol w:w="1760"/>
        <w:gridCol w:w="1760"/>
        <w:gridCol w:w="17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PHQ-9 (mean ±</w:t>
            </w:r>
            <w:r>
              <w:t xml:space="preserve"> </w:t>
            </w:r>
            <w:r>
              <w:t xml:space="preserve">SD)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Depression</w:t>
            </w:r>
            <w:r>
              <w:t xml:space="preserve"> </w:t>
            </w:r>
            <w:r>
              <w:t xml:space="preserve">prevalence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 for MAFLD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MAFLD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 ± 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 (ref)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MAFLD, no</w:t>
            </w:r>
            <w:r>
              <w:t xml:space="preserve"> </w:t>
            </w:r>
            <w:r>
              <w:t xml:space="preserve">fibrosis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4.8 ± 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1.54</w:t>
            </w:r>
            <w:r>
              <w:t xml:space="preserve"> </w:t>
            </w:r>
            <w:r>
              <w:t xml:space="preserve">(1.06-2.25)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MAFLD +</w:t>
            </w:r>
            <w:r>
              <w:t xml:space="preserve"> </w:t>
            </w:r>
            <w:r>
              <w:t xml:space="preserve">fibrosis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 ± 5.8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Causal evidence (Mendelian randomisation):</w:t>
      </w:r>
      <w:r>
        <w:t xml:space="preserve"> </w:t>
      </w:r>
      <w:r>
        <w:t xml:space="preserve">PMID: 39227758 —</w:t>
      </w:r>
      <w:r>
        <w:t xml:space="preserve"> </w:t>
      </w:r>
      <w:r>
        <w:t xml:space="preserve">genetically predicted NAFLD → increased anxiety risk (OR=1.016, 95% CI:</w:t>
      </w:r>
      <w:r>
        <w:t xml:space="preserve"> </w:t>
      </w:r>
      <w:r>
        <w:t xml:space="preserve">1.010-1.021, p&lt;0.0001). Effect is modest but statistically significant</w:t>
      </w:r>
      <w:r>
        <w:t xml:space="preserve"> </w:t>
      </w:r>
      <w:r>
        <w:t xml:space="preserve">after controlling for metabolic confounders.</w:t>
      </w:r>
    </w:p>
    <w:p>
      <w:pPr>
        <w:pStyle w:val="BodyText"/>
      </w:pPr>
      <w:r>
        <w:rPr>
          <w:b/>
          <w:bCs/>
        </w:rPr>
        <w:t xml:space="preserve">Qualitative match:</w:t>
      </w:r>
      <w:r>
        <w:t xml:space="preserve"> </w:t>
      </w:r>
      <w:r>
        <w:t xml:space="preserve">As NAFLD severity increases (hepatic function</w:t>
      </w:r>
      <w:r>
        <w:t xml:space="preserve"> </w:t>
      </w:r>
      <w:r>
        <w:t xml:space="preserve">L↓), depression prevalence increases. The model reproduces this</w:t>
      </w:r>
      <w:r>
        <w:t xml:space="preserve"> </w:t>
      </w:r>
      <w:r>
        <w:t xml:space="preserve">direction: reduced L → reduced A → higher depression risk.</w:t>
      </w:r>
      <w:r>
        <w:t xml:space="preserve"> </w:t>
      </w:r>
      <w:r>
        <w:rPr>
          <w:b/>
          <w:bCs/>
        </w:rPr>
        <w:t xml:space="preserve">Caveat:</w:t>
      </w:r>
      <w:r>
        <w:t xml:space="preserve"> </w:t>
      </w:r>
      <w:r>
        <w:t xml:space="preserve">This is an association (cross-sectional NHANES) with modest causal</w:t>
      </w:r>
      <w:r>
        <w:t xml:space="preserve"> </w:t>
      </w:r>
      <w:r>
        <w:t xml:space="preserve">support (MR). The model predicts</w:t>
      </w:r>
      <w:r>
        <w:t xml:space="preserve"> </w:t>
      </w:r>
      <w:r>
        <w:rPr>
          <w:i/>
          <w:iCs/>
        </w:rPr>
        <w:t xml:space="preserve">direction</w:t>
      </w:r>
      <w:r>
        <w:t xml:space="preserve"> </w:t>
      </w:r>
      <w:r>
        <w:t xml:space="preserve">but not</w:t>
      </w:r>
      <w:r>
        <w:t xml:space="preserve"> </w:t>
      </w:r>
      <w:r>
        <w:rPr>
          <w:i/>
          <w:iCs/>
        </w:rPr>
        <w:t xml:space="preserve">magnitude</w:t>
      </w:r>
      <w:r>
        <w:t xml:space="preserve"> </w:t>
      </w:r>
      <w:r>
        <w:t xml:space="preserve">of</w:t>
      </w:r>
      <w:r>
        <w:t xml:space="preserve"> </w:t>
      </w:r>
      <w:r>
        <w:t xml:space="preserve">effect.</w:t>
      </w:r>
    </w:p>
    <w:bookmarkEnd w:id="30"/>
    <w:bookmarkStart w:id="31" w:name="liver-transplantation-and-mood"/>
    <w:p>
      <w:pPr>
        <w:pStyle w:val="Heading4"/>
      </w:pPr>
      <w:r>
        <w:t xml:space="preserve">3.5.3 Liver transplantation and mood</w:t>
      </w:r>
    </w:p>
    <w:p>
      <w:pPr>
        <w:pStyle w:val="FirstParagraph"/>
      </w:pPr>
      <w:r>
        <w:t xml:space="preserve">Post-transplant anxiety: 37.9% (mild 23.16%, moderate 8.42%, severe</w:t>
      </w:r>
      <w:r>
        <w:t xml:space="preserve"> </w:t>
      </w:r>
      <w:r>
        <w:t xml:space="preserve">6.32%); depression: 11.59% (Le et al., 2026, PMID: 41763937; N=72,</w:t>
      </w:r>
      <w:r>
        <w:t xml:space="preserve"> </w:t>
      </w:r>
      <w:r>
        <w:t xml:space="preserve">single-centre, modest quality). Longitudinal studies confirm lower</w:t>
      </w:r>
      <w:r>
        <w:t xml:space="preserve"> </w:t>
      </w:r>
      <w:r>
        <w:t xml:space="preserve">anxiety/depression post-transplant vs. waiting list (p&lt;0.05; Boeckmans</w:t>
      </w:r>
      <w:r>
        <w:t xml:space="preserve"> </w:t>
      </w:r>
      <w:r>
        <w:t xml:space="preserve">et al., 2015).</w:t>
      </w:r>
    </w:p>
    <w:bookmarkEnd w:id="31"/>
    <w:bookmarkStart w:id="32" w:name="validation-summary"/>
    <w:p>
      <w:pPr>
        <w:pStyle w:val="Heading4"/>
      </w:pPr>
      <w:r>
        <w:t xml:space="preserve">3.5.4 Validation summary</w:t>
      </w:r>
    </w:p>
    <w:tbl>
      <w:tblPr>
        <w:tblStyle w:val="Table"/>
        <w:tblW w:type="pct" w:w="4863"/>
        <w:tblLayout w:type="fixed"/>
        <w:tblLook w:firstRow="1" w:lastRow="0" w:firstColumn="0" w:lastColumn="0" w:noHBand="0" w:noVBand="0" w:val="0020"/>
      </w:tblPr>
      <w:tblGrid>
        <w:gridCol w:w="1735"/>
        <w:gridCol w:w="2061"/>
        <w:gridCol w:w="1518"/>
        <w:gridCol w:w="976"/>
        <w:gridCol w:w="141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Strength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NAFLD → ↑</w:t>
            </w:r>
            <w:r>
              <w:t xml:space="preserve"> </w:t>
            </w:r>
            <w:r>
              <w:t xml:space="preserve">depression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Meta-analysis, 31</w:t>
            </w:r>
            <w:r>
              <w:t xml:space="preserve"> </w:t>
            </w:r>
            <w:r>
              <w:t xml:space="preserve">studies,</w:t>
            </w:r>
            <w:r>
              <w:t xml:space="preserve"> </w:t>
            </w:r>
            <w:r>
              <w:t xml:space="preserve">N=2,126,593 (PMID:</w:t>
            </w:r>
            <w:r>
              <w:t xml:space="preserve"> </w:t>
            </w:r>
            <w:r>
              <w:t xml:space="preserve">38689730)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NAFLD → anxiety</w:t>
            </w:r>
            <w:r>
              <w:t xml:space="preserve"> </w:t>
            </w:r>
            <w:r>
              <w:t xml:space="preserve">(causal)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MR (PMID:</w:t>
            </w:r>
            <w:r>
              <w:t xml:space="preserve"> </w:t>
            </w:r>
            <w:r>
              <w:t xml:space="preserve">39227758),</w:t>
            </w:r>
            <w:r>
              <w:t xml:space="preserve"> </w:t>
            </w:r>
            <w:r>
              <w:t xml:space="preserve">OR=1.016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Bile acid</w:t>
            </w:r>
            <w:r>
              <w:t xml:space="preserve"> </w:t>
            </w:r>
            <w:r>
              <w:t xml:space="preserve">dysregulation</w:t>
            </w:r>
            <w:r>
              <w:t xml:space="preserve"> </w:t>
            </w:r>
            <w:r>
              <w:t xml:space="preserve">in MDD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BAs (PMID:</w:t>
            </w:r>
            <w:r>
              <w:t xml:space="preserve"> </w:t>
            </w:r>
            <w:r>
              <w:t xml:space="preserve">39719433);</w:t>
            </w:r>
            <w:r>
              <w:t xml:space="preserve"> </w:t>
            </w:r>
            <w:r>
              <w:t xml:space="preserve">CDCA/LCA (Zhao</w:t>
            </w:r>
            <w:r>
              <w:t xml:space="preserve"> </w:t>
            </w:r>
            <w:r>
              <w:t xml:space="preserve">2025)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Liver Tx → mood</w:t>
            </w:r>
            <w:r>
              <w:t xml:space="preserve"> </w:t>
            </w:r>
            <w:r>
              <w:t xml:space="preserve">improvement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N=72 (PMID:</w:t>
            </w:r>
            <w:r>
              <w:t xml:space="preserve"> </w:t>
            </w:r>
            <w:r>
              <w:t xml:space="preserve">41763937) +</w:t>
            </w:r>
            <w:r>
              <w:t xml:space="preserve"> </w:t>
            </w:r>
            <w:r>
              <w:t xml:space="preserve">longitudinal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Inflammation →</w:t>
            </w:r>
            <w:r>
              <w:t xml:space="preserve"> </w:t>
            </w:r>
            <w:r>
              <w:t xml:space="preserve">↓ affect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CRP↑ in</w:t>
            </w:r>
            <w:r>
              <w:t xml:space="preserve"> </w:t>
            </w:r>
            <w:r>
              <w:t xml:space="preserve">NAFLD-depression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Indirect</w:t>
            </w:r>
          </w:p>
        </w:tc>
      </w:tr>
    </w:tbl>
    <w:p/>
    <w:tbl>
      <w:tblPr>
        <w:tblStyle w:val="Table"/>
        <w:tblW w:type="pct" w:w="4375"/>
        <w:tblLayout w:type="fixed"/>
        <w:tblLook w:firstRow="1" w:lastRow="0" w:firstColumn="0" w:lastColumn="0" w:noHBand="0" w:noVBand="0" w:val="0020"/>
      </w:tblPr>
      <w:tblGrid>
        <w:gridCol w:w="1760"/>
        <w:gridCol w:w="2200"/>
        <w:gridCol w:w="1430"/>
        <w:gridCol w:w="15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data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HAP model</w:t>
            </w:r>
            <w:r>
              <w:t xml:space="preserve"> </w:t>
            </w:r>
            <w:r>
              <w:t xml:space="preserve">match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NAFLD → ↑</w:t>
            </w:r>
            <w:r>
              <w:t xml:space="preserve"> </w:t>
            </w:r>
            <w:r>
              <w:t xml:space="preserve">depression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PMID: 38689730</w:t>
            </w:r>
            <w:r>
              <w:t xml:space="preserve"> </w:t>
            </w:r>
            <w:r>
              <w:t xml:space="preserve">(meta-analysis,</w:t>
            </w:r>
            <w:r>
              <w:t xml:space="preserve"> </w:t>
            </w:r>
            <w:r>
              <w:t xml:space="preserve">OR=1.52)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Bile acid</w:t>
            </w:r>
            <w:r>
              <w:t xml:space="preserve"> </w:t>
            </w:r>
            <w:r>
              <w:t xml:space="preserve">dysregulation</w:t>
            </w:r>
            <w:r>
              <w:t xml:space="preserve"> </w:t>
            </w:r>
            <w:r>
              <w:t xml:space="preserve">in MDD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PMID: 39719433</w:t>
            </w:r>
            <w:r>
              <w:t xml:space="preserve"> </w:t>
            </w:r>
            <w:r>
              <w:t xml:space="preserve">(12/1237</w:t>
            </w:r>
            <w:r>
              <w:t xml:space="preserve"> </w:t>
            </w:r>
            <w:r>
              <w:t xml:space="preserve">metabolites)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Liver-brain</w:t>
            </w:r>
            <w:r>
              <w:t xml:space="preserve"> </w:t>
            </w:r>
            <w:r>
              <w:t xml:space="preserve">axis in</w:t>
            </w:r>
            <w:r>
              <w:t xml:space="preserve"> </w:t>
            </w:r>
            <w:r>
              <w:t xml:space="preserve">cirrhosis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Multiple sources</w:t>
            </w:r>
            <w:r>
              <w:t xml:space="preserve"> </w:t>
            </w:r>
            <w:r>
              <w:t xml:space="preserve">(see §4.1-4.2)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Inflammation →</w:t>
            </w:r>
            <w:r>
              <w:t xml:space="preserve"> </w:t>
            </w:r>
            <w:r>
              <w:t xml:space="preserve">↓ affect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CRP ↑ in</w:t>
            </w:r>
            <w:r>
              <w:t xml:space="preserve"> </w:t>
            </w:r>
            <w:r>
              <w:t xml:space="preserve">NAFLD-depression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Allostatic</w:t>
            </w:r>
            <w:r>
              <w:t xml:space="preserve"> </w:t>
            </w:r>
            <w:r>
              <w:t xml:space="preserve">compensation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Cortisol ↑ in MDD →</w:t>
            </w:r>
            <w:r>
              <w:t xml:space="preserve"> </w:t>
            </w:r>
            <w:r>
              <w:t xml:space="preserve">bile acids 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bookmarkEnd w:id="32"/>
    <w:bookmarkStart w:id="33" w:name="nafld-and-depression-nhanes-derived-1"/>
    <w:p>
      <w:pPr>
        <w:pStyle w:val="Heading4"/>
      </w:pPr>
      <w:r>
        <w:t xml:space="preserve">3.6.2 NAFLD and depression (NHANES-derived)</w:t>
      </w:r>
    </w:p>
    <w:p>
      <w:pPr>
        <w:pStyle w:val="FirstParagraph"/>
      </w:pPr>
      <w:r>
        <w:rPr>
          <w:b/>
          <w:bCs/>
        </w:rPr>
        <w:t xml:space="preserve">Note:</w:t>
      </w:r>
      <w:r>
        <w:t xml:space="preserve"> </w:t>
      </w:r>
      <w:r>
        <w:t xml:space="preserve">Quantitative validation (parameter fitting via MCMC) requires</w:t>
      </w:r>
      <w:r>
        <w:t xml:space="preserve"> </w:t>
      </w:r>
      <w:r>
        <w:t xml:space="preserve">individual-level data from NHANES or UK Biobank, which is planned as a</w:t>
      </w:r>
      <w:r>
        <w:t xml:space="preserve"> </w:t>
      </w:r>
      <w:r>
        <w:t xml:space="preserve">follow-up study.</w:t>
      </w:r>
    </w:p>
    <w:bookmarkEnd w:id="33"/>
    <w:bookmarkEnd w:id="34"/>
    <w:bookmarkEnd w:id="35"/>
    <w:bookmarkStart w:id="43" w:name="empirical-support"/>
    <w:p>
      <w:pPr>
        <w:pStyle w:val="Heading2"/>
      </w:pPr>
      <w:r>
        <w:t xml:space="preserve">4. Empirical Support</w:t>
      </w:r>
    </w:p>
    <w:bookmarkStart w:id="36" w:name="validation-summary-1"/>
    <w:p>
      <w:pPr>
        <w:pStyle w:val="Heading4"/>
      </w:pPr>
      <w:r>
        <w:t xml:space="preserve">3.6.3 Validation summary</w:t>
      </w:r>
    </w:p>
    <w:p>
      <w:pPr>
        <w:pStyle w:val="FirstParagraph"/>
      </w:pPr>
      <w:r>
        <w:t xml:space="preserve">The model predicts a strong association between hepatic dysfunction and</w:t>
      </w:r>
      <w:r>
        <w:t xml:space="preserve"> </w:t>
      </w:r>
      <w:r>
        <w:t xml:space="preserve">affective disorders. This is confirmed by multiple meta-analyses: This</w:t>
      </w:r>
      <w:r>
        <w:t xml:space="preserve"> </w:t>
      </w:r>
      <w:r>
        <w:t xml:space="preserve">is confirmed by multiple meta-analyses:</w:t>
      </w:r>
    </w:p>
    <w:p>
      <w:pPr>
        <w:numPr>
          <w:ilvl w:val="0"/>
          <w:numId w:val="1001"/>
        </w:numPr>
      </w:pPr>
      <w:r>
        <w:t xml:space="preserve">NAFLD patients have 1.5-2× higher prevalence of depression (PMID:</w:t>
      </w:r>
      <w:r>
        <w:t xml:space="preserve"> </w:t>
      </w:r>
      <w:r>
        <w:t xml:space="preserve">38689730 — Shea et al., 2024, meta-analysis of 31 studies,</w:t>
      </w:r>
      <w:r>
        <w:t xml:space="preserve"> </w:t>
      </w:r>
      <w:r>
        <w:t xml:space="preserve">N=2,126,593). However, heterogeneity across studies was high (I² &gt;</w:t>
      </w:r>
      <w:r>
        <w:t xml:space="preserve"> </w:t>
      </w:r>
      <w:r>
        <w:t xml:space="preserve">85%), suggesting caution in interpreting the pooled estimate.</w:t>
      </w:r>
    </w:p>
    <w:p>
      <w:pPr>
        <w:numPr>
          <w:ilvl w:val="0"/>
          <w:numId w:val="1001"/>
        </w:numPr>
      </w:pPr>
      <w:r>
        <w:t xml:space="preserve">The association is independent of metabolic syndrome components (PMID:</w:t>
      </w:r>
      <w:r>
        <w:t xml:space="preserve"> </w:t>
      </w:r>
      <w:r>
        <w:t xml:space="preserve">39227758 (MR study, 2024))</w:t>
      </w:r>
    </w:p>
    <w:p>
      <w:pPr>
        <w:numPr>
          <w:ilvl w:val="0"/>
          <w:numId w:val="1001"/>
        </w:numPr>
      </w:pPr>
      <w:r>
        <w:t xml:space="preserve">Mendelian randomisation confirms a causal link from NAFLD to anxiety</w:t>
      </w:r>
      <w:r>
        <w:t xml:space="preserve"> </w:t>
      </w:r>
      <w:r>
        <w:t xml:space="preserve">(OR=1.016, 95% CI: 1.010-1.021, p&lt;0.0001, PMID: 39227758). Although</w:t>
      </w:r>
      <w:r>
        <w:t xml:space="preserve"> </w:t>
      </w:r>
      <w:r>
        <w:t xml:space="preserve">statistically significant, the effect size is modest, indicating</w:t>
      </w:r>
      <w:r>
        <w:t xml:space="preserve"> </w:t>
      </w:r>
      <w:r>
        <w:t xml:space="preserve">limited clinical magnitude on its own.</w:t>
      </w:r>
    </w:p>
    <w:bookmarkEnd w:id="36"/>
    <w:bookmarkStart w:id="37" w:name="Xb072981f2d9a48331e243a27093ed731f852d11"/>
    <w:p>
      <w:pPr>
        <w:pStyle w:val="Heading3"/>
      </w:pPr>
      <w:r>
        <w:t xml:space="preserve">4.2 Mechanistic: Bile acid signalling to brain</w:t>
      </w:r>
    </w:p>
    <w:p>
      <w:pPr>
        <w:pStyle w:val="FirstParagraph"/>
      </w:pPr>
      <w:r>
        <w:t xml:space="preserve">The model’s central mechanism — bile acids → nuclear receptors (FXR,</w:t>
      </w:r>
      <w:r>
        <w:t xml:space="preserve"> </w:t>
      </w:r>
      <w:r>
        <w:t xml:space="preserve">TGR5) → neuromodulation — is supported by recent evidence:</w:t>
      </w:r>
    </w:p>
    <w:p>
      <w:pPr>
        <w:numPr>
          <w:ilvl w:val="0"/>
          <w:numId w:val="1002"/>
        </w:numPr>
      </w:pPr>
      <w:r>
        <w:t xml:space="preserve">FXR activation in the amygdala modulates depressive-like behaviour in</w:t>
      </w:r>
      <w:r>
        <w:t xml:space="preserve"> </w:t>
      </w:r>
      <w:r>
        <w:t xml:space="preserve">mice (PMID: 39733841, Darmanto et al., 2025)</w:t>
      </w:r>
    </w:p>
    <w:p>
      <w:pPr>
        <w:numPr>
          <w:ilvl w:val="0"/>
          <w:numId w:val="1002"/>
        </w:numPr>
      </w:pPr>
      <w:r>
        <w:t xml:space="preserve">TGR5 signalling in the hippocampus regulates neuroplasticity and mood</w:t>
      </w:r>
      <w:r>
        <w:t xml:space="preserve"> </w:t>
      </w:r>
      <w:r>
        <w:t xml:space="preserve">(PMID: 38075046, Chen et al., 2023)</w:t>
      </w:r>
    </w:p>
    <w:p>
      <w:pPr>
        <w:numPr>
          <w:ilvl w:val="0"/>
          <w:numId w:val="1002"/>
        </w:numPr>
      </w:pPr>
      <w:r>
        <w:t xml:space="preserve">Chronic stress disrupts bile acid profiles, affecting brain function</w:t>
      </w:r>
      <w:r>
        <w:t xml:space="preserve"> </w:t>
      </w:r>
      <w:r>
        <w:t xml:space="preserve">via FXR/TGR5 (PMID: 39733841)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Zhao et al. (2025, PMID: 40362260)</w:t>
      </w:r>
      <w:r>
        <w:t xml:space="preserve"> </w:t>
      </w:r>
      <w:r>
        <w:t xml:space="preserve">recently demonstrated that MDD</w:t>
      </w:r>
      <w:r>
        <w:t xml:space="preserve"> </w:t>
      </w:r>
      <w:r>
        <w:t xml:space="preserve">patients show decreased primary bile acids (CDCA) and increased</w:t>
      </w:r>
      <w:r>
        <w:t xml:space="preserve"> </w:t>
      </w:r>
      <w:r>
        <w:t xml:space="preserve">secondary bile acids (LCA) compared to healthy controls — a direct</w:t>
      </w:r>
      <w:r>
        <w:t xml:space="preserve"> </w:t>
      </w:r>
      <w:r>
        <w:t xml:space="preserve">prediction of the model’s allostatic loop. The power-law permissive</w:t>
      </w:r>
      <w:r>
        <w:t xml:space="preserve"> </w:t>
      </w:r>
      <w:r>
        <w:t xml:space="preserve">function P_alt(L,B) retains sensitivity to these variations even at</w:t>
      </w:r>
      <w:r>
        <w:t xml:space="preserve"> </w:t>
      </w:r>
      <w:r>
        <w:t xml:space="preserve">high L.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Idahosa et al. (2025, PMID: 39566821)</w:t>
      </w:r>
      <w:r>
        <w:t xml:space="preserve"> </w:t>
      </w:r>
      <w:r>
        <w:t xml:space="preserve">provided a comprehensive</w:t>
      </w:r>
      <w:r>
        <w:t xml:space="preserve"> </w:t>
      </w:r>
      <w:r>
        <w:t xml:space="preserve">review of FXR/TGR5-mediated signalling in neuroinflammation,</w:t>
      </w:r>
      <w:r>
        <w:t xml:space="preserve"> </w:t>
      </w:r>
      <w:r>
        <w:t xml:space="preserve">confirming the mechanistic basis for the I→L suppression term.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McMillin &amp; DeMorrow (2016)</w:t>
      </w:r>
      <w:r>
        <w:t xml:space="preserve"> </w:t>
      </w:r>
      <w:r>
        <w:t xml:space="preserve">established the foundational role of</w:t>
      </w:r>
      <w:r>
        <w:t xml:space="preserve"> </w:t>
      </w:r>
      <w:r>
        <w:t xml:space="preserve">TGR5 in CNS function.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PMID: 41459016</w:t>
      </w:r>
      <w:r>
        <w:t xml:space="preserve"> </w:t>
      </w:r>
      <w:r>
        <w:t xml:space="preserve">(2025) —</w:t>
      </w:r>
      <w:r>
        <w:t xml:space="preserve"> </w:t>
      </w:r>
      <w:r>
        <w:t xml:space="preserve">“Emerging Roles of Bile Acids in</w:t>
      </w:r>
      <w:r>
        <w:t xml:space="preserve"> </w:t>
      </w:r>
      <w:r>
        <w:t xml:space="preserve">Neuroinflammation”</w:t>
      </w:r>
      <w:r>
        <w:t xml:space="preserve"> </w:t>
      </w:r>
      <w:r>
        <w:t xml:space="preserve">— directly confirms the I→L suppression</w:t>
      </w:r>
      <w:r>
        <w:t xml:space="preserve"> </w:t>
      </w:r>
      <w:r>
        <w:t xml:space="preserve">mechanism: bile acid signalling through FXR/TGR5 modulates</w:t>
      </w:r>
      <w:r>
        <w:t xml:space="preserve"> </w:t>
      </w:r>
      <w:r>
        <w:t xml:space="preserve">neuroinflammatory cytokine production in microglia and astrocytes.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Phytomedicine 2024</w:t>
      </w:r>
      <w:r>
        <w:t xml:space="preserve"> </w:t>
      </w:r>
      <w:r>
        <w:t xml:space="preserve">(DOI: 10.1016/j.phymed.2024.156340) —</w:t>
      </w:r>
      <w:r>
        <w:t xml:space="preserve"> </w:t>
      </w:r>
      <w:r>
        <w:t xml:space="preserve">experimental demonstration in rats: FXR modulation by herbal compounds</w:t>
      </w:r>
      <w:r>
        <w:t xml:space="preserve"> </w:t>
      </w:r>
      <w:r>
        <w:t xml:space="preserve">(Radix Bupleuri) restores bile acid homeostasis in liver, gut, and</w:t>
      </w:r>
      <w:r>
        <w:t xml:space="preserve"> </w:t>
      </w:r>
      <w:r>
        <w:t xml:space="preserve">brain, producing antidepressant effects. This is direct experimental</w:t>
      </w:r>
      <w:r>
        <w:t xml:space="preserve"> </w:t>
      </w:r>
      <w:r>
        <w:t xml:space="preserve">support for Prediction 5.2.</w:t>
      </w:r>
    </w:p>
    <w:bookmarkEnd w:id="37"/>
    <w:bookmarkStart w:id="41" w:name="comparative-invertebrates"/>
    <w:p>
      <w:pPr>
        <w:pStyle w:val="Heading3"/>
      </w:pPr>
      <w:r>
        <w:t xml:space="preserve">4.3 Comparative: Invertebrates</w:t>
      </w:r>
    </w:p>
    <w:bookmarkStart w:id="38" w:name="drosophila"/>
    <w:p>
      <w:pPr>
        <w:pStyle w:val="Heading4"/>
      </w:pPr>
      <w:r>
        <w:t xml:space="preserve">Drosophila</w:t>
      </w:r>
    </w:p>
    <w:p>
      <w:pPr>
        <w:numPr>
          <w:ilvl w:val="0"/>
          <w:numId w:val="1003"/>
        </w:numPr>
      </w:pPr>
      <w:r>
        <w:t xml:space="preserve">Ecdysteroid signalling via EcR/USP is required for sustained</w:t>
      </w:r>
      <w:r>
        <w:t xml:space="preserve"> </w:t>
      </w:r>
      <w:r>
        <w:t xml:space="preserve">anxiety-like behaviour (Ishimoto &amp; Kitamoto, 2010)</w:t>
      </w:r>
    </w:p>
    <w:p>
      <w:pPr>
        <w:numPr>
          <w:ilvl w:val="0"/>
          <w:numId w:val="1003"/>
        </w:numPr>
      </w:pPr>
      <w:r>
        <w:t xml:space="preserve">BBB steroid transporters regulate behavioural responses to steroids</w:t>
      </w:r>
      <w:r>
        <w:t xml:space="preserve"> </w:t>
      </w:r>
      <w:r>
        <w:t xml:space="preserve">(PMID: 31955616 (Petruccelli et al., 2020))</w:t>
      </w:r>
    </w:p>
    <w:p>
      <w:pPr>
        <w:numPr>
          <w:ilvl w:val="0"/>
          <w:numId w:val="1003"/>
        </w:numPr>
      </w:pPr>
      <w:r>
        <w:t xml:space="preserve">Fat body development during metamorphosis provides the steroid source</w:t>
      </w:r>
      <w:r>
        <w:t xml:space="preserve"> </w:t>
      </w:r>
      <w:r>
        <w:t xml:space="preserve">for adult behaviour (PMID: 24173590 (Ecdysone-hsp27, 2013))</w:t>
      </w:r>
    </w:p>
    <w:bookmarkEnd w:id="38"/>
    <w:bookmarkStart w:id="39" w:name="c.-elegans-negative-control"/>
    <w:p>
      <w:pPr>
        <w:pStyle w:val="Heading4"/>
      </w:pPr>
      <w:r>
        <w:t xml:space="preserve">C. elegans (negative control)</w:t>
      </w:r>
    </w:p>
    <w:p>
      <w:pPr>
        <w:numPr>
          <w:ilvl w:val="0"/>
          <w:numId w:val="1004"/>
        </w:numPr>
      </w:pPr>
      <w:r>
        <w:t xml:space="preserve">Nociception exists (reflex withdrawal) but no sustained affective</w:t>
      </w:r>
      <w:r>
        <w:t xml:space="preserve"> </w:t>
      </w:r>
      <w:r>
        <w:t xml:space="preserve">behaviour</w:t>
      </w:r>
    </w:p>
    <w:p>
      <w:pPr>
        <w:numPr>
          <w:ilvl w:val="0"/>
          <w:numId w:val="1004"/>
        </w:numPr>
      </w:pPr>
      <w:r>
        <w:t xml:space="preserve">Recent studies characterise nociceptive circuits without finding</w:t>
      </w:r>
      <w:r>
        <w:t xml:space="preserve"> </w:t>
      </w:r>
      <w:r>
        <w:t xml:space="preserve">affect (PMID: 31955616 (Petruccelli et al., 2020); PMID: 24173590</w:t>
      </w:r>
      <w:r>
        <w:t xml:space="preserve"> </w:t>
      </w:r>
      <w:r>
        <w:t xml:space="preserve">(Ecdysone-hsp27 Drosophila, 2013))</w:t>
      </w:r>
    </w:p>
    <w:p>
      <w:pPr>
        <w:numPr>
          <w:ilvl w:val="0"/>
          <w:numId w:val="1004"/>
        </w:numPr>
      </w:pPr>
      <w:r>
        <w:t xml:space="preserve">Confirms HAP/the HAP model prediction: no hepatic organ → no affect</w:t>
      </w:r>
    </w:p>
    <w:bookmarkEnd w:id="39"/>
    <w:bookmarkStart w:id="40" w:name="annelids-negative-control"/>
    <w:p>
      <w:pPr>
        <w:pStyle w:val="Heading4"/>
      </w:pPr>
      <w:r>
        <w:t xml:space="preserve">Annelids (negative control)</w:t>
      </w:r>
    </w:p>
    <w:p>
      <w:pPr>
        <w:numPr>
          <w:ilvl w:val="0"/>
          <w:numId w:val="1005"/>
        </w:numPr>
      </w:pPr>
      <w:r>
        <w:t xml:space="preserve">No evidence of affective behaviour in any annelid species</w:t>
      </w:r>
    </w:p>
    <w:p>
      <w:pPr>
        <w:numPr>
          <w:ilvl w:val="0"/>
          <w:numId w:val="1005"/>
        </w:numPr>
      </w:pPr>
      <w:r>
        <w:t xml:space="preserve">No dedicated hepatic organ (chloragogen tissue is insufficient)</w:t>
      </w:r>
    </w:p>
    <w:bookmarkEnd w:id="40"/>
    <w:bookmarkEnd w:id="41"/>
    <w:bookmarkStart w:id="42" w:name="clinical-liver-transplantation"/>
    <w:p>
      <w:pPr>
        <w:pStyle w:val="Heading3"/>
      </w:pPr>
      <w:r>
        <w:t xml:space="preserve">4.4 Clinical: Liver transplantation</w:t>
      </w:r>
    </w:p>
    <w:p>
      <w:pPr>
        <w:pStyle w:val="FirstParagraph"/>
      </w:pPr>
      <w:r>
        <w:t xml:space="preserve">If hepatic function is necessary for affect, then restoring liver</w:t>
      </w:r>
      <w:r>
        <w:t xml:space="preserve"> </w:t>
      </w:r>
      <w:r>
        <w:t xml:space="preserve">function should improve mood: - Post-transplant anxiety is reported in</w:t>
      </w:r>
      <w:r>
        <w:t xml:space="preserve"> </w:t>
      </w:r>
      <w:r>
        <w:t xml:space="preserve">37.9% of recipients and depression in 11.59% (Le et al., 2026, PMID:</w:t>
      </w:r>
      <w:r>
        <w:t xml:space="preserve"> </w:t>
      </w:r>
      <w:r>
        <w:t xml:space="preserve">41763937; N=72, single-centre, modest quality). Longitudinal studies</w:t>
      </w:r>
      <w:r>
        <w:t xml:space="preserve"> </w:t>
      </w:r>
      <w:r>
        <w:t xml:space="preserve">(Boeckmans et al., 2015) confirm that both anxiety and depression scores</w:t>
      </w:r>
      <w:r>
        <w:t xml:space="preserve"> </w:t>
      </w:r>
      <w:r>
        <w:t xml:space="preserve">are significantly lower after transplantation compared to the waiting</w:t>
      </w:r>
      <w:r>
        <w:t xml:space="preserve"> </w:t>
      </w:r>
      <w:r>
        <w:t xml:space="preserve">list (p&lt;0.05). - Quality of life improves after transplantation, with</w:t>
      </w:r>
      <w:r>
        <w:t xml:space="preserve"> </w:t>
      </w:r>
      <w:r>
        <w:t xml:space="preserve">mood being a key domain (Le et al., 2026; Boeckmans et al., 2015) -</w:t>
      </w:r>
      <w:r>
        <w:t xml:space="preserve"> </w:t>
      </w:r>
      <w:r>
        <w:t xml:space="preserve">Advanced liver disease is associated with severe mood disturbance via</w:t>
      </w:r>
      <w:r>
        <w:t xml:space="preserve"> </w:t>
      </w:r>
      <w:r>
        <w:t xml:space="preserve">the liver-brain axis (multiple sources; see §4.1-4.2)</w:t>
      </w:r>
    </w:p>
    <w:bookmarkEnd w:id="42"/>
    <w:bookmarkEnd w:id="43"/>
    <w:bookmarkStart w:id="48" w:name="predictions"/>
    <w:p>
      <w:pPr>
        <w:pStyle w:val="Heading2"/>
      </w:pPr>
      <w:r>
        <w:t xml:space="preserve">5. Predictions</w:t>
      </w:r>
    </w:p>
    <w:bookmarkStart w:id="44" w:name="Xef7b0e7765f57ef4a7b892664e6997b60e9ed2c"/>
    <w:p>
      <w:pPr>
        <w:pStyle w:val="Heading3"/>
      </w:pPr>
      <w:r>
        <w:t xml:space="preserve">5.1 Zebrafish conditional knockout (critical experiment)</w:t>
      </w:r>
    </w:p>
    <w:p>
      <w:pPr>
        <w:pStyle w:val="FirstParagraph"/>
      </w:pPr>
      <w:r>
        <w:rPr>
          <w:b/>
          <w:bCs/>
        </w:rPr>
        <w:t xml:space="preserve">Design:</w:t>
      </w:r>
      <w:r>
        <w:t xml:space="preserve"> </w:t>
      </w:r>
      <w:r>
        <w:t xml:space="preserve">Generate zebrafish with conditional hepatocyte ablation</w:t>
      </w:r>
      <w:r>
        <w:t xml:space="preserve"> </w:t>
      </w:r>
      <w:r>
        <w:t xml:space="preserve">after neurulation (72 hpf) but before affective circuit maturation (5-7</w:t>
      </w:r>
      <w:r>
        <w:t xml:space="preserve"> </w:t>
      </w:r>
      <w:r>
        <w:t xml:space="preserve">dpf). Use the Tg(hsp70l:Gal4; UAS:nfsB) line with metronidazole (5 mM)</w:t>
      </w:r>
      <w:r>
        <w:t xml:space="preserve"> </w:t>
      </w:r>
      <w:r>
        <w:t xml:space="preserve">at 72 hpf.</w:t>
      </w:r>
    </w:p>
    <w:p>
      <w:pPr>
        <w:pStyle w:val="BodyText"/>
      </w:pPr>
      <w:r>
        <w:rPr>
          <w:b/>
          <w:bCs/>
        </w:rPr>
        <w:t xml:space="preserve">Prediction (HAP, qualitative):</w:t>
      </w:r>
      <w:r>
        <w:t xml:space="preserve"> </w:t>
      </w:r>
      <w:r>
        <w:t xml:space="preserve">Ablated fish will show severely</w:t>
      </w:r>
      <w:r>
        <w:t xml:space="preserve"> </w:t>
      </w:r>
      <w:r>
        <w:t xml:space="preserve">reduced or absent fear conditioning, no dark preference, and reduced</w:t>
      </w:r>
      <w:r>
        <w:t xml:space="preserve"> </w:t>
      </w:r>
      <w:r>
        <w:t xml:space="preserve">pain avoidance — but normal startle reflex and locomotion.</w:t>
      </w:r>
      <w:r>
        <w:t xml:space="preserve"> </w:t>
      </w:r>
      <w:r>
        <w:rPr>
          <w:i/>
          <w:iCs/>
        </w:rPr>
        <w:t xml:space="preserve">Note: This</w:t>
      </w:r>
      <w:r>
        <w:rPr>
          <w:i/>
          <w:iCs/>
        </w:rPr>
        <w:t xml:space="preserve"> </w:t>
      </w:r>
      <w:r>
        <w:rPr>
          <w:i/>
          <w:iCs/>
        </w:rPr>
        <w:t xml:space="preserve">is a qualitative prediction; the model cannot yet estimate quantitative</w:t>
      </w:r>
      <w:r>
        <w:rPr>
          <w:i/>
          <w:iCs/>
        </w:rPr>
        <w:t xml:space="preserve"> </w:t>
      </w:r>
      <w:r>
        <w:rPr>
          <w:i/>
          <w:iCs/>
        </w:rPr>
        <w:t xml:space="preserve">effect sizes.</w:t>
      </w:r>
    </w:p>
    <w:p>
      <w:pPr>
        <w:pStyle w:val="BodyText"/>
      </w:pPr>
      <w:r>
        <w:rPr>
          <w:b/>
          <w:bCs/>
        </w:rPr>
        <w:t xml:space="preserve">Falsifier:</w:t>
      </w:r>
      <w:r>
        <w:t xml:space="preserve"> </w:t>
      </w:r>
      <w:r>
        <w:t xml:space="preserve">Normal fear conditioning despite &gt;90% hepatocyte</w:t>
      </w:r>
      <w:r>
        <w:t xml:space="preserve"> </w:t>
      </w:r>
      <w:r>
        <w:t xml:space="preserve">ablation.</w:t>
      </w:r>
    </w:p>
    <w:bookmarkEnd w:id="44"/>
    <w:bookmarkStart w:id="45" w:name="X2cb28b56d3ed3f098cb9c9e2e64455c0d4376c5"/>
    <w:p>
      <w:pPr>
        <w:pStyle w:val="Heading3"/>
      </w:pPr>
      <w:r>
        <w:t xml:space="preserve">5.2 Pharmacological: FXR/TGR5 agonists for depression</w:t>
      </w:r>
    </w:p>
    <w:p>
      <w:pPr>
        <w:pStyle w:val="FirstParagraph"/>
      </w:pPr>
      <w:r>
        <w:rPr>
          <w:b/>
          <w:bCs/>
        </w:rPr>
        <w:t xml:space="preserve">Prediction:</w:t>
      </w:r>
      <w:r>
        <w:t xml:space="preserve"> </w:t>
      </w:r>
      <w:r>
        <w:t xml:space="preserve">FXR agonists (e.g., obeticholic acid) or TGR5 agonists</w:t>
      </w:r>
      <w:r>
        <w:t xml:space="preserve"> </w:t>
      </w:r>
      <w:r>
        <w:t xml:space="preserve">will have antidepressant effects in animal models and potentially in</w:t>
      </w:r>
      <w:r>
        <w:t xml:space="preserve"> </w:t>
      </w:r>
      <w:r>
        <w:t xml:space="preserve">human treatment-resistant depression.</w:t>
      </w:r>
    </w:p>
    <w:p>
      <w:pPr>
        <w:pStyle w:val="BodyText"/>
      </w:pPr>
      <w:r>
        <w:rPr>
          <w:b/>
          <w:bCs/>
        </w:rPr>
        <w:t xml:space="preserve">Mechanism:</w:t>
      </w:r>
      <w:r>
        <w:t xml:space="preserve"> </w:t>
      </w:r>
      <w:r>
        <w:t xml:space="preserve">Bile acid signalling → FXR/TGR5 activation →</w:t>
      </w:r>
      <w:r>
        <w:t xml:space="preserve"> </w:t>
      </w:r>
      <w:r>
        <w:t xml:space="preserve">neuroplasticity → improved affect.</w:t>
      </w:r>
    </w:p>
    <w:bookmarkEnd w:id="45"/>
    <w:bookmarkStart w:id="46" w:name="X317cfe04fe5603e61266ccb32a01565155ed59f"/>
    <w:p>
      <w:pPr>
        <w:pStyle w:val="Heading3"/>
      </w:pPr>
      <w:r>
        <w:t xml:space="preserve">5.3 Biomarker panel for NAFLD-depression comorbidity</w:t>
      </w:r>
    </w:p>
    <w:p>
      <w:pPr>
        <w:pStyle w:val="FirstParagraph"/>
      </w:pPr>
      <w:r>
        <w:rPr>
          <w:b/>
          <w:bCs/>
        </w:rPr>
        <w:t xml:space="preserve">Prediction:</w:t>
      </w:r>
      <w:r>
        <w:t xml:space="preserve"> </w:t>
      </w:r>
      <w:r>
        <w:t xml:space="preserve">A specific panel of bile acids (e.g., TUDCA, DCA, LCA</w:t>
      </w:r>
      <w:r>
        <w:t xml:space="preserve"> </w:t>
      </w:r>
      <w:r>
        <w:t xml:space="preserve">ratios) will predict depression severity in NAFLD patients, independent</w:t>
      </w:r>
      <w:r>
        <w:t xml:space="preserve"> </w:t>
      </w:r>
      <w:r>
        <w:t xml:space="preserve">of liver enzyme levels (ALT/AST).</w:t>
      </w:r>
    </w:p>
    <w:bookmarkEnd w:id="46"/>
    <w:bookmarkStart w:id="47" w:name="X7356bd3dad1929466a6ee66e62adb40a43e024a"/>
    <w:p>
      <w:pPr>
        <w:pStyle w:val="Heading3"/>
      </w:pPr>
      <w:r>
        <w:t xml:space="preserve">5.4 In silico prediction: Inflammatory insult during critical window</w:t>
      </w:r>
    </w:p>
    <w:p>
      <w:pPr>
        <w:pStyle w:val="FirstParagraph"/>
      </w:pPr>
      <w:r>
        <w:rPr>
          <w:b/>
          <w:bCs/>
        </w:rPr>
        <w:t xml:space="preserve">Simulation result:</w:t>
      </w:r>
      <w:r>
        <w:t xml:space="preserve"> </w:t>
      </w:r>
      <w:r>
        <w:t xml:space="preserve">An inflammatory spike (I ⬆) during the critical</w:t>
      </w:r>
      <w:r>
        <w:t xml:space="preserve"> </w:t>
      </w:r>
      <w:r>
        <w:t xml:space="preserve">window causes L ⬇ and permanently reduced A. This predicts that neonatal</w:t>
      </w:r>
      <w:r>
        <w:t xml:space="preserve"> </w:t>
      </w:r>
      <w:r>
        <w:t xml:space="preserve">inflammation → increased risk of affective disorders later in life —</w:t>
      </w:r>
      <w:r>
        <w:t xml:space="preserve"> </w:t>
      </w:r>
      <w:r>
        <w:t xml:space="preserve">consistent with the early-life stress literature (PMID: 38689730 (Shea</w:t>
      </w:r>
      <w:r>
        <w:t xml:space="preserve"> </w:t>
      </w:r>
      <w:r>
        <w:t xml:space="preserve">et al., 2024)).</w:t>
      </w:r>
    </w:p>
    <w:bookmarkEnd w:id="47"/>
    <w:bookmarkEnd w:id="48"/>
    <w:bookmarkStart w:id="55" w:name="discussion"/>
    <w:p>
      <w:pPr>
        <w:pStyle w:val="Heading2"/>
      </w:pPr>
      <w:r>
        <w:t xml:space="preserve">6. Discussion</w:t>
      </w:r>
    </w:p>
    <w:bookmarkStart w:id="49" w:name="the-hap-model-as-a-unified-framework"/>
    <w:p>
      <w:pPr>
        <w:pStyle w:val="Heading3"/>
      </w:pPr>
      <w:r>
        <w:t xml:space="preserve">6.1 the HAP model as a unified framework</w:t>
      </w:r>
    </w:p>
    <w:p>
      <w:pPr>
        <w:pStyle w:val="FirstParagraph"/>
      </w:pPr>
      <w:r>
        <w:t xml:space="preserve">the HAP model unifies under one mathematical framework: - The</w:t>
      </w:r>
      <w:r>
        <w:t xml:space="preserve"> </w:t>
      </w:r>
      <w:r>
        <w:t xml:space="preserve">evolutionary claim of HAP (necessary condition) - The mechanistic</w:t>
      </w:r>
      <w:r>
        <w:t xml:space="preserve"> </w:t>
      </w:r>
      <w:r>
        <w:t xml:space="preserve">details of steroid signalling (FXR/TGR5 → brain) - The clinical</w:t>
      </w:r>
      <w:r>
        <w:t xml:space="preserve"> </w:t>
      </w:r>
      <w:r>
        <w:t xml:space="preserve">observations (NAFLD-depression, liver transplant-mood) - The comparative</w:t>
      </w:r>
      <w:r>
        <w:t xml:space="preserve"> </w:t>
      </w:r>
      <w:r>
        <w:t xml:space="preserve">data (Drosophila, C. elegans, annelids)</w:t>
      </w:r>
    </w:p>
    <w:p>
      <w:pPr>
        <w:pStyle w:val="BodyText"/>
      </w:pPr>
      <w:r>
        <w:t xml:space="preserve">The model is agnostic to the specific steroid molecule — bile acids in</w:t>
      </w:r>
      <w:r>
        <w:t xml:space="preserve"> </w:t>
      </w:r>
      <w:r>
        <w:t xml:space="preserve">vertebrates, ecdysteroids in arthropods, and yet-unidentified analogs in</w:t>
      </w:r>
      <w:r>
        <w:t xml:space="preserve"> </w:t>
      </w:r>
      <w:r>
        <w:t xml:space="preserve">cephalopods all fit the same formal structure. This reflects the</w:t>
      </w:r>
      <w:r>
        <w:t xml:space="preserve"> </w:t>
      </w:r>
      <w:r>
        <w:rPr>
          <w:b/>
          <w:bCs/>
        </w:rPr>
        <w:t xml:space="preserve">functional homology</w:t>
      </w:r>
      <w:r>
        <w:t xml:space="preserve"> </w:t>
      </w:r>
      <w:r>
        <w:t xml:space="preserve">at the core of the HAP concept.</w:t>
      </w:r>
    </w:p>
    <w:bookmarkEnd w:id="49"/>
    <w:bookmarkStart w:id="51" w:name="comparison-with-alternative-models"/>
    <w:p>
      <w:pPr>
        <w:pStyle w:val="Heading3"/>
      </w:pPr>
      <w:r>
        <w:t xml:space="preserve">6.2 Comparison with alternative models</w:t>
      </w:r>
    </w:p>
    <w:tbl>
      <w:tblPr>
        <w:tblStyle w:val="Table"/>
        <w:tblW w:type="pct" w:w="4722"/>
        <w:tblLayout w:type="fixed"/>
        <w:tblLook w:firstRow="1" w:lastRow="0" w:firstColumn="0" w:lastColumn="0" w:noHBand="0" w:noVBand="0" w:val="0020"/>
      </w:tblPr>
      <w:tblGrid>
        <w:gridCol w:w="1760"/>
        <w:gridCol w:w="1980"/>
        <w:gridCol w:w="1870"/>
        <w:gridCol w:w="187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Hypothesis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explains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misses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HAP advantage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Brain-centric</w:t>
            </w:r>
            <w:r>
              <w:t xml:space="preserve"> </w:t>
            </w:r>
            <w:r>
              <w:t xml:space="preserve">(LeDoux)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Vertebrate neural</w:t>
            </w:r>
            <w:r>
              <w:t xml:space="preserve"> </w:t>
            </w:r>
            <w:r>
              <w:t xml:space="preserve">circuits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Invertebrate</w:t>
            </w:r>
            <w:r>
              <w:t xml:space="preserve"> </w:t>
            </w:r>
            <w:r>
              <w:t xml:space="preserve">affect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Includes</w:t>
            </w:r>
            <w:r>
              <w:t xml:space="preserve"> </w:t>
            </w:r>
            <w:r>
              <w:t xml:space="preserve">comparative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Gut-brain axis</w:t>
            </w:r>
            <w:r>
              <w:t xml:space="preserve"> </w:t>
            </w:r>
            <w:r>
              <w:t xml:space="preserve">(Cryan)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Microbiota → mood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Necessity not</w:t>
            </w:r>
            <w:r>
              <w:t xml:space="preserve"> </w:t>
            </w:r>
            <w:r>
              <w:t xml:space="preserve">proven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Liver is</w:t>
            </w:r>
            <w:r>
              <w:t xml:space="preserve"> </w:t>
            </w:r>
            <w:r>
              <w:t xml:space="preserve">necessary, gut</w:t>
            </w:r>
            <w:r>
              <w:t xml:space="preserve"> </w:t>
            </w:r>
            <w:r>
              <w:t xml:space="preserve">is not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Inflammatory</w:t>
            </w:r>
            <w:r>
              <w:t xml:space="preserve"> </w:t>
            </w:r>
            <w:r>
              <w:t xml:space="preserve">(Dantzer)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Sickness</w:t>
            </w:r>
            <w:r>
              <w:t xml:space="preserve"> </w:t>
            </w:r>
            <w:r>
              <w:t xml:space="preserve">behaviour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Affect without</w:t>
            </w:r>
            <w:r>
              <w:t xml:space="preserve"> </w:t>
            </w:r>
            <w:r>
              <w:t xml:space="preserve">inflammation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Liver unifies</w:t>
            </w:r>
            <w:r>
              <w:t xml:space="preserve"> </w:t>
            </w:r>
            <w:r>
              <w:t xml:space="preserve">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James-Lange</w:t>
            </w:r>
            <w:r>
              <w:t xml:space="preserve"> </w:t>
            </w:r>
            <w:r>
              <w:t xml:space="preserve">(1884)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Visceral feedback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Which organ?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Specifies liver</w:t>
            </w:r>
            <w:r>
              <w:t xml:space="preserve"> </w:t>
            </w:r>
            <w:r>
              <w:t xml:space="preserve">as key organ</w:t>
            </w:r>
          </w:p>
        </w:tc>
      </w:tr>
    </w:tbl>
    <w:bookmarkStart w:id="50" w:name="Xce288518d179c2e422e9d51664bbe4c44cb1aa8"/>
    <w:p>
      <w:pPr>
        <w:pStyle w:val="Heading4"/>
      </w:pPr>
      <w:r>
        <w:t xml:space="preserve">6.2.1 Comparison with alternative mathematical models</w:t>
      </w:r>
    </w:p>
    <w:p>
      <w:pPr>
        <w:pStyle w:val="FirstParagraph"/>
      </w:pPr>
      <w:r>
        <w:rPr>
          <w:b/>
          <w:bCs/>
        </w:rPr>
        <w:t xml:space="preserve">Inflammatory depression model (Dantzer, 2018):</w:t>
      </w:r>
      <w:r>
        <w:t xml:space="preserve"> </w:t>
      </w:r>
      <w:r>
        <w:t xml:space="preserve">Cytokines directly</w:t>
      </w:r>
      <w:r>
        <w:t xml:space="preserve"> </w:t>
      </w:r>
      <w:r>
        <w:t xml:space="preserve">affect CNS neurotransmission via the kynurenine pathway. HAP</w:t>
      </w:r>
      <w:r>
        <w:t xml:space="preserve"> </w:t>
      </w:r>
      <w:r>
        <w:t xml:space="preserve">incorporates inflammation (I) as a suppressor of hepatic output (β·I),</w:t>
      </w:r>
      <w:r>
        <w:t xml:space="preserve"> </w:t>
      </w:r>
      <w:r>
        <w:t xml:space="preserve">but does not model direct cytokine→A effects. This is a deliberate</w:t>
      </w:r>
      <w:r>
        <w:t xml:space="preserve"> </w:t>
      </w:r>
      <w:r>
        <w:t xml:space="preserve">simplification: the HAP framework proposes that hepatic steroids mediate</w:t>
      </w:r>
      <w:r>
        <w:t xml:space="preserve"> </w:t>
      </w:r>
      <w:r>
        <w:t xml:space="preserve">— rather than bypass — the inflammation→affect pathway.</w:t>
      </w:r>
    </w:p>
    <w:p>
      <w:pPr>
        <w:pStyle w:val="BodyText"/>
      </w:pPr>
      <w:r>
        <w:rPr>
          <w:b/>
          <w:bCs/>
        </w:rPr>
        <w:t xml:space="preserve">HPA axis models (Rao &amp; Androulakis, 2019):</w:t>
      </w:r>
      <w:r>
        <w:t xml:space="preserve"> </w:t>
      </w:r>
      <w:r>
        <w:t xml:space="preserve">These focus on cortisol</w:t>
      </w:r>
      <w:r>
        <w:t xml:space="preserve"> </w:t>
      </w:r>
      <w:r>
        <w:t xml:space="preserve">dynamics with negative feedback via glucocorticoid receptors. HAP</w:t>
      </w:r>
      <w:r>
        <w:t xml:space="preserve"> </w:t>
      </w:r>
      <w:r>
        <w:t xml:space="preserve">extends HPA models by adding the hepatic steroid layer as a second</w:t>
      </w:r>
      <w:r>
        <w:t xml:space="preserve"> </w:t>
      </w:r>
      <w:r>
        <w:t xml:space="preserve">signalling pathway parallel to cortisol, with the permissive function</w:t>
      </w:r>
      <w:r>
        <w:t xml:space="preserve"> </w:t>
      </w:r>
      <w:r>
        <w:t xml:space="preserve">P(L,B) as the gate.</w:t>
      </w:r>
    </w:p>
    <w:p>
      <w:pPr>
        <w:pStyle w:val="BodyText"/>
      </w:pPr>
      <w:r>
        <w:rPr>
          <w:b/>
          <w:bCs/>
        </w:rPr>
        <w:t xml:space="preserve">Allostatic load models (Sterling, 2012):</w:t>
      </w:r>
      <w:r>
        <w:t xml:space="preserve"> </w:t>
      </w:r>
      <w:r>
        <w:t xml:space="preserve">These describe cumulative</w:t>
      </w:r>
      <w:r>
        <w:t xml:space="preserve"> </w:t>
      </w:r>
      <w:r>
        <w:t xml:space="preserve">wear-and-tear without specifying the mediating organ. HAP identifies the</w:t>
      </w:r>
      <w:r>
        <w:t xml:space="preserve"> </w:t>
      </w:r>
      <w:r>
        <w:t xml:space="preserve">liver as the primary allostatic mediator, formalising allostasis as the</w:t>
      </w:r>
      <w:r>
        <w:t xml:space="preserve"> </w:t>
      </w:r>
      <w:r>
        <w:t xml:space="preserve">S→L coupling (α·S) plus L→A permissive gating.</w:t>
      </w:r>
    </w:p>
    <w:p>
      <w:pPr>
        <w:pStyle w:val="BodyText"/>
      </w:pPr>
      <w:r>
        <w:rPr>
          <w:b/>
          <w:bCs/>
        </w:rPr>
        <w:t xml:space="preserve">Dynamical systems in psychiatry (Chow et al., 2005):</w:t>
      </w:r>
      <w:r>
        <w:t xml:space="preserve"> </w:t>
      </w:r>
      <w:r>
        <w:t xml:space="preserve">These model</w:t>
      </w:r>
      <w:r>
        <w:t xml:space="preserve"> </w:t>
      </w:r>
      <w:r>
        <w:t xml:space="preserve">affect as coupled oscillators without biological substrate. HAP provides</w:t>
      </w:r>
      <w:r>
        <w:t xml:space="preserve"> </w:t>
      </w:r>
      <w:r>
        <w:t xml:space="preserve">the biological substrate (liver→brain steroids) for the oscillator</w:t>
      </w:r>
      <w:r>
        <w:t xml:space="preserve"> </w:t>
      </w:r>
      <w:r>
        <w:t xml:space="preserve">dynamics.</w:t>
      </w:r>
    </w:p>
    <w:bookmarkEnd w:id="50"/>
    <w:bookmarkEnd w:id="51"/>
    <w:bookmarkStart w:id="52" w:name="clinical-implications"/>
    <w:p>
      <w:pPr>
        <w:pStyle w:val="Heading3"/>
      </w:pPr>
      <w:r>
        <w:t xml:space="preserve">6.3 Clinical implications</w:t>
      </w:r>
    </w:p>
    <w:p>
      <w:pPr>
        <w:pStyle w:val="FirstParagraph"/>
      </w:pPr>
      <w:r>
        <w:t xml:space="preserve">If the HAP model is correct, then: 1.</w:t>
      </w:r>
      <w:r>
        <w:t xml:space="preserve"> </w:t>
      </w:r>
      <w:r>
        <w:rPr>
          <w:b/>
          <w:bCs/>
        </w:rPr>
        <w:t xml:space="preserve">Affective disorders have a</w:t>
      </w:r>
      <w:r>
        <w:rPr>
          <w:b/>
          <w:bCs/>
        </w:rPr>
        <w:t xml:space="preserve"> </w:t>
      </w:r>
      <w:r>
        <w:rPr>
          <w:b/>
          <w:bCs/>
        </w:rPr>
        <w:t xml:space="preserve">primary hepatic component</w:t>
      </w:r>
      <w:r>
        <w:t xml:space="preserve"> </w:t>
      </w:r>
      <w:r>
        <w:t xml:space="preserve">— depression and anxiety may be, in part,</w:t>
      </w:r>
      <w:r>
        <w:t xml:space="preserve"> </w:t>
      </w:r>
      <w:r>
        <w:t xml:space="preserve">liver-brain signalling disorders 2.</w:t>
      </w:r>
      <w:r>
        <w:t xml:space="preserve"> </w:t>
      </w:r>
      <w:r>
        <w:rPr>
          <w:b/>
          <w:bCs/>
        </w:rPr>
        <w:t xml:space="preserve">New therapeutic targets</w:t>
      </w:r>
      <w:r>
        <w:t xml:space="preserve"> </w:t>
      </w:r>
      <w:r>
        <w:t xml:space="preserve">— FXR</w:t>
      </w:r>
      <w:r>
        <w:t xml:space="preserve"> </w:t>
      </w:r>
      <w:r>
        <w:t xml:space="preserve">and TGR5 agonists for treatment-resistant depression 3.</w:t>
      </w:r>
      <w:r>
        <w:t xml:space="preserve"> </w:t>
      </w:r>
      <w:r>
        <w:rPr>
          <w:b/>
          <w:bCs/>
        </w:rPr>
        <w:t xml:space="preserve">Early</w:t>
      </w:r>
      <w:r>
        <w:rPr>
          <w:b/>
          <w:bCs/>
        </w:rPr>
        <w:t xml:space="preserve"> </w:t>
      </w:r>
      <w:r>
        <w:rPr>
          <w:b/>
          <w:bCs/>
        </w:rPr>
        <w:t xml:space="preserve">detection</w:t>
      </w:r>
      <w:r>
        <w:t xml:space="preserve"> </w:t>
      </w:r>
      <w:r>
        <w:t xml:space="preserve">— bile acid profiling could identify individuals at risk</w:t>
      </w:r>
      <w:r>
        <w:t xml:space="preserve"> </w:t>
      </w:r>
      <w:r>
        <w:t xml:space="preserve">for mood disorders 4.</w:t>
      </w:r>
      <w:r>
        <w:t xml:space="preserve"> </w:t>
      </w:r>
      <w:r>
        <w:rPr>
          <w:b/>
          <w:bCs/>
        </w:rPr>
        <w:t xml:space="preserve">Lifestyle interventions</w:t>
      </w:r>
      <w:r>
        <w:t xml:space="preserve"> </w:t>
      </w:r>
      <w:r>
        <w:t xml:space="preserve">— diet and exercise</w:t>
      </w:r>
      <w:r>
        <w:t xml:space="preserve"> </w:t>
      </w:r>
      <w:r>
        <w:t xml:space="preserve">affect bile acid composition, potentially improving mood via the HAP</w:t>
      </w:r>
      <w:r>
        <w:t xml:space="preserve"> </w:t>
      </w:r>
      <w:r>
        <w:t xml:space="preserve">model pathway</w:t>
      </w:r>
    </w:p>
    <w:bookmarkEnd w:id="52"/>
    <w:bookmarkStart w:id="53" w:name="limitations"/>
    <w:p>
      <w:pPr>
        <w:pStyle w:val="Heading3"/>
      </w:pPr>
      <w:r>
        <w:t xml:space="preserve">6.4 Limitations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Absence of quantitative calibration</w:t>
      </w:r>
      <w:r>
        <w:t xml:space="preserve"> </w:t>
      </w:r>
      <w:r>
        <w:t xml:space="preserve">— the current model makes</w:t>
      </w:r>
      <w:r>
        <w:t xml:space="preserve"> </w:t>
      </w:r>
      <w:r>
        <w:rPr>
          <w:i/>
          <w:iCs/>
        </w:rPr>
        <w:t xml:space="preserve">qualitative</w:t>
      </w:r>
      <w:r>
        <w:t xml:space="preserve"> </w:t>
      </w:r>
      <w:r>
        <w:t xml:space="preserve">predictions (direction of A change with L), not</w:t>
      </w:r>
      <w:r>
        <w:t xml:space="preserve"> </w:t>
      </w:r>
      <w:r>
        <w:rPr>
          <w:i/>
          <w:iCs/>
        </w:rPr>
        <w:t xml:space="preserve">quantitative</w:t>
      </w:r>
      <w:r>
        <w:t xml:space="preserve"> </w:t>
      </w:r>
      <w:r>
        <w:t xml:space="preserve">(magnitude of OR for depression). Bayesian MCMC</w:t>
      </w:r>
      <w:r>
        <w:t xml:space="preserve"> </w:t>
      </w:r>
      <w:r>
        <w:t xml:space="preserve">fitting to NHANES data (Cai et al., 2023) is planned but not yet</w:t>
      </w:r>
      <w:r>
        <w:t xml:space="preserve"> </w:t>
      </w:r>
      <w:r>
        <w:t xml:space="preserve">performed. Until calibrated, the model should be regarded as a</w:t>
      </w:r>
      <w:r>
        <w:t xml:space="preserve"> </w:t>
      </w:r>
      <w:r>
        <w:rPr>
          <w:b/>
          <w:bCs/>
        </w:rPr>
        <w:t xml:space="preserve">qualitative framework</w:t>
      </w:r>
      <w:r>
        <w:t xml:space="preserve">, not a predictive clinical tool.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Parameter uncertainty</w:t>
      </w:r>
      <w:r>
        <w:t xml:space="preserve"> </w:t>
      </w:r>
      <w:r>
        <w:t xml:space="preserve">— many parameters are estimated from</w:t>
      </w:r>
      <w:r>
        <w:t xml:space="preserve"> </w:t>
      </w:r>
      <w:r>
        <w:t xml:space="preserve">indirect data; direct measurements are needed. Stochastic robustness</w:t>
      </w:r>
      <w:r>
        <w:t xml:space="preserve"> </w:t>
      </w:r>
      <w:r>
        <w:t xml:space="preserve">was tested under both white Gaussian noise (CV=0.78%) and</w:t>
      </w:r>
      <w:r>
        <w:t xml:space="preserve"> </w:t>
      </w:r>
      <w:r>
        <w:t xml:space="preserve">Ornstein-Uhlenbeck colored noise (CV=1.59%). The model remains</w:t>
      </w:r>
      <w:r>
        <w:t xml:space="preserve"> </w:t>
      </w:r>
      <w:r>
        <w:t xml:space="preserve">stable under both regimes, but biological variability may be higher</w:t>
      </w:r>
      <w:r>
        <w:t xml:space="preserve"> </w:t>
      </w:r>
      <w:r>
        <w:t xml:space="preserve">(10-20%) due to inter-individual differences not captured by ±5%</w:t>
      </w:r>
      <w:r>
        <w:t xml:space="preserve"> </w:t>
      </w:r>
      <w:r>
        <w:t xml:space="preserve">perturbation.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Permissive function sensitivity</w:t>
      </w:r>
      <w:r>
        <w:t xml:space="preserve"> </w:t>
      </w:r>
      <w:r>
        <w:t xml:space="preserve">— the default Michaelis-Menten</w:t>
      </w:r>
      <w:r>
        <w:t xml:space="preserve"> </w:t>
      </w:r>
      <w:r>
        <w:t xml:space="preserve">P(L,B) saturates at L &gt; K_L, making A insensitive to high L. The</w:t>
      </w:r>
      <w:r>
        <w:t xml:space="preserve"> </w:t>
      </w:r>
      <w:r>
        <w:t xml:space="preserve">alternative power-law form P_alt = L</w:t>
      </w:r>
      <w:r>
        <w:rPr>
          <w:vertAlign w:val="superscript"/>
        </w:rPr>
        <w:t xml:space="preserve">a·B</w:t>
      </w:r>
      <w:r>
        <w:t xml:space="preserve">b partially addresses this,</w:t>
      </w:r>
      <w:r>
        <w:t xml:space="preserve"> </w:t>
      </w:r>
      <w:r>
        <w:t xml:space="preserve">but experimental discrimination between formulations is needed (Zhao</w:t>
      </w:r>
      <w:r>
        <w:t xml:space="preserve"> </w:t>
      </w:r>
      <w:r>
        <w:t xml:space="preserve">et al., 2025 data favour the power-law form).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Dimensional consistency</w:t>
      </w:r>
      <w:r>
        <w:t xml:space="preserve"> </w:t>
      </w:r>
      <w:r>
        <w:t xml:space="preserve">— the formulation mixes dimensionless</w:t>
      </w:r>
      <w:r>
        <w:t xml:space="preserve"> </w:t>
      </w:r>
      <w:r>
        <w:t xml:space="preserve">(B, A, I) and dimensionful (L, S, M) quantities. Normalisation to</w:t>
      </w:r>
      <w:r>
        <w:t xml:space="preserve"> </w:t>
      </w:r>
      <w:r>
        <w:t xml:space="preserve">characteristic biological scales is planned.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Structural identifiability</w:t>
      </w:r>
      <w:r>
        <w:t xml:space="preserve"> </w:t>
      </w:r>
      <w:r>
        <w:t xml:space="preserve">— with 20 parameters and limited</w:t>
      </w:r>
      <w:r>
        <w:t xml:space="preserve"> </w:t>
      </w:r>
      <w:r>
        <w:t xml:space="preserve">data, the system is underdetermined. The global sensitivity analysis</w:t>
      </w:r>
      <w:r>
        <w:t xml:space="preserve"> </w:t>
      </w:r>
      <w:r>
        <w:t xml:space="preserve">(Morris + Sobol, completed herein) identifies four dominant</w:t>
      </w:r>
      <w:r>
        <w:t xml:space="preserve"> </w:t>
      </w:r>
      <w:r>
        <w:t xml:space="preserve">parameters (θ_L, L_basal, L_capacity, γ_L) to guide targeted</w:t>
      </w:r>
      <w:r>
        <w:t xml:space="preserve"> </w:t>
      </w:r>
      <w:r>
        <w:t xml:space="preserve">measurement.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Developmental unfalsifiability</w:t>
      </w:r>
      <w:r>
        <w:t xml:space="preserve"> </w:t>
      </w:r>
      <w:r>
        <w:t xml:space="preserve">— the critical window cannot be</w:t>
      </w:r>
      <w:r>
        <w:t xml:space="preserve"> </w:t>
      </w:r>
      <w:r>
        <w:t xml:space="preserve">directly tested in vertebrates (embryonic lethality). Surrogate:</w:t>
      </w:r>
      <w:r>
        <w:t xml:space="preserve"> </w:t>
      </w:r>
      <w:r>
        <w:t xml:space="preserve">zebrafish conditional KO at multiple time points (72, 96, 120 hpf).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Invertebrate affect</w:t>
      </w:r>
      <w:r>
        <w:t xml:space="preserve"> </w:t>
      </w:r>
      <w:r>
        <w:t xml:space="preserve">— the operational definition remains</w:t>
      </w:r>
      <w:r>
        <w:t xml:space="preserve"> </w:t>
      </w:r>
      <w:r>
        <w:t xml:space="preserve">debated (Anderson &amp; Adolphs, 2014). Stricter criteria would restrict</w:t>
      </w:r>
      <w:r>
        <w:t xml:space="preserve"> </w:t>
      </w:r>
      <w:r>
        <w:t xml:space="preserve">affect to vertebrates.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Confounding</w:t>
      </w:r>
      <w:r>
        <w:t xml:space="preserve"> </w:t>
      </w:r>
      <w:r>
        <w:t xml:space="preserve">— NAFLD and depression share risk factors</w:t>
      </w:r>
      <w:r>
        <w:t xml:space="preserve"> </w:t>
      </w:r>
      <w:r>
        <w:t xml:space="preserve">(obesity, sedentary lifestyle) not modelled. Mendelian randomisation</w:t>
      </w:r>
      <w:r>
        <w:t xml:space="preserve"> </w:t>
      </w:r>
      <w:r>
        <w:t xml:space="preserve">(PMID: 39227758, OR=1.016) provides partial protection against</w:t>
      </w:r>
      <w:r>
        <w:t xml:space="preserve"> </w:t>
      </w:r>
      <w:r>
        <w:t xml:space="preserve">confounding, but the effect is modest.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No clinical trials</w:t>
      </w:r>
      <w:r>
        <w:t xml:space="preserve"> </w:t>
      </w:r>
      <w:r>
        <w:t xml:space="preserve">— no FXR/TGR5 agonist trials for depression</w:t>
      </w:r>
      <w:r>
        <w:t xml:space="preserve"> </w:t>
      </w:r>
      <w:r>
        <w:t xml:space="preserve">are registered (ClinicalTrials.gov, June 2026). Predictions 5.2-5.3</w:t>
      </w:r>
      <w:r>
        <w:t xml:space="preserve"> </w:t>
      </w:r>
      <w:r>
        <w:t xml:space="preserve">are preclinical extrapolations.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Dynamical analysis incomplete</w:t>
      </w:r>
      <w:r>
        <w:t xml:space="preserve"> </w:t>
      </w:r>
      <w:r>
        <w:t xml:space="preserve">— phase portraits, Lyapunov</w:t>
      </w:r>
      <w:r>
        <w:t xml:space="preserve"> </w:t>
      </w:r>
      <w:r>
        <w:t xml:space="preserve">spectra, and hysteresis analysis are not performed. The critical</w:t>
      </w:r>
      <w:r>
        <w:t xml:space="preserve"> </w:t>
      </w:r>
      <w:r>
        <w:t xml:space="preserve">window (§2.3) implies bistability, but this has not been formally</w:t>
      </w:r>
      <w:r>
        <w:t xml:space="preserve"> </w:t>
      </w:r>
      <w:r>
        <w:t xml:space="preserve">demonstrated.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Single-author limitation</w:t>
      </w:r>
      <w:r>
        <w:t xml:space="preserve"> </w:t>
      </w:r>
      <w:r>
        <w:t xml:space="preserve">— following co-author withdrawal (El</w:t>
      </w:r>
      <w:r>
        <w:t xml:space="preserve"> </w:t>
      </w:r>
      <w:r>
        <w:t xml:space="preserve">Fettahi, June 2026; see §1.1), the manuscript is sole-authored.</w:t>
      </w:r>
      <w:r>
        <w:t xml:space="preserve"> </w:t>
      </w:r>
      <w:r>
        <w:t xml:space="preserve">Independent methodological review is advised.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Citation accuracy</w:t>
      </w:r>
      <w:r>
        <w:t xml:space="preserve"> </w:t>
      </w:r>
      <w:r>
        <w:t xml:space="preserve">— the initial version of this manuscript</w:t>
      </w:r>
      <w:r>
        <w:t xml:space="preserve"> </w:t>
      </w:r>
      <w:r>
        <w:t xml:space="preserve">contained incorrectly transcribed PMIDs, which have been corrected.</w:t>
      </w:r>
      <w:r>
        <w:t xml:space="preserve"> </w:t>
      </w:r>
      <w:r>
        <w:t xml:space="preserve">All PMIDs should be independently verified before submission. We</w:t>
      </w:r>
      <w:r>
        <w:t xml:space="preserve"> </w:t>
      </w:r>
      <w:r>
        <w:t xml:space="preserve">recommend using automated validation tools.</w:t>
      </w:r>
    </w:p>
    <w:bookmarkEnd w:id="53"/>
    <w:bookmarkStart w:id="54" w:name="future-directions"/>
    <w:p>
      <w:pPr>
        <w:pStyle w:val="Heading3"/>
      </w:pPr>
      <w:r>
        <w:t xml:space="preserve">6.5 Future directions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Model refinement</w:t>
      </w:r>
      <w:r>
        <w:t xml:space="preserve"> </w:t>
      </w:r>
      <w:r>
        <w:t xml:space="preserve">— add delay differential equations (DDEs) for</w:t>
      </w:r>
      <w:r>
        <w:t xml:space="preserve"> </w:t>
      </w:r>
      <w:r>
        <w:t xml:space="preserve">realistic signalling delays; add stochastic noise for biochemical</w:t>
      </w:r>
      <w:r>
        <w:t xml:space="preserve"> </w:t>
      </w:r>
      <w:r>
        <w:t xml:space="preserve">variability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Parameter estimation</w:t>
      </w:r>
      <w:r>
        <w:t xml:space="preserve"> </w:t>
      </w:r>
      <w:r>
        <w:t xml:space="preserve">— fit model parameters to published</w:t>
      </w:r>
      <w:r>
        <w:t xml:space="preserve"> </w:t>
      </w:r>
      <w:r>
        <w:t xml:space="preserve">time-series data (e.g., bile acid levels during zebrafish</w:t>
      </w:r>
      <w:r>
        <w:t xml:space="preserve"> </w:t>
      </w:r>
      <w:r>
        <w:t xml:space="preserve">development)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Experimental collaboration</w:t>
      </w:r>
      <w:r>
        <w:t xml:space="preserve"> </w:t>
      </w:r>
      <w:r>
        <w:t xml:space="preserve">— test predictions via zebrafish</w:t>
      </w:r>
      <w:r>
        <w:t xml:space="preserve"> </w:t>
      </w:r>
      <w:r>
        <w:t xml:space="preserve">conditional knockout, FXR agonist treatment in mice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Clinical translation</w:t>
      </w:r>
      <w:r>
        <w:t xml:space="preserve"> </w:t>
      </w:r>
      <w:r>
        <w:t xml:space="preserve">— bile acid profiling in NAFLD patients</w:t>
      </w:r>
      <w:r>
        <w:t xml:space="preserve"> </w:t>
      </w:r>
      <w:r>
        <w:t xml:space="preserve">with depression; pilot trial of TGR5 agonist</w:t>
      </w:r>
    </w:p>
    <w:bookmarkEnd w:id="54"/>
    <w:bookmarkEnd w:id="55"/>
    <w:bookmarkStart w:id="56" w:name="conclusion"/>
    <w:p>
      <w:pPr>
        <w:pStyle w:val="Heading2"/>
      </w:pPr>
      <w:r>
        <w:t xml:space="preserve">7. Conclusion</w:t>
      </w:r>
    </w:p>
    <w:p>
      <w:pPr>
        <w:pStyle w:val="FirstParagraph"/>
      </w:pPr>
      <w:r>
        <w:t xml:space="preserve">We have presented the Neural-Hepatic Affective Model (the HAP model) —</w:t>
      </w:r>
      <w:r>
        <w:t xml:space="preserve"> </w:t>
      </w:r>
      <w:r>
        <w:t xml:space="preserve">a nonlinear dynamical systems framework for the Hepato-Affective Primacy</w:t>
      </w:r>
      <w:r>
        <w:t xml:space="preserve"> </w:t>
      </w:r>
      <w:r>
        <w:t xml:space="preserve">Theory. the HAP model formalises the steroid-permissive feedback loops</w:t>
      </w:r>
      <w:r>
        <w:t xml:space="preserve"> </w:t>
      </w:r>
      <w:r>
        <w:t xml:space="preserve">between hepatic function and affective neural circuits, reproducing all</w:t>
      </w:r>
      <w:r>
        <w:t xml:space="preserve"> </w:t>
      </w:r>
      <w:r>
        <w:t xml:space="preserve">known HAP predictions and generating new testable hypotheses.</w:t>
      </w:r>
    </w:p>
    <w:p>
      <w:pPr>
        <w:pStyle w:val="BodyText"/>
      </w:pPr>
      <w:r>
        <w:t xml:space="preserve">The model reveals a critical bifurcation: without</w:t>
      </w:r>
      <w:r>
        <w:t xml:space="preserve"> </w:t>
      </w:r>
      <w:r>
        <w:rPr>
          <w:b/>
          <w:bCs/>
        </w:rPr>
        <w:t xml:space="preserve">any</w:t>
      </w:r>
      <w:r>
        <w:t xml:space="preserve"> </w:t>
      </w:r>
      <w:r>
        <w:t xml:space="preserve">hepatic</w:t>
      </w:r>
      <w:r>
        <w:t xml:space="preserve"> </w:t>
      </w:r>
      <w:r>
        <w:t xml:space="preserve">steroid output during development, affective circuits cannot form (A →</w:t>
      </w:r>
      <w:r>
        <w:t xml:space="preserve"> </w:t>
      </w:r>
      <w:r>
        <w:t xml:space="preserve">0). But even minimal output (&gt;0.01 nM) allows normal development. This</w:t>
      </w:r>
      <w:r>
        <w:t xml:space="preserve"> </w:t>
      </w:r>
      <w:r>
        <w:t xml:space="preserve">sharp threshold is the mathematical expression of HAP’s central claim: a</w:t>
      </w:r>
      <w:r>
        <w:t xml:space="preserve"> </w:t>
      </w:r>
      <w:r>
        <w:t xml:space="preserve">hepatic organ is the phylogenetic and ontogenetic precondition for</w:t>
      </w:r>
      <w:r>
        <w:t xml:space="preserve"> </w:t>
      </w:r>
      <w:r>
        <w:t xml:space="preserve">affective states.</w:t>
      </w:r>
    </w:p>
    <w:p>
      <w:pPr>
        <w:pStyle w:val="BodyText"/>
      </w:pPr>
      <w:r>
        <w:t xml:space="preserve">the HAP model unifies evolutionary biology, comparative neuroscience,</w:t>
      </w:r>
      <w:r>
        <w:t xml:space="preserve"> </w:t>
      </w:r>
      <w:r>
        <w:t xml:space="preserve">computational modelling, and clinical psychiatry under a single</w:t>
      </w:r>
      <w:r>
        <w:t xml:space="preserve"> </w:t>
      </w:r>
      <w:r>
        <w:t xml:space="preserve">principle:</w:t>
      </w:r>
      <w:r>
        <w:t xml:space="preserve"> </w:t>
      </w:r>
      <w:r>
        <w:rPr>
          <w:b/>
          <w:bCs/>
        </w:rPr>
        <w:t xml:space="preserve">affect is brain-liver, not brain-only.</w:t>
      </w:r>
    </w:p>
    <w:bookmarkEnd w:id="56"/>
    <w:bookmarkStart w:id="61" w:name="references"/>
    <w:p>
      <w:pPr>
        <w:pStyle w:val="Heading2"/>
      </w:pPr>
      <w:r>
        <w:t xml:space="preserve">References</w:t>
      </w:r>
    </w:p>
    <w:bookmarkStart w:id="57" w:name="original-hap-paper"/>
    <w:p>
      <w:pPr>
        <w:pStyle w:val="Heading3"/>
      </w:pPr>
      <w:r>
        <w:t xml:space="preserve">Original HAP paper</w:t>
      </w:r>
    </w:p>
    <w:p>
      <w:pPr>
        <w:pStyle w:val="Compact"/>
        <w:numPr>
          <w:ilvl w:val="0"/>
          <w:numId w:val="1008"/>
        </w:numPr>
      </w:pPr>
      <w:r>
        <w:t xml:space="preserve">Tqemaladze, J. (2026). The Hepato-Affective Primacy (HAP) Theory.</w:t>
      </w:r>
      <w:r>
        <w:t xml:space="preserve"> </w:t>
      </w:r>
      <w:r>
        <w:t xml:space="preserve">DOI: 10.65649/d76f6c48</w:t>
      </w:r>
    </w:p>
    <w:bookmarkEnd w:id="57"/>
    <w:bookmarkStart w:id="58" w:name="model-specific-references"/>
    <w:p>
      <w:pPr>
        <w:pStyle w:val="Heading3"/>
      </w:pPr>
      <w:r>
        <w:t xml:space="preserve">Model-specific references</w:t>
      </w:r>
    </w:p>
    <w:p>
      <w:pPr>
        <w:numPr>
          <w:ilvl w:val="0"/>
          <w:numId w:val="1009"/>
        </w:numPr>
      </w:pPr>
      <w:r>
        <w:t xml:space="preserve">Chow, S. M., Ramaswami, S., &amp; Clore, G. L. (2005). Dynamics of</w:t>
      </w:r>
      <w:r>
        <w:t xml:space="preserve"> </w:t>
      </w:r>
      <w:r>
        <w:t xml:space="preserve">affect.</w:t>
      </w:r>
      <w:r>
        <w:t xml:space="preserve"> </w:t>
      </w:r>
      <w:r>
        <w:rPr>
          <w:i/>
          <w:iCs/>
        </w:rPr>
        <w:t xml:space="preserve">Psychol Rev</w:t>
      </w:r>
      <w:r>
        <w:t xml:space="preserve">.</w:t>
      </w:r>
    </w:p>
    <w:p>
      <w:pPr>
        <w:numPr>
          <w:ilvl w:val="0"/>
          <w:numId w:val="1009"/>
        </w:numPr>
      </w:pPr>
      <w:r>
        <w:t xml:space="preserve">Cox, A. G., et al. (2016). Nitroreductase-mediated cell ablation in</w:t>
      </w:r>
      <w:r>
        <w:t xml:space="preserve"> </w:t>
      </w:r>
      <w:r>
        <w:t xml:space="preserve">zebrafish.</w:t>
      </w:r>
      <w:r>
        <w:t xml:space="preserve"> </w:t>
      </w:r>
      <w:r>
        <w:rPr>
          <w:i/>
          <w:iCs/>
        </w:rPr>
        <w:t xml:space="preserve">Development</w:t>
      </w:r>
      <w:r>
        <w:t xml:space="preserve">, 143(12), 2261–2270.</w:t>
      </w:r>
    </w:p>
    <w:p>
      <w:pPr>
        <w:numPr>
          <w:ilvl w:val="0"/>
          <w:numId w:val="1009"/>
        </w:numPr>
      </w:pPr>
      <w:r>
        <w:t xml:space="preserve">Dantzer, R. (2018). Neuroimmune interactions.</w:t>
      </w:r>
      <w:r>
        <w:t xml:space="preserve"> </w:t>
      </w:r>
      <w:r>
        <w:rPr>
          <w:i/>
          <w:iCs/>
        </w:rPr>
        <w:t xml:space="preserve">Physiol Rev</w:t>
      </w:r>
      <w:r>
        <w:t xml:space="preserve">, 98(1),</w:t>
      </w:r>
      <w:r>
        <w:t xml:space="preserve"> </w:t>
      </w:r>
      <w:r>
        <w:t xml:space="preserve">477–504.</w:t>
      </w:r>
    </w:p>
    <w:p>
      <w:pPr>
        <w:numPr>
          <w:ilvl w:val="0"/>
          <w:numId w:val="1009"/>
        </w:numPr>
      </w:pPr>
      <w:r>
        <w:t xml:space="preserve">Ishimoto, H., &amp; Kitamoto, T. (2010). Ecdysone regulates behavioral</w:t>
      </w:r>
      <w:r>
        <w:t xml:space="preserve"> </w:t>
      </w:r>
      <w:r>
        <w:t xml:space="preserve">responses in Drosophila.</w:t>
      </w:r>
      <w:r>
        <w:t xml:space="preserve"> </w:t>
      </w:r>
      <w:r>
        <w:rPr>
          <w:i/>
          <w:iCs/>
        </w:rPr>
        <w:t xml:space="preserve">PNAS</w:t>
      </w:r>
      <w:r>
        <w:t xml:space="preserve">, 107(51), 22285–22290.</w:t>
      </w:r>
    </w:p>
    <w:p>
      <w:pPr>
        <w:numPr>
          <w:ilvl w:val="0"/>
          <w:numId w:val="1009"/>
        </w:numPr>
      </w:pPr>
      <w:r>
        <w:t xml:space="preserve">Jones, D. E., et al. (1998). Partial hepatectomy in the rat.</w:t>
      </w:r>
      <w:r>
        <w:t xml:space="preserve"> </w:t>
      </w:r>
      <w:r>
        <w:rPr>
          <w:i/>
          <w:iCs/>
        </w:rPr>
        <w:t xml:space="preserve">Hepatology</w:t>
      </w:r>
      <w:r>
        <w:t xml:space="preserve">, 28(3), 892–899.</w:t>
      </w:r>
    </w:p>
    <w:p>
      <w:pPr>
        <w:numPr>
          <w:ilvl w:val="0"/>
          <w:numId w:val="1009"/>
        </w:numPr>
      </w:pPr>
      <w:r>
        <w:t xml:space="preserve">Kiriyama, Y., &amp; Nochi, H. (2019). Bile acids biosynthesis,</w:t>
      </w:r>
      <w:r>
        <w:t xml:space="preserve"> </w:t>
      </w:r>
      <w:r>
        <w:t xml:space="preserve">signaling, and neurological functions.</w:t>
      </w:r>
      <w:r>
        <w:t xml:space="preserve"> </w:t>
      </w:r>
      <w:r>
        <w:rPr>
          <w:i/>
          <w:iCs/>
        </w:rPr>
        <w:t xml:space="preserve">Biomolecules</w:t>
      </w:r>
      <w:r>
        <w:t xml:space="preserve">, 9(6), 232.</w:t>
      </w:r>
    </w:p>
    <w:p>
      <w:pPr>
        <w:numPr>
          <w:ilvl w:val="0"/>
          <w:numId w:val="1009"/>
        </w:numPr>
      </w:pPr>
      <w:r>
        <w:t xml:space="preserve">Rao, R., &amp; Androulakis, I. P. (2019). Modeling the HPA axis.</w:t>
      </w:r>
      <w:r>
        <w:t xml:space="preserve"> </w:t>
      </w:r>
      <w:r>
        <w:rPr>
          <w:i/>
          <w:iCs/>
        </w:rPr>
        <w:t xml:space="preserve">Curr</w:t>
      </w:r>
      <w:r>
        <w:rPr>
          <w:i/>
          <w:iCs/>
        </w:rPr>
        <w:t xml:space="preserve"> </w:t>
      </w:r>
      <w:r>
        <w:rPr>
          <w:i/>
          <w:iCs/>
        </w:rPr>
        <w:t xml:space="preserve">Opin Endocr Metab Res</w:t>
      </w:r>
      <w:r>
        <w:t xml:space="preserve">.</w:t>
      </w:r>
    </w:p>
    <w:p>
      <w:pPr>
        <w:numPr>
          <w:ilvl w:val="0"/>
          <w:numId w:val="1009"/>
        </w:numPr>
      </w:pPr>
      <w:r>
        <w:t xml:space="preserve">Veldhuis, J. D., et al. (2008). Dynamic properties of endocrine</w:t>
      </w:r>
      <w:r>
        <w:t xml:space="preserve"> </w:t>
      </w:r>
      <w:r>
        <w:t xml:space="preserve">systems.</w:t>
      </w:r>
      <w:r>
        <w:t xml:space="preserve"> </w:t>
      </w:r>
      <w:r>
        <w:rPr>
          <w:i/>
          <w:iCs/>
        </w:rPr>
        <w:t xml:space="preserve">Endocr Rev</w:t>
      </w:r>
      <w:r>
        <w:t xml:space="preserve">.</w:t>
      </w:r>
    </w:p>
    <w:p>
      <w:pPr>
        <w:numPr>
          <w:ilvl w:val="0"/>
          <w:numId w:val="1009"/>
        </w:numPr>
      </w:pPr>
      <w:r>
        <w:t xml:space="preserve">Tzakis, A. G., et al. (1990). Anhepatic state in humans.</w:t>
      </w:r>
      <w:r>
        <w:t xml:space="preserve"> </w:t>
      </w:r>
      <w:r>
        <w:rPr>
          <w:i/>
          <w:iCs/>
        </w:rPr>
        <w:t xml:space="preserve">Transplantation</w:t>
      </w:r>
      <w:r>
        <w:t xml:space="preserve">, 49(6), 1143–1145.</w:t>
      </w:r>
    </w:p>
    <w:bookmarkEnd w:id="58"/>
    <w:bookmarkStart w:id="59" w:name="X16d423287fe0233597b5dddf56b24b95447ac6d"/>
    <w:p>
      <w:pPr>
        <w:pStyle w:val="Heading3"/>
      </w:pPr>
      <w:r>
        <w:t xml:space="preserve">New evidence (verified via PubMed E-utilities, 2026-05-30)</w:t>
      </w:r>
    </w:p>
    <w:p>
      <w:pPr>
        <w:numPr>
          <w:ilvl w:val="0"/>
          <w:numId w:val="1010"/>
        </w:numPr>
      </w:pPr>
      <w:r>
        <w:t xml:space="preserve">PMID: 38689730 — Shea, S., et al. (2024). NAFLD and coexisting</w:t>
      </w:r>
      <w:r>
        <w:t xml:space="preserve"> </w:t>
      </w:r>
      <w:r>
        <w:t xml:space="preserve">depression, anxiety and/or stress: systematic review and</w:t>
      </w:r>
      <w:r>
        <w:t xml:space="preserve"> </w:t>
      </w:r>
      <w:r>
        <w:t xml:space="preserve">meta-analysis.</w:t>
      </w:r>
      <w:r>
        <w:t xml:space="preserve"> </w:t>
      </w:r>
      <w:r>
        <w:rPr>
          <w:i/>
          <w:iCs/>
        </w:rPr>
        <w:t xml:space="preserve">Frontiers in Endocrinology</w:t>
      </w:r>
      <w:r>
        <w:t xml:space="preserve">, 15, 1356472.</w:t>
      </w:r>
    </w:p>
    <w:p>
      <w:pPr>
        <w:numPr>
          <w:ilvl w:val="0"/>
          <w:numId w:val="1010"/>
        </w:numPr>
      </w:pPr>
      <w:r>
        <w:t xml:space="preserve">PMID: 39733841 — Darmanto, A.G., et al. (2025). Beyond metabolic</w:t>
      </w:r>
      <w:r>
        <w:t xml:space="preserve"> </w:t>
      </w:r>
      <w:r>
        <w:t xml:space="preserve">messengers: Bile acids and TGR5 as pharmacotherapeutic intervention</w:t>
      </w:r>
      <w:r>
        <w:t xml:space="preserve"> </w:t>
      </w:r>
      <w:r>
        <w:t xml:space="preserve">for psychiatric disorders.</w:t>
      </w:r>
      <w:r>
        <w:t xml:space="preserve"> </w:t>
      </w:r>
      <w:r>
        <w:rPr>
          <w:i/>
          <w:iCs/>
        </w:rPr>
        <w:t xml:space="preserve">Pharmacological Research</w:t>
      </w:r>
      <w:r>
        <w:t xml:space="preserve">, 211, 107589.</w:t>
      </w:r>
    </w:p>
    <w:p>
      <w:pPr>
        <w:numPr>
          <w:ilvl w:val="0"/>
          <w:numId w:val="1010"/>
        </w:numPr>
      </w:pPr>
      <w:r>
        <w:t xml:space="preserve">PMID: 38075046 — Chen, S., et al. (2023). Bile acid signalling and</w:t>
      </w:r>
      <w:r>
        <w:t xml:space="preserve"> </w:t>
      </w:r>
      <w:r>
        <w:t xml:space="preserve">its role in anxiety disorders.</w:t>
      </w:r>
      <w:r>
        <w:t xml:space="preserve"> </w:t>
      </w:r>
      <w:r>
        <w:rPr>
          <w:i/>
          <w:iCs/>
        </w:rPr>
        <w:t xml:space="preserve">Frontiers in Endocrinology</w:t>
      </w:r>
      <w:r>
        <w:t xml:space="preserve">, 14,</w:t>
      </w:r>
    </w:p>
    <w:p>
      <w:pPr>
        <w:numPr>
          <w:ilvl w:val="0"/>
          <w:numId w:val="1010"/>
        </w:numPr>
      </w:pPr>
      <w:r>
        <w:t xml:space="preserve">PMID: 39227758 — Mendelian randomization study of NAFLD and</w:t>
      </w:r>
      <w:r>
        <w:t xml:space="preserve"> </w:t>
      </w:r>
      <w:r>
        <w:t xml:space="preserve">anxiety disorders.</w:t>
      </w:r>
      <w:r>
        <w:t xml:space="preserve"> </w:t>
      </w:r>
      <w:r>
        <w:rPr>
          <w:i/>
          <w:iCs/>
        </w:rPr>
        <w:t xml:space="preserve">BMC Gastroenterology</w:t>
      </w:r>
      <w:r>
        <w:t xml:space="preserve">, 2024.</w:t>
      </w:r>
    </w:p>
    <w:p>
      <w:pPr>
        <w:numPr>
          <w:ilvl w:val="0"/>
          <w:numId w:val="1010"/>
        </w:numPr>
      </w:pPr>
      <w:r>
        <w:t xml:space="preserve">PMID: 38075046 — Chen, S., et al. (2023). Bile acid signalling and</w:t>
      </w:r>
      <w:r>
        <w:t xml:space="preserve"> </w:t>
      </w:r>
      <w:r>
        <w:t xml:space="preserve">its role in anxiety disorders.</w:t>
      </w:r>
      <w:r>
        <w:t xml:space="preserve"> </w:t>
      </w:r>
      <w:r>
        <w:rPr>
          <w:i/>
          <w:iCs/>
        </w:rPr>
        <w:t xml:space="preserve">Frontiers in Endocrinology</w:t>
      </w:r>
      <w:r>
        <w:t xml:space="preserve">, 14,</w:t>
      </w:r>
    </w:p>
    <w:p>
      <w:pPr>
        <w:numPr>
          <w:ilvl w:val="0"/>
          <w:numId w:val="1010"/>
        </w:numPr>
      </w:pPr>
      <w:r>
        <w:t xml:space="preserve">PMID: 31955616 — Petruccelli, E., et al. (2020). Significance of</w:t>
      </w:r>
      <w:r>
        <w:t xml:space="preserve"> </w:t>
      </w:r>
      <w:r>
        <w:t xml:space="preserve">DopEcR, a G-protein coupled dopamine/ecdysteroid receptor.</w:t>
      </w:r>
      <w:r>
        <w:t xml:space="preserve"> </w:t>
      </w:r>
      <w:r>
        <w:rPr>
          <w:i/>
          <w:iCs/>
        </w:rPr>
        <w:t xml:space="preserve">Journal</w:t>
      </w:r>
      <w:r>
        <w:rPr>
          <w:i/>
          <w:iCs/>
        </w:rPr>
        <w:t xml:space="preserve"> </w:t>
      </w:r>
      <w:r>
        <w:rPr>
          <w:i/>
          <w:iCs/>
        </w:rPr>
        <w:t xml:space="preserve">of Neurogenetics</w:t>
      </w:r>
      <w:r>
        <w:t xml:space="preserve">, 34(1), 12-24.</w:t>
      </w:r>
    </w:p>
    <w:p>
      <w:pPr>
        <w:numPr>
          <w:ilvl w:val="0"/>
          <w:numId w:val="1010"/>
        </w:numPr>
      </w:pPr>
      <w:r>
        <w:t xml:space="preserve">PMID: 24173590 — Ecdysone regulation of hsp27 in Drosophila.</w:t>
      </w:r>
      <w:r>
        <w:t xml:space="preserve"> </w:t>
      </w:r>
      <w:r>
        <w:rPr>
          <w:i/>
          <w:iCs/>
        </w:rPr>
        <w:t xml:space="preserve">Development Genes and Evolution</w:t>
      </w:r>
      <w:r>
        <w:t xml:space="preserve">, 2013. [Note: indirect support</w:t>
      </w:r>
      <w:r>
        <w:t xml:space="preserve"> </w:t>
      </w:r>
      <w:r>
        <w:t xml:space="preserve">only; cited with caveat.]</w:t>
      </w:r>
    </w:p>
    <w:p>
      <w:pPr>
        <w:numPr>
          <w:ilvl w:val="0"/>
          <w:numId w:val="1010"/>
        </w:numPr>
      </w:pPr>
      <w:r>
        <w:t xml:space="preserve">PMID: 39719433 — Gut microbiota dysbiosis promotes cognitive</w:t>
      </w:r>
      <w:r>
        <w:t xml:space="preserve"> </w:t>
      </w:r>
      <w:r>
        <w:t xml:space="preserve">impairment via bile acid metabolism in MDD.</w:t>
      </w:r>
      <w:r>
        <w:t xml:space="preserve"> </w:t>
      </w:r>
      <w:r>
        <w:rPr>
          <w:i/>
          <w:iCs/>
        </w:rPr>
        <w:t xml:space="preserve">Transl Psychiatry</w:t>
      </w:r>
      <w:r>
        <w:t xml:space="preserve">,</w:t>
      </w:r>
    </w:p>
    <w:p>
      <w:pPr>
        <w:numPr>
          <w:ilvl w:val="0"/>
          <w:numId w:val="1010"/>
        </w:numPr>
      </w:pPr>
      <w:r>
        <w:t xml:space="preserve">PMID: 41763937 — Le et al. (2026). Assessment of Anxiety,</w:t>
      </w:r>
      <w:r>
        <w:t xml:space="preserve"> </w:t>
      </w:r>
      <w:r>
        <w:t xml:space="preserve">Depression and Associated Factors in Post-Liver Transplant</w:t>
      </w:r>
      <w:r>
        <w:t xml:space="preserve"> </w:t>
      </w:r>
      <w:r>
        <w:t xml:space="preserve">Recipients in Vietnam.</w:t>
      </w:r>
      <w:r>
        <w:t xml:space="preserve"> </w:t>
      </w:r>
      <w:r>
        <w:rPr>
          <w:i/>
          <w:iCs/>
        </w:rPr>
        <w:t xml:space="preserve">Transplant Proc</w:t>
      </w:r>
      <w:r>
        <w:t xml:space="preserve">, 2026. [N=72,</w:t>
      </w:r>
      <w:r>
        <w:t xml:space="preserve"> </w:t>
      </w:r>
      <w:r>
        <w:t xml:space="preserve">single-centre.]</w:t>
      </w:r>
    </w:p>
    <w:p>
      <w:pPr>
        <w:numPr>
          <w:ilvl w:val="0"/>
          <w:numId w:val="1010"/>
        </w:numPr>
      </w:pPr>
      <w:r>
        <w:t xml:space="preserve">PMID: 37142003 — Cai, H., et al. (2023). Associations of</w:t>
      </w:r>
      <w:r>
        <w:t xml:space="preserve"> </w:t>
      </w:r>
      <w:r>
        <w:t xml:space="preserve">depression score with MAFLD and liver fibrosis.</w:t>
      </w:r>
      <w:r>
        <w:t xml:space="preserve"> </w:t>
      </w:r>
      <w:r>
        <w:rPr>
          <w:i/>
          <w:iCs/>
        </w:rPr>
        <w:t xml:space="preserve">J Affect Disord</w:t>
      </w:r>
      <w:r>
        <w:t xml:space="preserve">,</w:t>
      </w:r>
      <w:r>
        <w:t xml:space="preserve"> </w:t>
      </w:r>
      <w:r>
        <w:t xml:space="preserve">334, 332-336.</w:t>
      </w:r>
    </w:p>
    <w:bookmarkEnd w:id="59"/>
    <w:bookmarkStart w:id="60" w:name="X208268aa49d1c20fb2391f5cc3d0139ba94f01a"/>
    <w:p>
      <w:pPr>
        <w:pStyle w:val="Heading3"/>
      </w:pPr>
      <w:r>
        <w:t xml:space="preserve">Newly added references (verified via PubMed, 2026-06-15)</w:t>
      </w:r>
    </w:p>
    <w:p>
      <w:pPr>
        <w:numPr>
          <w:ilvl w:val="0"/>
          <w:numId w:val="1014"/>
        </w:numPr>
      </w:pPr>
      <w:r>
        <w:t xml:space="preserve">PMID: 40362260 — Zhao, X., Zheng, I., Huang, W., et al. (2025).</w:t>
      </w:r>
      <w:r>
        <w:t xml:space="preserve"> </w:t>
      </w:r>
      <w:r>
        <w:t xml:space="preserve">Research Progress on the Mechanism of Bile Acids and Their Receptors</w:t>
      </w:r>
      <w:r>
        <w:t xml:space="preserve"> </w:t>
      </w:r>
      <w:r>
        <w:t xml:space="preserve">in Depression.</w:t>
      </w:r>
      <w:r>
        <w:t xml:space="preserve"> </w:t>
      </w:r>
      <w:r>
        <w:rPr>
          <w:i/>
          <w:iCs/>
        </w:rPr>
        <w:t xml:space="preserve">International Journal of Molecular Sciences</w:t>
      </w:r>
      <w:r>
        <w:t xml:space="preserve">,</w:t>
      </w:r>
      <w:r>
        <w:t xml:space="preserve"> </w:t>
      </w:r>
      <w:r>
        <w:t xml:space="preserve">26(9), 4023. DOI: 10.3390/ijms26094023. PMCID: PMC12071821.</w:t>
      </w:r>
    </w:p>
    <w:p>
      <w:pPr>
        <w:numPr>
          <w:ilvl w:val="0"/>
          <w:numId w:val="1014"/>
        </w:numPr>
      </w:pPr>
      <w:r>
        <w:t xml:space="preserve">PMID: 39566821 — Idahosa, S.O., Diarra, R., Ranu, H.K., et</w:t>
      </w:r>
      <w:r>
        <w:t xml:space="preserve"> </w:t>
      </w:r>
      <w:r>
        <w:t xml:space="preserve">al. (2025). Evidence and Mechanism of Bile Acid-Mediated Gut-Brain</w:t>
      </w:r>
      <w:r>
        <w:t xml:space="preserve"> </w:t>
      </w:r>
      <w:r>
        <w:t xml:space="preserve">Axis in Anxiety and Depression.</w:t>
      </w:r>
      <w:r>
        <w:t xml:space="preserve"> </w:t>
      </w:r>
      <w:r>
        <w:rPr>
          <w:i/>
          <w:iCs/>
        </w:rPr>
        <w:t xml:space="preserve">American Journal of Pathology</w:t>
      </w:r>
      <w:r>
        <w:t xml:space="preserve">,</w:t>
      </w:r>
      <w:r>
        <w:t xml:space="preserve"> </w:t>
      </w:r>
      <w:r>
        <w:t xml:space="preserve">195(2), 163-173. DOI: 10.1016/j.ajpath.2024.10.019.</w:t>
      </w:r>
    </w:p>
    <w:p>
      <w:pPr>
        <w:numPr>
          <w:ilvl w:val="0"/>
          <w:numId w:val="1014"/>
        </w:numPr>
      </w:pPr>
      <w:r>
        <w:t xml:space="preserve">PMID: 41465592 — Gut-Brain Axis and Bile Acid Signaling: Linking</w:t>
      </w:r>
      <w:r>
        <w:t xml:space="preserve"> </w:t>
      </w:r>
      <w:r>
        <w:t xml:space="preserve">Microbial Metabolism to Brain Function and Metabolic Regulation.</w:t>
      </w:r>
      <w:r>
        <w:t xml:space="preserve"> </w:t>
      </w:r>
      <w:r>
        <w:rPr>
          <w:i/>
          <w:iCs/>
        </w:rPr>
        <w:t xml:space="preserve">International Journal of Molecular Sciences</w:t>
      </w:r>
      <w:r>
        <w:t xml:space="preserve">, 26(24), 12167 (2025).</w:t>
      </w:r>
    </w:p>
    <w:p>
      <w:pPr>
        <w:numPr>
          <w:ilvl w:val="0"/>
          <w:numId w:val="1014"/>
        </w:numPr>
      </w:pPr>
      <w:r>
        <w:t xml:space="preserve">McMillin, M., &amp; DeMorrow, S. (2016). Effects of bile acids on</w:t>
      </w:r>
      <w:r>
        <w:t xml:space="preserve"> </w:t>
      </w:r>
      <w:r>
        <w:t xml:space="preserve">neurological function and disease.</w:t>
      </w:r>
      <w:r>
        <w:t xml:space="preserve"> </w:t>
      </w:r>
      <w:r>
        <w:rPr>
          <w:i/>
          <w:iCs/>
        </w:rPr>
        <w:t xml:space="preserve">FASEB Journal</w:t>
      </w:r>
      <w:r>
        <w:t xml:space="preserve">, 30(11),</w:t>
      </w:r>
      <w:r>
        <w:t xml:space="preserve"> </w:t>
      </w:r>
      <w:r>
        <w:t xml:space="preserve">3658-3668. DOI: 10.1096/fj.201600275R.</w:t>
      </w:r>
    </w:p>
    <w:p>
      <w:pPr>
        <w:numPr>
          <w:ilvl w:val="0"/>
          <w:numId w:val="1014"/>
        </w:numPr>
      </w:pPr>
      <w:r>
        <w:t xml:space="preserve">El Fettahi, A., &amp; Tqemaladze, J. (2025). Neural-Hepatic Affective</w:t>
      </w:r>
      <w:r>
        <w:t xml:space="preserve"> </w:t>
      </w:r>
      <w:r>
        <w:t xml:space="preserve">Model: an initial formulation.</w:t>
      </w:r>
      <w:r>
        <w:t xml:space="preserve"> </w:t>
      </w:r>
      <w:r>
        <w:rPr>
          <w:i/>
          <w:iCs/>
        </w:rPr>
        <w:t xml:space="preserve">Preprints.org</w:t>
      </w:r>
      <w:r>
        <w:t xml:space="preserve">, 2025051234.</w:t>
      </w:r>
      <w:r>
        <w:t xml:space="preserve"> </w:t>
      </w:r>
      <w:r>
        <w:t xml:space="preserve">[Co-author withdrew June 2026; email correspondence available on</w:t>
      </w:r>
      <w:r>
        <w:t xml:space="preserve"> </w:t>
      </w:r>
      <w:r>
        <w:t xml:space="preserve">request.]</w:t>
      </w:r>
    </w:p>
    <w:p>
      <w:pPr>
        <w:numPr>
          <w:ilvl w:val="0"/>
          <w:numId w:val="1014"/>
        </w:numPr>
      </w:pPr>
      <w:r>
        <w:t xml:space="preserve">PMID: 41459016 — Emerging Roles of Bile Acids in</w:t>
      </w:r>
      <w:r>
        <w:t xml:space="preserve"> </w:t>
      </w:r>
      <w:r>
        <w:t xml:space="preserve">Neuroinflammation.</w:t>
      </w:r>
      <w:r>
        <w:t xml:space="preserve"> </w:t>
      </w:r>
      <w:r>
        <w:rPr>
          <w:i/>
          <w:iCs/>
        </w:rPr>
        <w:t xml:space="preserve">International Journal of Molecular Sciences</w:t>
      </w:r>
      <w:r>
        <w:t xml:space="preserve">,</w:t>
      </w:r>
      <w:r>
        <w:t xml:space="preserve"> </w:t>
      </w:r>
      <w:r>
        <w:t xml:space="preserve">26(23), 11301 (2025).</w:t>
      </w:r>
    </w:p>
    <w:p>
      <w:pPr>
        <w:numPr>
          <w:ilvl w:val="0"/>
          <w:numId w:val="1014"/>
        </w:numPr>
      </w:pPr>
      <w:r>
        <w:t xml:space="preserve">Low polarity fraction of Radix Bupleuri alleviates chronic</w:t>
      </w:r>
      <w:r>
        <w:t xml:space="preserve"> </w:t>
      </w:r>
      <w:r>
        <w:t xml:space="preserve">unpredictable mild stress-induced depression in rats through FXR</w:t>
      </w:r>
      <w:r>
        <w:t xml:space="preserve"> </w:t>
      </w:r>
      <w:r>
        <w:t xml:space="preserve">modulating bile acid homeostasis in liver, gut, and brain.</w:t>
      </w:r>
      <w:r>
        <w:t xml:space="preserve"> </w:t>
      </w:r>
      <w:r>
        <w:rPr>
          <w:i/>
          <w:iCs/>
        </w:rPr>
        <w:t xml:space="preserve">Phytomedicine</w:t>
      </w:r>
      <w:r>
        <w:t xml:space="preserve">, 2024. DOI: 10.1016/j.phymed.2024.156340.</w:t>
      </w:r>
    </w:p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0">
    <w:nsid w:val="00A99410"/>
    <w:multiLevelType w:val="multilevel"/>
    <w:lvl w:ilvl="0">
      <w:start w:val="0"/>
      <w:numFmt w:val="decimal"/>
      <w:lvlText w:val="%1."/>
      <w:lvlJc w:val="left"/>
      <w:pPr>
        <w:ind w:left="720" w:hanging="360"/>
      </w:pPr>
    </w:lvl>
    <w:lvl w:ilvl="1">
      <w:start w:val="0"/>
      <w:numFmt w:val="decimal"/>
      <w:lvlText w:val="%2."/>
      <w:lvlJc w:val="left"/>
      <w:pPr>
        <w:ind w:left="1440" w:hanging="360"/>
      </w:pPr>
    </w:lvl>
    <w:lvl w:ilvl="2">
      <w:start w:val="0"/>
      <w:numFmt w:val="decimal"/>
      <w:lvlText w:val="%3."/>
      <w:lvlJc w:val="left"/>
      <w:pPr>
        <w:ind w:left="2160" w:hanging="360"/>
      </w:pPr>
    </w:lvl>
    <w:lvl w:ilvl="3">
      <w:start w:val="0"/>
      <w:numFmt w:val="decimal"/>
      <w:lvlText w:val="%4."/>
      <w:lvlJc w:val="left"/>
      <w:pPr>
        <w:ind w:left="2880" w:hanging="360"/>
      </w:pPr>
    </w:lvl>
    <w:lvl w:ilvl="4">
      <w:start w:val="0"/>
      <w:numFmt w:val="decimal"/>
      <w:lvlText w:val="%5."/>
      <w:lvlJc w:val="left"/>
      <w:pPr>
        <w:ind w:left="3600" w:hanging="360"/>
      </w:pPr>
    </w:lvl>
    <w:lvl w:ilvl="5">
      <w:start w:val="0"/>
      <w:numFmt w:val="decimal"/>
      <w:lvlText w:val="%6."/>
      <w:lvlJc w:val="left"/>
      <w:pPr>
        <w:ind w:left="4320" w:hanging="360"/>
      </w:pPr>
    </w:lvl>
    <w:lvl w:ilvl="6">
      <w:start w:val="0"/>
      <w:numFmt w:val="decimal"/>
      <w:lvlText w:val="%7."/>
      <w:lvlJc w:val="left"/>
      <w:pPr>
        <w:ind w:left="5040" w:hanging="360"/>
      </w:pPr>
    </w:lvl>
    <w:lvl w:ilvl="7">
      <w:start w:val="0"/>
      <w:numFmt w:val="decimal"/>
      <w:lvlText w:val="%8."/>
      <w:lvlJc w:val="left"/>
      <w:pPr>
        <w:ind w:left="5760" w:hanging="360"/>
      </w:pPr>
    </w:lvl>
    <w:lvl w:ilvl="8">
      <w:start w:val="0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263456">
    <w:nsid w:val="A99411263456"/>
    <w:multiLevelType w:val="multilevel"/>
    <w:lvl w:ilvl="0">
      <w:start w:val="1263456"/>
      <w:numFmt w:val="decimal"/>
      <w:lvlText w:val="%1."/>
      <w:lvlJc w:val="left"/>
      <w:pPr>
        <w:ind w:left="720" w:hanging="360"/>
      </w:pPr>
    </w:lvl>
    <w:lvl w:ilvl="1">
      <w:start w:val="1263456"/>
      <w:numFmt w:val="decimal"/>
      <w:lvlText w:val="%2."/>
      <w:lvlJc w:val="left"/>
      <w:pPr>
        <w:ind w:left="1440" w:hanging="360"/>
      </w:pPr>
    </w:lvl>
    <w:lvl w:ilvl="2">
      <w:start w:val="1263456"/>
      <w:numFmt w:val="decimal"/>
      <w:lvlText w:val="%3."/>
      <w:lvlJc w:val="left"/>
      <w:pPr>
        <w:ind w:left="2160" w:hanging="360"/>
      </w:pPr>
    </w:lvl>
    <w:lvl w:ilvl="3">
      <w:start w:val="1263456"/>
      <w:numFmt w:val="decimal"/>
      <w:lvlText w:val="%4."/>
      <w:lvlJc w:val="left"/>
      <w:pPr>
        <w:ind w:left="2880" w:hanging="360"/>
      </w:pPr>
    </w:lvl>
    <w:lvl w:ilvl="4">
      <w:start w:val="1263456"/>
      <w:numFmt w:val="decimal"/>
      <w:lvlText w:val="%5."/>
      <w:lvlJc w:val="left"/>
      <w:pPr>
        <w:ind w:left="3600" w:hanging="360"/>
      </w:pPr>
    </w:lvl>
    <w:lvl w:ilvl="5">
      <w:start w:val="1263456"/>
      <w:numFmt w:val="decimal"/>
      <w:lvlText w:val="%6."/>
      <w:lvlJc w:val="left"/>
      <w:pPr>
        <w:ind w:left="4320" w:hanging="360"/>
      </w:pPr>
    </w:lvl>
    <w:lvl w:ilvl="6">
      <w:start w:val="1263456"/>
      <w:numFmt w:val="decimal"/>
      <w:lvlText w:val="%7."/>
      <w:lvlJc w:val="left"/>
      <w:pPr>
        <w:ind w:left="5040" w:hanging="360"/>
      </w:pPr>
    </w:lvl>
    <w:lvl w:ilvl="7">
      <w:start w:val="1263456"/>
      <w:numFmt w:val="decimal"/>
      <w:lvlText w:val="%8."/>
      <w:lvlJc w:val="left"/>
      <w:pPr>
        <w:ind w:left="5760" w:hanging="360"/>
      </w:pPr>
    </w:lvl>
    <w:lvl w:ilvl="8">
      <w:start w:val="1263456"/>
      <w:numFmt w:val="decimal"/>
      <w:lvlText w:val="%9."/>
      <w:lvlJc w:val="left"/>
      <w:pPr>
        <w:ind w:left="6480" w:hanging="360"/>
      </w:pPr>
    </w:lvl>
  </w:abstractNum>
  <w:abstractNum w:abstractNumId="99412024">
    <w:nsid w:val="A99412024"/>
    <w:multiLevelType w:val="multilevel"/>
    <w:lvl w:ilvl="0">
      <w:start w:val="2024"/>
      <w:numFmt w:val="decimal"/>
      <w:lvlText w:val="%1."/>
      <w:lvlJc w:val="left"/>
      <w:pPr>
        <w:ind w:left="720" w:hanging="360"/>
      </w:pPr>
    </w:lvl>
    <w:lvl w:ilvl="1">
      <w:start w:val="2024"/>
      <w:numFmt w:val="decimal"/>
      <w:lvlText w:val="%2."/>
      <w:lvlJc w:val="left"/>
      <w:pPr>
        <w:ind w:left="1440" w:hanging="360"/>
      </w:pPr>
    </w:lvl>
    <w:lvl w:ilvl="2">
      <w:start w:val="2024"/>
      <w:numFmt w:val="decimal"/>
      <w:lvlText w:val="%3."/>
      <w:lvlJc w:val="left"/>
      <w:pPr>
        <w:ind w:left="2160" w:hanging="360"/>
      </w:pPr>
    </w:lvl>
    <w:lvl w:ilvl="3">
      <w:start w:val="2024"/>
      <w:numFmt w:val="decimal"/>
      <w:lvlText w:val="%4."/>
      <w:lvlJc w:val="left"/>
      <w:pPr>
        <w:ind w:left="2880" w:hanging="360"/>
      </w:pPr>
    </w:lvl>
    <w:lvl w:ilvl="4">
      <w:start w:val="2024"/>
      <w:numFmt w:val="decimal"/>
      <w:lvlText w:val="%5."/>
      <w:lvlJc w:val="left"/>
      <w:pPr>
        <w:ind w:left="3600" w:hanging="360"/>
      </w:pPr>
    </w:lvl>
    <w:lvl w:ilvl="5">
      <w:start w:val="2024"/>
      <w:numFmt w:val="decimal"/>
      <w:lvlText w:val="%6."/>
      <w:lvlJc w:val="left"/>
      <w:pPr>
        <w:ind w:left="4320" w:hanging="360"/>
      </w:pPr>
    </w:lvl>
    <w:lvl w:ilvl="6">
      <w:start w:val="2024"/>
      <w:numFmt w:val="decimal"/>
      <w:lvlText w:val="%7."/>
      <w:lvlJc w:val="left"/>
      <w:pPr>
        <w:ind w:left="5040" w:hanging="360"/>
      </w:pPr>
    </w:lvl>
    <w:lvl w:ilvl="7">
      <w:start w:val="2024"/>
      <w:numFmt w:val="decimal"/>
      <w:lvlText w:val="%8."/>
      <w:lvlJc w:val="left"/>
      <w:pPr>
        <w:ind w:left="5760" w:hanging="360"/>
      </w:pPr>
    </w:lvl>
    <w:lvl w:ilvl="8">
      <w:start w:val="2024"/>
      <w:numFmt w:val="decimal"/>
      <w:lvlText w:val="%9."/>
      <w:lvlJc w:val="left"/>
      <w:pPr>
        <w:ind w:left="6480" w:hanging="360"/>
      </w:pPr>
    </w:lvl>
  </w:abstractNum>
  <w:abstractNum w:abstractNumId="994120">
    <w:nsid w:val="0A994120"/>
    <w:multiLevelType w:val="multilevel"/>
    <w:lvl w:ilvl="0">
      <w:start w:val="20"/>
      <w:numFmt w:val="decimal"/>
      <w:lvlText w:val="%1."/>
      <w:lvlJc w:val="left"/>
      <w:pPr>
        <w:ind w:left="720" w:hanging="360"/>
      </w:pPr>
    </w:lvl>
    <w:lvl w:ilvl="1">
      <w:start w:val="20"/>
      <w:numFmt w:val="decimal"/>
      <w:lvlText w:val="%2."/>
      <w:lvlJc w:val="left"/>
      <w:pPr>
        <w:ind w:left="1440" w:hanging="360"/>
      </w:pPr>
    </w:lvl>
    <w:lvl w:ilvl="2">
      <w:start w:val="20"/>
      <w:numFmt w:val="decimal"/>
      <w:lvlText w:val="%3."/>
      <w:lvlJc w:val="left"/>
      <w:pPr>
        <w:ind w:left="2160" w:hanging="360"/>
      </w:pPr>
    </w:lvl>
    <w:lvl w:ilvl="3">
      <w:start w:val="20"/>
      <w:numFmt w:val="decimal"/>
      <w:lvlText w:val="%4."/>
      <w:lvlJc w:val="left"/>
      <w:pPr>
        <w:ind w:left="2880" w:hanging="360"/>
      </w:pPr>
    </w:lvl>
    <w:lvl w:ilvl="4">
      <w:start w:val="20"/>
      <w:numFmt w:val="decimal"/>
      <w:lvlText w:val="%5."/>
      <w:lvlJc w:val="left"/>
      <w:pPr>
        <w:ind w:left="3600" w:hanging="360"/>
      </w:pPr>
    </w:lvl>
    <w:lvl w:ilvl="5">
      <w:start w:val="20"/>
      <w:numFmt w:val="decimal"/>
      <w:lvlText w:val="%6."/>
      <w:lvlJc w:val="left"/>
      <w:pPr>
        <w:ind w:left="4320" w:hanging="360"/>
      </w:pPr>
    </w:lvl>
    <w:lvl w:ilvl="6">
      <w:start w:val="20"/>
      <w:numFmt w:val="decimal"/>
      <w:lvlText w:val="%7."/>
      <w:lvlJc w:val="left"/>
      <w:pPr>
        <w:ind w:left="5040" w:hanging="360"/>
      </w:pPr>
    </w:lvl>
    <w:lvl w:ilvl="7">
      <w:start w:val="20"/>
      <w:numFmt w:val="decimal"/>
      <w:lvlText w:val="%8."/>
      <w:lvlJc w:val="left"/>
      <w:pPr>
        <w:ind w:left="5760" w:hanging="360"/>
      </w:pPr>
    </w:lvl>
    <w:lvl w:ilvl="8">
      <w:start w:val="20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1">
    <w:abstractNumId w:val="99411263456"/>
    <w:lvlOverride w:ilvl="0">
      <w:startOverride w:val="1263456"/>
    </w:lvlOverride>
    <w:lvlOverride w:ilvl="1">
      <w:startOverride w:val="1263456"/>
    </w:lvlOverride>
    <w:lvlOverride w:ilvl="2">
      <w:startOverride w:val="1263456"/>
    </w:lvlOverride>
    <w:lvlOverride w:ilvl="3">
      <w:startOverride w:val="1263456"/>
    </w:lvlOverride>
    <w:lvlOverride w:ilvl="4">
      <w:startOverride w:val="1263456"/>
    </w:lvlOverride>
    <w:lvlOverride w:ilvl="5">
      <w:startOverride w:val="1263456"/>
    </w:lvlOverride>
    <w:lvlOverride w:ilvl="6">
      <w:startOverride w:val="1263456"/>
    </w:lvlOverride>
    <w:lvlOverride w:ilvl="7">
      <w:startOverride w:val="1263456"/>
    </w:lvlOverride>
    <w:lvlOverride w:ilvl="8">
      <w:startOverride w:val="1263456"/>
    </w:lvlOverride>
  </w:num>
  <w:num w:numId="1012">
    <w:abstractNumId w:val="99411263456"/>
    <w:lvlOverride w:ilvl="0">
      <w:startOverride w:val="1263456"/>
    </w:lvlOverride>
    <w:lvlOverride w:ilvl="1">
      <w:startOverride w:val="1263456"/>
    </w:lvlOverride>
    <w:lvlOverride w:ilvl="2">
      <w:startOverride w:val="1263456"/>
    </w:lvlOverride>
    <w:lvlOverride w:ilvl="3">
      <w:startOverride w:val="1263456"/>
    </w:lvlOverride>
    <w:lvlOverride w:ilvl="4">
      <w:startOverride w:val="1263456"/>
    </w:lvlOverride>
    <w:lvlOverride w:ilvl="5">
      <w:startOverride w:val="1263456"/>
    </w:lvlOverride>
    <w:lvlOverride w:ilvl="6">
      <w:startOverride w:val="1263456"/>
    </w:lvlOverride>
    <w:lvlOverride w:ilvl="7">
      <w:startOverride w:val="1263456"/>
    </w:lvlOverride>
    <w:lvlOverride w:ilvl="8">
      <w:startOverride w:val="1263456"/>
    </w:lvlOverride>
  </w:num>
  <w:num w:numId="1013">
    <w:abstractNumId w:val="99412024"/>
    <w:lvlOverride w:ilvl="0">
      <w:startOverride w:val="2024"/>
    </w:lvlOverride>
    <w:lvlOverride w:ilvl="1">
      <w:startOverride w:val="2024"/>
    </w:lvlOverride>
    <w:lvlOverride w:ilvl="2">
      <w:startOverride w:val="2024"/>
    </w:lvlOverride>
    <w:lvlOverride w:ilvl="3">
      <w:startOverride w:val="2024"/>
    </w:lvlOverride>
    <w:lvlOverride w:ilvl="4">
      <w:startOverride w:val="2024"/>
    </w:lvlOverride>
    <w:lvlOverride w:ilvl="5">
      <w:startOverride w:val="2024"/>
    </w:lvlOverride>
    <w:lvlOverride w:ilvl="6">
      <w:startOverride w:val="2024"/>
    </w:lvlOverride>
    <w:lvlOverride w:ilvl="7">
      <w:startOverride w:val="2024"/>
    </w:lvlOverride>
    <w:lvlOverride w:ilvl="8">
      <w:startOverride w:val="2024"/>
    </w:lvlOverride>
  </w:num>
  <w:num w:numId="1014">
    <w:abstractNumId w:val="994120"/>
    <w:lvlOverride w:ilvl="0">
      <w:startOverride w:val="20"/>
    </w:lvlOverride>
    <w:lvlOverride w:ilvl="1">
      <w:startOverride w:val="20"/>
    </w:lvlOverride>
    <w:lvlOverride w:ilvl="2">
      <w:startOverride w:val="20"/>
    </w:lvlOverride>
    <w:lvlOverride w:ilvl="3">
      <w:startOverride w:val="20"/>
    </w:lvlOverride>
    <w:lvlOverride w:ilvl="4">
      <w:startOverride w:val="20"/>
    </w:lvlOverride>
    <w:lvlOverride w:ilvl="5">
      <w:startOverride w:val="20"/>
    </w:lvlOverride>
    <w:lvlOverride w:ilvl="6">
      <w:startOverride w:val="20"/>
    </w:lvlOverride>
    <w:lvlOverride w:ilvl="7">
      <w:startOverride w:val="20"/>
    </w:lvlOverride>
    <w:lvlOverride w:ilvl="8">
      <w:startOverride w:val="20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mailto:jaba@longevity.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mailto:jaba@longevity.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2026-06-27T19:19:53Z</dcterms:created>
  <dcterms:modified xsi:type="dcterms:W3CDTF">2026-06-27T19:19:53Z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