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before="240" w:after="120" w:line="276" w:lineRule="auto"/>
        <w:jc w:val="left"/>
      </w:pPr>
      <w:r>
        <w:rPr>
          <w:rFonts w:ascii="Calibri" w:hAnsi="Calibri" w:cs="Calibri" w:eastAsia="Calibri"/>
          <w:b/>
          <w:color w:val="17365D"/>
          <w:sz w:val="52"/>
        </w:rPr>
        <w:t xml:space="preserve">BioSense: A Wearable Platform for Continuous Monitoring of Aging as a Total Chronic Disease</w:t>
      </w:r>
    </w:p>
    <w:p>
      <w:pPr>
        <w:pStyle w:val="FirstParagraph"/>
        <w:spacing w:before="0" w:after="200" w:line="276" w:lineRule="auto"/>
        <w:jc w:val="both"/>
      </w:pPr>
      <w:r>
        <w:rPr>
          <w:rFonts w:ascii="Cambria" w:hAnsi="Cambria" w:cs="Cambria" w:eastAsia="Cambria"/>
          <w:b/>
          <w:bCs/>
          <w:sz w:val="22"/>
        </w:rPr>
        <w:t xml:space="preserve">Authors</w:t>
      </w:r>
      <w:r>
        <w:rPr>
          <w:rFonts w:ascii="Cambria" w:hAnsi="Cambria" w:cs="Cambria" w:eastAsia="Cambria"/>
          <w:sz w:val="22"/>
        </w:rPr>
        <w:t xml:space="preserve">: Jaba Tkemaladze¹*, [co-authors from neuroscience and biostatistics recommended]</w:t>
      </w:r>
      <w:r>
        <w:rPr>
          <w:rFonts w:ascii="Cambria" w:hAnsi="Cambria" w:cs="Cambria" w:eastAsia="Cambria"/>
          <w:sz w:val="22"/>
        </w:rPr>
        <w:t xml:space="preserve"> </w:t>
      </w:r>
      <w:r>
        <w:rPr>
          <w:rFonts w:ascii="Cambria" w:hAnsi="Cambria" w:cs="Cambria" w:eastAsia="Cambria"/>
          <w:b/>
          <w:bCs/>
          <w:sz w:val="22"/>
        </w:rPr>
        <w:t xml:space="preserve">Affiliation</w:t>
      </w:r>
      <w:r>
        <w:rPr>
          <w:rFonts w:ascii="Cambria" w:hAnsi="Cambria" w:cs="Cambria" w:eastAsia="Cambria"/>
          <w:sz w:val="22"/>
        </w:rPr>
        <w:t xml:space="preserve">: ¹Georgia Longevity Alliance, Reg. №404506520</w:t>
      </w:r>
      <w:r>
        <w:rPr>
          <w:rFonts w:ascii="Cambria" w:hAnsi="Cambria" w:cs="Cambria" w:eastAsia="Cambria"/>
          <w:sz w:val="22"/>
        </w:rPr>
        <w:t xml:space="preserve"> </w:t>
      </w:r>
      <w:r>
        <w:rPr>
          <w:rFonts w:ascii="Cambria" w:hAnsi="Cambria" w:cs="Cambria" w:eastAsia="Cambria"/>
          <w:b/>
          <w:bCs/>
          <w:sz w:val="22"/>
        </w:rPr>
        <w:t xml:space="preserve">Correspondence</w:t>
      </w:r>
      <w:r>
        <w:rPr>
          <w:rFonts w:ascii="Cambria" w:hAnsi="Cambria" w:cs="Cambria" w:eastAsia="Cambria"/>
          <w:sz w:val="22"/>
        </w:rPr>
        <w:t xml:space="preserve">: jaba@longevity.ge | ORCID: 0000-0002-3826-7982</w:t>
      </w:r>
    </w:p>
    <w:p>
      <w:pPr>
        <w:pStyle w:val="BodyText"/>
        <w:spacing w:before="0" w:after="200" w:line="276" w:lineRule="auto"/>
        <w:jc w:val="both"/>
      </w:pPr>
      <w:r>
        <w:rPr>
          <w:rFonts w:ascii="Cambria" w:hAnsi="Cambria" w:cs="Cambria" w:eastAsia="Cambria"/>
          <w:b/>
          <w:bCs/>
          <w:sz w:val="22"/>
        </w:rPr>
        <w:t xml:space="preserve">Target Journals</w:t>
      </w:r>
      <w:r>
        <w:rPr>
          <w:rFonts w:ascii="Cambria" w:hAnsi="Cambria" w:cs="Cambria" w:eastAsia="Cambria"/>
          <w:sz w:val="22"/>
        </w:rPr>
        <w:t xml:space="preserve">:</w:t>
      </w:r>
      <w:r>
        <w:rPr>
          <w:rFonts w:ascii="Cambria" w:hAnsi="Cambria" w:cs="Cambria" w:eastAsia="Cambria"/>
          <w:sz w:val="22"/>
        </w:rPr>
        <w:t xml:space="preserve"> </w:t>
      </w:r>
      <w:r>
        <w:rPr>
          <w:rFonts w:ascii="Cambria" w:hAnsi="Cambria" w:cs="Cambria" w:eastAsia="Cambria"/>
          <w:i/>
          <w:iCs/>
          <w:sz w:val="22"/>
        </w:rPr>
        <w:t xml:space="preserve">Nature Aging</w:t>
      </w:r>
      <w:r>
        <w:rPr>
          <w:rFonts w:ascii="Cambria" w:hAnsi="Cambria" w:cs="Cambria" w:eastAsia="Cambria"/>
          <w:sz w:val="22"/>
        </w:rPr>
        <w:t xml:space="preserve"> </w:t>
      </w:r>
      <w:r>
        <w:rPr>
          <w:rFonts w:ascii="Cambria" w:hAnsi="Cambria" w:cs="Cambria" w:eastAsia="Cambria"/>
          <w:sz w:val="22"/>
        </w:rPr>
        <w:t xml:space="preserve">/</w:t>
      </w:r>
      <w:r>
        <w:rPr>
          <w:rFonts w:ascii="Cambria" w:hAnsi="Cambria" w:cs="Cambria" w:eastAsia="Cambria"/>
          <w:sz w:val="22"/>
        </w:rPr>
        <w:t xml:space="preserve"> </w:t>
      </w:r>
      <w:r>
        <w:rPr>
          <w:rFonts w:ascii="Cambria" w:hAnsi="Cambria" w:cs="Cambria" w:eastAsia="Cambria"/>
          <w:i/>
          <w:iCs/>
          <w:sz w:val="22"/>
        </w:rPr>
        <w:t xml:space="preserve">npj Digital Medicine</w:t>
      </w:r>
      <w:r>
        <w:rPr>
          <w:rFonts w:ascii="Cambria" w:hAnsi="Cambria" w:cs="Cambria" w:eastAsia="Cambria"/>
          <w:sz w:val="22"/>
        </w:rPr>
        <w:t xml:space="preserve"> </w:t>
      </w:r>
      <w:r>
        <w:rPr>
          <w:rFonts w:ascii="Cambria" w:hAnsi="Cambria" w:cs="Cambria" w:eastAsia="Cambria"/>
          <w:sz w:val="22"/>
        </w:rPr>
        <w:t xml:space="preserve">/</w:t>
      </w:r>
      <w:r>
        <w:rPr>
          <w:rFonts w:ascii="Cambria" w:hAnsi="Cambria" w:cs="Cambria" w:eastAsia="Cambria"/>
          <w:sz w:val="22"/>
        </w:rPr>
        <w:t xml:space="preserve"> </w:t>
      </w:r>
      <w:r>
        <w:rPr>
          <w:rFonts w:ascii="Cambria" w:hAnsi="Cambria" w:cs="Cambria" w:eastAsia="Cambria"/>
          <w:i/>
          <w:iCs/>
          <w:sz w:val="22"/>
        </w:rPr>
        <w:t xml:space="preserve">The Lancet Digital Health</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Abstract</w:t>
      </w:r>
    </w:p>
    <w:p>
      <w:pPr>
        <w:pStyle w:val="FirstParagraph"/>
        <w:spacing w:before="0" w:after="200" w:line="276" w:lineRule="auto"/>
        <w:jc w:val="both"/>
      </w:pPr>
      <w:r>
        <w:rPr>
          <w:rFonts w:ascii="Cambria" w:hAnsi="Cambria" w:cs="Cambria" w:eastAsia="Cambria"/>
          <w:b/>
          <w:bCs/>
          <w:sz w:val="22"/>
        </w:rPr>
        <w:t xml:space="preserve">Paradigm.</w:t>
      </w:r>
      <w:r>
        <w:rPr>
          <w:rFonts w:ascii="Cambria" w:hAnsi="Cambria" w:cs="Cambria" w:eastAsia="Cambria"/>
          <w:sz w:val="22"/>
        </w:rPr>
        <w:t xml:space="preserve"> </w:t>
      </w:r>
      <w:r>
        <w:rPr>
          <w:rFonts w:ascii="Cambria" w:hAnsi="Cambria" w:cs="Cambria" w:eastAsia="Cambria"/>
          <w:sz w:val="22"/>
        </w:rPr>
        <w:t xml:space="preserve">Aging is conceptualized as a total chronic disease (TCD) affecting all multicellular animals and humans from the moment of conception, consistent with ICD-11 codes XT9T</w:t>
      </w:r>
      <w:r>
        <w:rPr>
          <w:rFonts w:ascii="Cambria" w:hAnsi="Cambria" w:cs="Cambria" w:eastAsia="Cambria"/>
          <w:sz w:val="22"/>
        </w:rPr>
        <w:t xml:space="preserve"> </w:t>
      </w:r>
      <w:r>
        <w:rPr>
          <w:rFonts w:ascii="Cambria" w:hAnsi="Cambria" w:cs="Cambria" w:eastAsia="Cambria"/>
          <w:sz w:val="22"/>
        </w:rPr>
        <w:t xml:space="preserve">“Ageing-related”</w:t>
      </w:r>
      <w:r>
        <w:rPr>
          <w:rFonts w:ascii="Cambria" w:hAnsi="Cambria" w:cs="Cambria" w:eastAsia="Cambria"/>
          <w:sz w:val="22"/>
        </w:rPr>
        <w:t xml:space="preserve"> </w:t>
      </w:r>
      <w:r>
        <w:rPr>
          <w:rFonts w:ascii="Cambria" w:hAnsi="Cambria" w:cs="Cambria" w:eastAsia="Cambria"/>
          <w:sz w:val="22"/>
        </w:rPr>
        <w:t xml:space="preserve">(2018) and MG2A</w:t>
      </w:r>
      <w:r>
        <w:rPr>
          <w:rFonts w:ascii="Cambria" w:hAnsi="Cambria" w:cs="Cambria" w:eastAsia="Cambria"/>
          <w:sz w:val="22"/>
        </w:rPr>
        <w:t xml:space="preserve"> </w:t>
      </w:r>
      <w:r>
        <w:rPr>
          <w:rFonts w:ascii="Cambria" w:hAnsi="Cambria" w:cs="Cambria" w:eastAsia="Cambria"/>
          <w:sz w:val="22"/>
        </w:rPr>
        <w:t xml:space="preserve">“Ageing associated decline in intrinsic capacity”</w:t>
      </w:r>
      <w:r>
        <w:rPr>
          <w:rFonts w:ascii="Cambria" w:hAnsi="Cambria" w:cs="Cambria" w:eastAsia="Cambria"/>
          <w:sz w:val="22"/>
        </w:rPr>
        <w:t xml:space="preserve"> </w:t>
      </w:r>
      <w:r>
        <w:rPr>
          <w:rFonts w:ascii="Cambria" w:hAnsi="Cambria" w:cs="Cambria" w:eastAsia="Cambria"/>
          <w:sz w:val="22"/>
        </w:rPr>
        <w:t xml:space="preserve">(2025).</w:t>
      </w:r>
    </w:p>
    <w:p>
      <w:pPr>
        <w:pStyle w:val="BodyText"/>
        <w:spacing w:before="0" w:after="200" w:line="276" w:lineRule="auto"/>
        <w:jc w:val="both"/>
      </w:pPr>
      <w:r>
        <w:rPr>
          <w:rFonts w:ascii="Cambria" w:hAnsi="Cambria" w:cs="Cambria" w:eastAsia="Cambria"/>
          <w:b/>
          <w:bCs/>
          <w:sz w:val="22"/>
        </w:rPr>
        <w:t xml:space="preserve">Problem.</w:t>
      </w:r>
      <w:r>
        <w:rPr>
          <w:rFonts w:ascii="Cambria" w:hAnsi="Cambria" w:cs="Cambria" w:eastAsia="Cambria"/>
          <w:sz w:val="22"/>
        </w:rPr>
        <w:t xml:space="preserve"> </w:t>
      </w:r>
      <w:r>
        <w:rPr>
          <w:rFonts w:ascii="Cambria" w:hAnsi="Cambria" w:cs="Cambria" w:eastAsia="Cambria"/>
          <w:sz w:val="22"/>
        </w:rPr>
        <w:t xml:space="preserve">Current medicine primarily addresses acute exacerbations without continuous monitoring of the primary disease activity. Wearable devices collect physiological signals but lack a theoretical framework linking these signals to fundamental aging processes.</w:t>
      </w:r>
    </w:p>
    <w:p>
      <w:pPr>
        <w:pStyle w:val="BodyText"/>
        <w:spacing w:before="0" w:after="200" w:line="276" w:lineRule="auto"/>
        <w:jc w:val="both"/>
      </w:pPr>
      <w:r>
        <w:rPr>
          <w:rFonts w:ascii="Cambria" w:hAnsi="Cambria" w:cs="Cambria" w:eastAsia="Cambria"/>
          <w:b/>
          <w:bCs/>
          <w:sz w:val="22"/>
        </w:rPr>
        <w:t xml:space="preserve">Solution—BioSense.</w:t>
      </w:r>
      <w:r>
        <w:rPr>
          <w:rFonts w:ascii="Cambria" w:hAnsi="Cambria" w:cs="Cambria" w:eastAsia="Cambria"/>
          <w:sz w:val="22"/>
        </w:rPr>
        <w:t xml:space="preserve"> </w:t>
      </w:r>
      <w:r>
        <w:rPr>
          <w:rFonts w:ascii="Cambria" w:hAnsi="Cambria" w:cs="Cambria" w:eastAsia="Cambria"/>
          <w:sz w:val="22"/>
        </w:rPr>
        <w:t xml:space="preserve">We present BioSense, a wearable platform that: (1) estimates aging activity via the χ_Ze index—derived from Ze Vectors Theory—computed from EEG, HRV, respiration, and sleep patterns; (2) provides preliminary estimates of 30-day exacerbation risk (bootstrap-corrected AUC 0.76–0.88 in a prospective pilot cohort, N=150, 9 months;</w:t>
      </w:r>
      <w:r>
        <w:rPr>
          <w:rFonts w:ascii="Cambria" w:hAnsi="Cambria" w:cs="Cambria" w:eastAsia="Cambria"/>
          <w:sz w:val="22"/>
        </w:rPr>
        <w:t xml:space="preserve"> </w:t>
      </w:r>
      <w:r>
        <w:rPr>
          <w:rFonts w:ascii="Cambria" w:hAnsi="Cambria" w:cs="Cambria" w:eastAsia="Cambria"/>
          <w:b/>
          <w:bCs/>
          <w:sz w:val="22"/>
        </w:rPr>
        <w:t xml:space="preserve">note: this sample size is underpowered for the declared α=0.00025; results are exploratory</w:t>
      </w:r>
      <w:r>
        <w:rPr>
          <w:rFonts w:ascii="Cambria" w:hAnsi="Cambria" w:cs="Cambria" w:eastAsia="Cambria"/>
          <w:sz w:val="22"/>
        </w:rPr>
        <w:t xml:space="preserve">); (3) follows an open-science framework (preregistration planned at OSF, α=0.00025 requires N≥500 per power analysis); (4) is embedded within the FCLC data infrastructure with five-layer differential privacy (ε=2.0, k-anonymity k≥7).</w:t>
      </w:r>
    </w:p>
    <w:p>
      <w:pPr>
        <w:pStyle w:val="BodyText"/>
        <w:spacing w:before="0" w:after="200" w:line="276" w:lineRule="auto"/>
        <w:jc w:val="both"/>
      </w:pPr>
      <w:r>
        <w:rPr>
          <w:rFonts w:ascii="Cambria" w:hAnsi="Cambria" w:cs="Cambria" w:eastAsia="Cambria"/>
          <w:b/>
          <w:bCs/>
          <w:sz w:val="22"/>
        </w:rPr>
        <w:t xml:space="preserve">External validation.</w:t>
      </w:r>
      <w:r>
        <w:rPr>
          <w:rFonts w:ascii="Cambria" w:hAnsi="Cambria" w:cs="Cambria" w:eastAsia="Cambria"/>
          <w:sz w:val="22"/>
        </w:rPr>
        <w:t xml:space="preserve"> </w:t>
      </w:r>
      <w:r>
        <w:rPr>
          <w:rFonts w:ascii="Cambria" w:hAnsi="Cambria" w:cs="Cambria" w:eastAsia="Cambria"/>
          <w:sz w:val="22"/>
        </w:rPr>
        <w:t xml:space="preserve">On All of Us Fitbit data (N=2,222), χ_Ze correlates with PhenoAge (r=0.67, 95% CI: 0.64–0.70, R²=0.45) and detects accelerated aging with AUC=0.81 (95% CI: 0.78–0.84).</w:t>
      </w:r>
      <w:r>
        <w:rPr>
          <w:rFonts w:ascii="Cambria" w:hAnsi="Cambria" w:cs="Cambria" w:eastAsia="Cambria"/>
          <w:sz w:val="22"/>
        </w:rPr>
        <w:t xml:space="preserve"> </w:t>
      </w:r>
      <w:r>
        <w:rPr>
          <w:rFonts w:ascii="Cambria" w:hAnsi="Cambria" w:cs="Cambria" w:eastAsia="Cambria"/>
          <w:b/>
          <w:bCs/>
          <w:sz w:val="22"/>
        </w:rPr>
        <w:t xml:space="preserve">Note: This is an exploratory analysis, not confirmatory validation, due to absence of pre-registration.</w:t>
      </w:r>
    </w:p>
    <w:p>
      <w:pPr>
        <w:pStyle w:val="BodyText"/>
        <w:spacing w:before="0" w:after="200" w:line="276" w:lineRule="auto"/>
        <w:jc w:val="both"/>
      </w:pPr>
      <w:r>
        <w:rPr>
          <w:rFonts w:ascii="Cambria" w:hAnsi="Cambria" w:cs="Cambria" w:eastAsia="Cambria"/>
          <w:b/>
          <w:bCs/>
          <w:sz w:val="22"/>
        </w:rPr>
        <w:t xml:space="preserve">Keywords:</w:t>
      </w:r>
      <w:r>
        <w:rPr>
          <w:rFonts w:ascii="Cambria" w:hAnsi="Cambria" w:cs="Cambria" w:eastAsia="Cambria"/>
          <w:sz w:val="22"/>
        </w:rPr>
        <w:t xml:space="preserve"> </w:t>
      </w:r>
      <w:r>
        <w:rPr>
          <w:rFonts w:ascii="Cambria" w:hAnsi="Cambria" w:cs="Cambria" w:eastAsia="Cambria"/>
          <w:sz w:val="22"/>
        </w:rPr>
        <w:t xml:space="preserve">aging as a disease; wearable platform; χ_Ze; exacerbation prediction; differential privacy; Ze Vectors Theory</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1. Introduction</w:t>
      </w:r>
    </w:p>
    <w:p>
      <w:pPr>
        <w:pStyle w:val="Heading3"/>
        <w:spacing w:before="200" w:after="120" w:line="276" w:lineRule="auto"/>
        <w:jc w:val="left"/>
      </w:pPr>
      <w:r>
        <w:rPr>
          <w:rFonts w:ascii="Calibri" w:hAnsi="Calibri" w:cs="Calibri" w:eastAsia="Calibri"/>
          <w:b/>
          <w:color w:val="4F81BD"/>
          <w:sz w:val="26"/>
        </w:rPr>
        <w:t xml:space="preserve">1.1 Aging as a Total Chronic Disease</w:t>
      </w:r>
    </w:p>
    <w:p>
      <w:pPr>
        <w:pStyle w:val="FirstParagraph"/>
        <w:spacing w:before="0" w:after="200" w:line="276" w:lineRule="auto"/>
        <w:jc w:val="both"/>
      </w:pPr>
      <w:r>
        <w:rPr>
          <w:rFonts w:ascii="Cambria" w:hAnsi="Cambria" w:cs="Cambria" w:eastAsia="Cambria"/>
          <w:sz w:val="22"/>
        </w:rPr>
        <w:t xml:space="preserve">Since the 1990s, the concept</w:t>
      </w:r>
      <w:r>
        <w:rPr>
          <w:rFonts w:ascii="Cambria" w:hAnsi="Cambria" w:cs="Cambria" w:eastAsia="Cambria"/>
          <w:sz w:val="22"/>
        </w:rPr>
        <w:t xml:space="preserve"> </w:t>
      </w:r>
      <w:r>
        <w:rPr>
          <w:rFonts w:ascii="Cambria" w:hAnsi="Cambria" w:cs="Cambria" w:eastAsia="Cambria"/>
          <w:sz w:val="22"/>
        </w:rPr>
        <w:t xml:space="preserve">“aging is a disease”</w:t>
      </w:r>
      <w:r>
        <w:rPr>
          <w:rFonts w:ascii="Cambria" w:hAnsi="Cambria" w:cs="Cambria" w:eastAsia="Cambria"/>
          <w:sz w:val="22"/>
        </w:rPr>
        <w:t xml:space="preserve"> </w:t>
      </w:r>
      <w:r>
        <w:rPr>
          <w:rFonts w:ascii="Cambria" w:hAnsi="Cambria" w:cs="Cambria" w:eastAsia="Cambria"/>
          <w:sz w:val="22"/>
        </w:rPr>
        <w:t xml:space="preserve">has been discussed but not adopted clinically. However, in 2018, the World Health Organization’s 11th revision of the International Classification of Diseases (ICD-11) introduced the extension code</w:t>
      </w:r>
      <w:r>
        <w:rPr>
          <w:rFonts w:ascii="Cambria" w:hAnsi="Cambria" w:cs="Cambria" w:eastAsia="Cambria"/>
          <w:sz w:val="22"/>
        </w:rPr>
        <w:t xml:space="preserve"> </w:t>
      </w:r>
      <w:r>
        <w:rPr>
          <w:rFonts w:ascii="Cambria" w:hAnsi="Cambria" w:cs="Cambria" w:eastAsia="Cambria"/>
          <w:sz w:val="22"/>
        </w:rPr>
        <w:t xml:space="preserve">“Ageing-related”</w:t>
      </w:r>
      <w:r>
        <w:rPr>
          <w:rFonts w:ascii="Cambria" w:hAnsi="Cambria" w:cs="Cambria" w:eastAsia="Cambria"/>
          <w:sz w:val="22"/>
        </w:rPr>
        <w:t xml:space="preserve"> </w:t>
      </w:r>
      <w:r>
        <w:rPr>
          <w:rFonts w:ascii="Cambria" w:hAnsi="Cambria" w:cs="Cambria" w:eastAsia="Cambria"/>
          <w:sz w:val="22"/>
        </w:rPr>
        <w:t xml:space="preserve">(XT9T). In 2025, code MG2A</w:t>
      </w:r>
      <w:r>
        <w:rPr>
          <w:rFonts w:ascii="Cambria" w:hAnsi="Cambria" w:cs="Cambria" w:eastAsia="Cambria"/>
          <w:sz w:val="22"/>
        </w:rPr>
        <w:t xml:space="preserve"> </w:t>
      </w:r>
      <w:r>
        <w:rPr>
          <w:rFonts w:ascii="Cambria" w:hAnsi="Cambria" w:cs="Cambria" w:eastAsia="Cambria"/>
          <w:sz w:val="22"/>
        </w:rPr>
        <w:t xml:space="preserve">“Ageing associated decline in intrinsic capacity”</w:t>
      </w:r>
      <w:r>
        <w:rPr>
          <w:rFonts w:ascii="Cambria" w:hAnsi="Cambria" w:cs="Cambria" w:eastAsia="Cambria"/>
          <w:sz w:val="22"/>
        </w:rPr>
        <w:t xml:space="preserve"> </w:t>
      </w:r>
      <w:r>
        <w:rPr>
          <w:rFonts w:ascii="Cambria" w:hAnsi="Cambria" w:cs="Cambria" w:eastAsia="Cambria"/>
          <w:sz w:val="22"/>
        </w:rPr>
        <w:t xml:space="preserve">was added, establishing aging as a distinct medical category requiring diagnosis and monitoring.</w:t>
      </w:r>
    </w:p>
    <w:p>
      <w:pPr>
        <w:pStyle w:val="BodyText"/>
        <w:spacing w:before="0" w:after="200" w:line="276" w:lineRule="auto"/>
        <w:jc w:val="both"/>
      </w:pPr>
      <w:r>
        <w:rPr>
          <w:rFonts w:ascii="Cambria" w:hAnsi="Cambria" w:cs="Cambria" w:eastAsia="Cambria"/>
          <w:sz w:val="22"/>
        </w:rPr>
        <w:t xml:space="preserve">We propose a working definition based on the centriolar damage accumulation hypothesis (Tkemaladze, 2023):</w:t>
      </w:r>
    </w:p>
    <w:p>
      <w:pPr>
        <w:pStyle w:val="BodyText"/>
        <w:spacing w:before="0" w:after="200" w:line="276" w:lineRule="auto"/>
        <w:jc w:val="both"/>
      </w:pPr>
      <w:r>
        <w:rPr>
          <w:rFonts w:ascii="Cambria" w:hAnsi="Cambria" w:cs="Cambria" w:eastAsia="Cambria"/>
          <w:b/>
          <w:bCs/>
          <w:sz w:val="22"/>
        </w:rPr>
        <w:t xml:space="preserve">Aging is a total chronic disease (TCD)</w:t>
      </w:r>
      <w:r>
        <w:rPr>
          <w:rFonts w:ascii="Cambria" w:hAnsi="Cambria" w:cs="Cambria" w:eastAsia="Cambria"/>
          <w:sz w:val="22"/>
        </w:rPr>
        <w:t xml:space="preserve"> </w:t>
      </w:r>
      <w:r>
        <w:rPr>
          <w:rFonts w:ascii="Cambria" w:hAnsi="Cambria" w:cs="Cambria" w:eastAsia="Cambria"/>
          <w:sz w:val="22"/>
        </w:rPr>
        <w:t xml:space="preserve">characterized by:</w:t>
      </w:r>
    </w:p>
    <w:p>
      <w:pPr>
        <w:pStyle w:val="Compact"/>
        <w:numPr>
          <w:ilvl w:val="0"/>
          <w:numId w:val="1001"/>
        </w:numPr>
        <w:spacing w:before="0" w:after="200" w:line="276" w:lineRule="auto"/>
        <w:jc w:val="both"/>
      </w:pPr>
      <w:r>
        <w:rPr>
          <w:rFonts w:ascii="Cambria" w:hAnsi="Cambria" w:cs="Cambria" w:eastAsia="Cambria"/>
          <w:b/>
          <w:bCs/>
          <w:sz w:val="22"/>
        </w:rPr>
        <w:t xml:space="preserve">Incidence:</w:t>
      </w:r>
      <w:r>
        <w:rPr>
          <w:rFonts w:ascii="Cambria" w:hAnsi="Cambria" w:cs="Cambria" w:eastAsia="Cambria"/>
          <w:sz w:val="22"/>
        </w:rPr>
        <w:t xml:space="preserve"> </w:t>
      </w:r>
      <w:r>
        <w:rPr>
          <w:rFonts w:ascii="Cambria" w:hAnsi="Cambria" w:cs="Cambria" w:eastAsia="Cambria"/>
          <w:sz w:val="22"/>
        </w:rPr>
        <w:t xml:space="preserve">100% among multicellular organisms</w:t>
      </w:r>
    </w:p>
    <w:p>
      <w:pPr>
        <w:pStyle w:val="Compact"/>
        <w:numPr>
          <w:ilvl w:val="0"/>
          <w:numId w:val="1001"/>
        </w:numPr>
        <w:spacing w:before="0" w:after="200" w:line="276" w:lineRule="auto"/>
        <w:jc w:val="both"/>
      </w:pPr>
      <w:r>
        <w:rPr>
          <w:rFonts w:ascii="Cambria" w:hAnsi="Cambria" w:cs="Cambria" w:eastAsia="Cambria"/>
          <w:b/>
          <w:bCs/>
          <w:sz w:val="22"/>
        </w:rPr>
        <w:t xml:space="preserve">Onset:</w:t>
      </w:r>
      <w:r>
        <w:rPr>
          <w:rFonts w:ascii="Cambria" w:hAnsi="Cambria" w:cs="Cambria" w:eastAsia="Cambria"/>
          <w:sz w:val="22"/>
        </w:rPr>
        <w:t xml:space="preserve"> </w:t>
      </w:r>
      <w:r>
        <w:rPr>
          <w:rFonts w:ascii="Cambria" w:hAnsi="Cambria" w:cs="Cambria" w:eastAsia="Cambria"/>
          <w:sz w:val="22"/>
        </w:rPr>
        <w:t xml:space="preserve">From the moment of conception</w:t>
      </w:r>
    </w:p>
    <w:p>
      <w:pPr>
        <w:pStyle w:val="Compact"/>
        <w:numPr>
          <w:ilvl w:val="0"/>
          <w:numId w:val="1001"/>
        </w:numPr>
        <w:spacing w:before="0" w:after="200" w:line="276" w:lineRule="auto"/>
        <w:jc w:val="both"/>
      </w:pPr>
      <w:r>
        <w:rPr>
          <w:rFonts w:ascii="Cambria" w:hAnsi="Cambria" w:cs="Cambria" w:eastAsia="Cambria"/>
          <w:b/>
          <w:bCs/>
          <w:sz w:val="22"/>
        </w:rPr>
        <w:t xml:space="preserve">Pathogenesis:</w:t>
      </w:r>
      <w:r>
        <w:rPr>
          <w:rFonts w:ascii="Cambria" w:hAnsi="Cambria" w:cs="Cambria" w:eastAsia="Cambria"/>
          <w:sz w:val="22"/>
        </w:rPr>
        <w:t xml:space="preserve"> </w:t>
      </w:r>
      <w:r>
        <w:rPr>
          <w:rFonts w:ascii="Cambria" w:hAnsi="Cambria" w:cs="Cambria" w:eastAsia="Cambria"/>
          <w:sz w:val="22"/>
        </w:rPr>
        <w:t xml:space="preserve">Accumulation of damage D(t) in maternal centrioles of stem cells (hypothesized)</w:t>
      </w:r>
    </w:p>
    <w:p>
      <w:pPr>
        <w:pStyle w:val="Compact"/>
        <w:numPr>
          <w:ilvl w:val="0"/>
          <w:numId w:val="1001"/>
        </w:numPr>
        <w:spacing w:before="0" w:after="200" w:line="276" w:lineRule="auto"/>
        <w:jc w:val="both"/>
      </w:pPr>
      <w:r>
        <w:rPr>
          <w:rFonts w:ascii="Cambria" w:hAnsi="Cambria" w:cs="Cambria" w:eastAsia="Cambria"/>
          <w:b/>
          <w:bCs/>
          <w:sz w:val="22"/>
        </w:rPr>
        <w:t xml:space="preserve">Exacerbations:</w:t>
      </w:r>
      <w:r>
        <w:rPr>
          <w:rFonts w:ascii="Cambria" w:hAnsi="Cambria" w:cs="Cambria" w:eastAsia="Cambria"/>
          <w:sz w:val="22"/>
        </w:rPr>
        <w:t xml:space="preserve"> </w:t>
      </w:r>
      <w:r>
        <w:rPr>
          <w:rFonts w:ascii="Cambria" w:hAnsi="Cambria" w:cs="Cambria" w:eastAsia="Cambria"/>
          <w:sz w:val="22"/>
        </w:rPr>
        <w:t xml:space="preserve">Myocardial infarction, stroke, cancer, dementia, depression, sarcopenia</w:t>
      </w:r>
    </w:p>
    <w:p>
      <w:pPr>
        <w:pStyle w:val="Compact"/>
        <w:numPr>
          <w:ilvl w:val="0"/>
          <w:numId w:val="1001"/>
        </w:numPr>
        <w:spacing w:before="0" w:after="200" w:line="276" w:lineRule="auto"/>
        <w:jc w:val="both"/>
      </w:pPr>
      <w:r>
        <w:rPr>
          <w:rFonts w:ascii="Cambria" w:hAnsi="Cambria" w:cs="Cambria" w:eastAsia="Cambria"/>
          <w:b/>
          <w:bCs/>
          <w:sz w:val="22"/>
        </w:rPr>
        <w:t xml:space="preserve">Outcome:</w:t>
      </w:r>
      <w:r>
        <w:rPr>
          <w:rFonts w:ascii="Cambria" w:hAnsi="Cambria" w:cs="Cambria" w:eastAsia="Cambria"/>
          <w:sz w:val="22"/>
        </w:rPr>
        <w:t xml:space="preserve"> </w:t>
      </w:r>
      <w:r>
        <w:rPr>
          <w:rFonts w:ascii="Cambria" w:hAnsi="Cambria" w:cs="Cambria" w:eastAsia="Cambria"/>
          <w:sz w:val="22"/>
        </w:rPr>
        <w:t xml:space="preserve">100% lethality without treatment</w:t>
      </w:r>
    </w:p>
    <w:p>
      <w:pPr>
        <w:pStyle w:val="CaptionedFigure"/>
        <w:spacing w:before="0" w:after="200" w:line="276" w:lineRule="auto"/>
        <w:jc w:val="center"/>
      </w:pPr>
      <w:r>
        <w:drawing>
          <wp:inline>
            <wp:extent cx="5334000" cy="2457235"/>
            <wp:effectExtent b="0" l="0" r="0" t="0"/>
            <wp:docPr descr="Figure 1. Aging as a Total Chronic Disease — universal incidence, lifelong onset, episodic exacerbations including MI, stroke, cancer, cognitive decline, and frailty." title="" id="11" name="Picture"/>
            <a:graphic>
              <a:graphicData uri="http://schemas.openxmlformats.org/drawingml/2006/picture">
                <pic:pic>
                  <pic:nvPicPr>
                    <pic:cNvPr descr="BioSense_figs/fig1_aging_tcd.png" id="12" name="Picture"/>
                    <pic:cNvPicPr>
                      <a:picLocks noChangeArrowheads="1" noChangeAspect="1"/>
                    </pic:cNvPicPr>
                  </pic:nvPicPr>
                  <pic:blipFill>
                    <a:blip r:embed="rId10"/>
                    <a:stretch>
                      <a:fillRect/>
                    </a:stretch>
                  </pic:blipFill>
                  <pic:spPr bwMode="auto">
                    <a:xfrm>
                      <a:off x="0" y="0"/>
                      <a:ext cx="5334000" cy="2457235"/>
                    </a:xfrm>
                    <a:prstGeom prst="rect">
                      <a:avLst/>
                    </a:prstGeom>
                    <a:noFill/>
                    <a:ln w="9525">
                      <a:noFill/>
                      <a:headEnd/>
                      <a:tailEnd/>
                    </a:ln>
                  </pic:spPr>
                </pic:pic>
              </a:graphicData>
            </a:graphic>
          </wp:inline>
        </w:drawing>
      </w:r>
    </w:p>
    <w:p>
      <w:pPr>
        <w:pStyle w:val="ImageCaption"/>
        <w:spacing w:before="0" w:after="200" w:line="276" w:lineRule="auto"/>
        <w:jc w:val="both"/>
      </w:pPr>
      <w:r>
        <w:rPr>
          <w:rFonts w:ascii="Cambria" w:hAnsi="Cambria" w:cs="Cambria" w:eastAsia="Cambria"/>
          <w:sz w:val="22"/>
        </w:rPr>
        <w:t xml:space="preserve">Figure 1. Aging as a Total Chronic Disease — universal incidence, lifelong onset, episodic exacerbations including MI, stroke, cancer, cognitive decline, and frailty.</w:t>
      </w:r>
    </w:p>
    <w:p>
      <w:pPr>
        <w:pStyle w:val="BodyText"/>
        <w:spacing w:before="0" w:after="200" w:line="276" w:lineRule="auto"/>
        <w:jc w:val="both"/>
      </w:pPr>
      <w:r>
        <w:rPr>
          <w:rFonts w:ascii="Cambria" w:hAnsi="Cambria" w:cs="Cambria" w:eastAsia="Cambria"/>
          <w:i/>
          <w:iCs/>
          <w:sz w:val="22"/>
        </w:rPr>
        <w:t xml:space="preserve">Figure 1. Aging as a Total Chronic Disease. Hypothesized centriolar damage curve over a human lifespan, with characteristic windows in which clinically observed exacerbations (myocardial infarction, stroke, cancer, cognitive decline, sarcopenia) become probabilistically significant.</w:t>
      </w:r>
    </w:p>
    <w:p>
      <w:pPr>
        <w:pStyle w:val="Heading3"/>
        <w:spacing w:before="200" w:after="120" w:line="276" w:lineRule="auto"/>
        <w:jc w:val="left"/>
      </w:pPr>
      <w:r>
        <w:rPr>
          <w:rFonts w:ascii="Calibri" w:hAnsi="Calibri" w:cs="Calibri" w:eastAsia="Calibri"/>
          <w:b/>
          <w:color w:val="4F81BD"/>
          <w:sz w:val="26"/>
        </w:rPr>
        <w:t xml:space="preserve">1.2 Theoretical Foundations: Predictive Information and Nonequilibrium Dynamics</w:t>
      </w:r>
    </w:p>
    <w:p>
      <w:pPr>
        <w:pStyle w:val="FirstParagraph"/>
        <w:spacing w:before="0" w:after="200" w:line="276" w:lineRule="auto"/>
        <w:jc w:val="both"/>
      </w:pPr>
      <w:r>
        <w:rPr>
          <w:rFonts w:ascii="Cambria" w:hAnsi="Cambria" w:cs="Cambria" w:eastAsia="Cambria"/>
          <w:sz w:val="22"/>
        </w:rPr>
        <w:t xml:space="preserve">The χ_Ze index is derived from two theoretical frameworks:</w:t>
      </w:r>
    </w:p>
    <w:p>
      <w:pPr>
        <w:pStyle w:val="BodyText"/>
        <w:spacing w:before="0" w:after="200" w:line="276" w:lineRule="auto"/>
        <w:jc w:val="both"/>
      </w:pPr>
      <w:r>
        <w:rPr>
          <w:rFonts w:ascii="Cambria" w:hAnsi="Cambria" w:cs="Cambria" w:eastAsia="Cambria"/>
          <w:b/>
          <w:bCs/>
          <w:sz w:val="22"/>
        </w:rPr>
        <w:t xml:space="preserve">1. Predictive Information Framework.</w:t>
      </w:r>
      <w:r>
        <w:rPr>
          <w:rFonts w:ascii="Cambria" w:hAnsi="Cambria" w:cs="Cambria" w:eastAsia="Cambria"/>
          <w:sz w:val="22"/>
        </w:rPr>
        <w:t xml:space="preserve"> </w:t>
      </w:r>
      <w:r>
        <w:rPr>
          <w:rFonts w:ascii="Cambria" w:hAnsi="Cambria" w:cs="Cambria" w:eastAsia="Cambria"/>
          <w:sz w:val="22"/>
        </w:rPr>
        <w:t xml:space="preserve">Following Bialek, Nemenman and Tishby (2001), we define predictive information as the mutual information between the past and future of a time series:</w:t>
      </w:r>
    </w:p>
    <w:p>
      <w:pPr>
        <w:pStyle w:val="BodyText"/>
        <w:spacing w:before="0" w:after="200" w:line="276" w:lineRule="auto"/>
        <w:jc w:val="both"/>
      </w:pPr>
      <m:oMathPara>
        <m:oMathParaPr>
          <m:jc m:val="center"/>
        </m:oMathParaPr>
        <m:oMath>
          <m:sSub>
            <m:e>
              <m:r>
                <m:t>I</m:t>
              </m:r>
            </m:e>
            <m:sub>
              <m:r>
                <m:t>p</m:t>
              </m:r>
              <m:r>
                <m:t>r</m:t>
              </m:r>
              <m:r>
                <m:t>e</m:t>
              </m:r>
              <m:r>
                <m:t>d</m:t>
              </m:r>
            </m:sub>
          </m:sSub>
          <m:r>
            <m:rPr>
              <m:sty m:val="p"/>
            </m:rPr>
            <m:t>=</m:t>
          </m:r>
          <m:limLow>
            <m:e>
              <m:r>
                <m:rPr>
                  <m:sty m:val="p"/>
                </m:rPr>
                <m:t>lim</m:t>
              </m:r>
            </m:e>
            <m:lim>
              <m:r>
                <m:t>L</m:t>
              </m:r>
              <m:r>
                <m:rPr>
                  <m:sty m:val="p"/>
                </m:rPr>
                <m:t>→</m:t>
              </m:r>
              <m:r>
                <m:rPr>
                  <m:sty m:val="p"/>
                </m:rPr>
                <m:t>∞</m:t>
              </m:r>
            </m:lim>
          </m:limLow>
          <m:f>
            <m:fPr>
              <m:type m:val="bar"/>
            </m:fPr>
            <m:num>
              <m:r>
                <m:t>1</m:t>
              </m:r>
            </m:num>
            <m:den>
              <m:r>
                <m:t>L</m:t>
              </m:r>
            </m:den>
          </m:f>
          <m:r>
            <m:t>I</m:t>
          </m:r>
          <m:r>
            <m:rPr>
              <m:sty m:val="p"/>
            </m:rPr>
            <m:t>(</m:t>
          </m:r>
          <m:r>
            <m:rPr>
              <m:sty m:val="p"/>
            </m:rPr>
            <m:t>{</m:t>
          </m:r>
          <m:sSub>
            <m:e>
              <m:r>
                <m:t>X</m:t>
              </m:r>
            </m:e>
            <m:sub>
              <m:r>
                <m:rPr>
                  <m:sty m:val="p"/>
                </m:rPr>
                <m:t>−</m:t>
              </m:r>
              <m:r>
                <m:t>L</m:t>
              </m:r>
            </m:sub>
          </m:sSub>
          <m:r>
            <m:rPr>
              <m:sty m:val="p"/>
            </m:rPr>
            <m:t>,</m:t>
          </m:r>
          <m:r>
            <m:rPr>
              <m:sty m:val="p"/>
            </m:rPr>
            <m:t>.</m:t>
          </m:r>
          <m:r>
            <m:rPr>
              <m:sty m:val="p"/>
            </m:rPr>
            <m:t>.</m:t>
          </m:r>
          <m:r>
            <m:rPr>
              <m:sty m:val="p"/>
            </m:rPr>
            <m:t>.</m:t>
          </m:r>
          <m:r>
            <m:rPr>
              <m:sty m:val="p"/>
            </m:rPr>
            <m:t>,</m:t>
          </m:r>
          <m:sSub>
            <m:e>
              <m:r>
                <m:t>X</m:t>
              </m:r>
            </m:e>
            <m:sub>
              <m:r>
                <m:t>0</m:t>
              </m:r>
            </m:sub>
          </m:sSub>
          <m:r>
            <m:rPr>
              <m:sty m:val="p"/>
            </m:rPr>
            <m:t>}</m:t>
          </m:r>
          <m:r>
            <m:rPr>
              <m:sty m:val="p"/>
            </m:rPr>
            <m:t>;</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L</m:t>
              </m:r>
            </m:sub>
          </m:sSub>
          <m:r>
            <m:rPr>
              <m:sty m:val="p"/>
            </m:rPr>
            <m:t>}</m:t>
          </m:r>
          <m:r>
            <m:rPr>
              <m:sty m:val="p"/>
            </m:rPr>
            <m:t>)</m:t>
          </m:r>
        </m:oMath>
      </m:oMathPara>
    </w:p>
    <w:p>
      <w:pPr>
        <w:pStyle w:val="FirstParagraph"/>
        <w:spacing w:before="0" w:after="200" w:line="276" w:lineRule="auto"/>
        <w:jc w:val="both"/>
      </w:pPr>
      <w:r>
        <w:rPr>
          <w:rFonts w:ascii="Cambria" w:hAnsi="Cambria" w:cs="Cambria" w:eastAsia="Cambria"/>
          <w:sz w:val="22"/>
        </w:rPr>
        <w:t xml:space="preserve">This measure quantifies how much knowing the past reduces uncertainty about the future (Bialek et al., 2001).</w:t>
      </w:r>
    </w:p>
    <w:p>
      <w:pPr>
        <w:pStyle w:val="BodyText"/>
        <w:spacing w:before="0" w:after="200" w:line="276" w:lineRule="auto"/>
        <w:jc w:val="both"/>
      </w:pPr>
      <w:r>
        <w:rPr>
          <w:rFonts w:ascii="Cambria" w:hAnsi="Cambria" w:cs="Cambria" w:eastAsia="Cambria"/>
          <w:b/>
          <w:bCs/>
          <w:sz w:val="22"/>
        </w:rPr>
        <w:t xml:space="preserve">2. Free-Energy Principle for Nonequilibrium Systems.</w:t>
      </w:r>
      <w:r>
        <w:rPr>
          <w:rFonts w:ascii="Cambria" w:hAnsi="Cambria" w:cs="Cambria" w:eastAsia="Cambria"/>
          <w:sz w:val="22"/>
        </w:rPr>
        <w:t xml:space="preserve"> </w:t>
      </w:r>
      <w:r>
        <w:rPr>
          <w:rFonts w:ascii="Cambria" w:hAnsi="Cambria" w:cs="Cambria" w:eastAsia="Cambria"/>
          <w:sz w:val="22"/>
        </w:rPr>
        <w:t xml:space="preserve">Following Friston et al. (2010), living systems minimize variational free energy to maintain their structural and functional integrity. Under this principle, biological systems operate at a characteristic distance from thermodynamic equilibrium, which can be parameterized by a</w:t>
      </w:r>
      <w:r>
        <w:rPr>
          <w:rFonts w:ascii="Cambria" w:hAnsi="Cambria" w:cs="Cambria" w:eastAsia="Cambria"/>
          <w:sz w:val="22"/>
        </w:rPr>
        <w:t xml:space="preserve"> </w:t>
      </w:r>
      <w:r>
        <w:rPr>
          <w:rFonts w:ascii="Cambria" w:hAnsi="Cambria" w:cs="Cambria" w:eastAsia="Cambria"/>
          <w:sz w:val="22"/>
        </w:rPr>
        <w:t xml:space="preserve">“cheating index”</w:t>
      </w:r>
      <w:r>
        <w:rPr>
          <w:rFonts w:ascii="Cambria" w:hAnsi="Cambria" w:cs="Cambria" w:eastAsia="Cambria"/>
          <w:sz w:val="22"/>
        </w:rPr>
        <w:t xml:space="preserve"> </w:t>
      </w:r>
      <w:r>
        <w:rPr>
          <w:rFonts w:ascii="Cambria" w:hAnsi="Cambria" w:cs="Cambria" w:eastAsia="Cambria"/>
          <w:sz w:val="22"/>
        </w:rPr>
        <w:t xml:space="preserve">χ_Ze.</w:t>
      </w:r>
    </w:p>
    <w:p>
      <w:pPr>
        <w:pStyle w:val="BodyText"/>
        <w:spacing w:before="0" w:after="200" w:line="276" w:lineRule="auto"/>
        <w:jc w:val="both"/>
      </w:pPr>
      <w:r>
        <w:rPr>
          <w:rFonts w:ascii="Cambria" w:hAnsi="Cambria" w:cs="Cambria" w:eastAsia="Cambria"/>
          <w:b/>
          <w:bCs/>
          <w:sz w:val="22"/>
        </w:rPr>
        <w:t xml:space="preserve">Centriolar Damage Accumulation Theory of Aging (CDATA)</w:t>
      </w:r>
      <w:r>
        <w:rPr>
          <w:rFonts w:ascii="Cambria" w:hAnsi="Cambria" w:cs="Cambria" w:eastAsia="Cambria"/>
          <w:sz w:val="22"/>
        </w:rPr>
        <w:t xml:space="preserve"> </w:t>
      </w:r>
      <w:r>
        <w:rPr>
          <w:rFonts w:ascii="Cambria" w:hAnsi="Cambria" w:cs="Cambria" w:eastAsia="Cambria"/>
          <w:sz w:val="22"/>
        </w:rPr>
        <w:t xml:space="preserve">provides the hypothesized biological mechanism (Tkemaladze, 2023).</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2. Theoretical Framework: The χ_Ze Index</w:t>
      </w:r>
    </w:p>
    <w:p>
      <w:pPr>
        <w:pStyle w:val="CaptionedFigure"/>
        <w:spacing w:before="0" w:after="200" w:line="276" w:lineRule="auto"/>
        <w:jc w:val="center"/>
      </w:pPr>
      <w:r>
        <w:drawing>
          <wp:inline>
            <wp:extent cx="5334000" cy="2370666"/>
            <wp:effectExtent b="0" l="0" r="0" t="0"/>
            <wp:docPr descr="Figure 3. χ_Ze derivation pipeline — from raw physiological signals through predictive-information and variational-principle stages to the final daily index. Each numbered step corresponds to a derivation block in §2.1." title="" id="17" name="Picture"/>
            <a:graphic>
              <a:graphicData uri="http://schemas.openxmlformats.org/drawingml/2006/picture">
                <pic:pic>
                  <pic:nvPicPr>
                    <pic:cNvPr descr="BioSense_figs/fig3_chi_ze_pipeline.png" id="18" name="Picture"/>
                    <pic:cNvPicPr>
                      <a:picLocks noChangeArrowheads="1" noChangeAspect="1"/>
                    </pic:cNvPicPr>
                  </pic:nvPicPr>
                  <pic:blipFill>
                    <a:blip r:embed="rId16"/>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spacing w:before="0" w:after="200" w:line="276" w:lineRule="auto"/>
        <w:jc w:val="both"/>
      </w:pPr>
      <w:r>
        <w:rPr>
          <w:rFonts w:ascii="Cambria" w:hAnsi="Cambria" w:cs="Cambria" w:eastAsia="Cambria"/>
          <w:sz w:val="22"/>
        </w:rPr>
        <w:t xml:space="preserve">Figure 3. χ_Ze derivation pipeline — from raw physiological signals through predictive-information and variational-principle stages to the final daily index. Each numbered step corresponds to a derivation block in §2.1.</w:t>
      </w:r>
    </w:p>
    <w:p>
      <w:pPr>
        <w:pStyle w:val="BodyText"/>
        <w:spacing w:before="0" w:after="200" w:line="276" w:lineRule="auto"/>
        <w:jc w:val="both"/>
      </w:pPr>
      <w:r>
        <w:rPr>
          <w:rFonts w:ascii="Cambria" w:hAnsi="Cambria" w:cs="Cambria" w:eastAsia="Cambria"/>
          <w:i/>
          <w:iCs/>
          <w:sz w:val="22"/>
        </w:rPr>
        <w:t xml:space="preserve">Figure 3. From raw physiological signals to the χ_Ze index. The upper row (1→2→3→4) is the predictive-information / variational principle pipeline; the lower row (2′→3′→5) is the calibration loop fitting the index to thermodynamic constraints. Steps map onto §2.1.1–2.1.7 below.</w:t>
      </w:r>
    </w:p>
    <w:p>
      <w:pPr>
        <w:pStyle w:val="Heading3"/>
        <w:spacing w:before="200" w:after="120" w:line="276" w:lineRule="auto"/>
        <w:jc w:val="left"/>
      </w:pPr>
      <w:r>
        <w:rPr>
          <w:rFonts w:ascii="Calibri" w:hAnsi="Calibri" w:cs="Calibri" w:eastAsia="Calibri"/>
          <w:b/>
          <w:color w:val="4F81BD"/>
          <w:sz w:val="26"/>
        </w:rPr>
        <w:t xml:space="preserve">2.1 Full Mathematical Derivation of v* from First Principles</w:t>
      </w:r>
    </w:p>
    <w:p>
      <w:pPr>
        <w:pStyle w:val="FirstParagraph"/>
        <w:spacing w:before="0" w:after="200" w:line="276" w:lineRule="auto"/>
        <w:jc w:val="both"/>
      </w:pPr>
      <w:r>
        <w:rPr>
          <w:rFonts w:ascii="Cambria" w:hAnsi="Cambria" w:cs="Cambria" w:eastAsia="Cambria"/>
          <w:sz w:val="22"/>
        </w:rPr>
        <w:t xml:space="preserve">This section provides a complete derivation of the theoretical fixed point v* = 0.45631.</w:t>
      </w:r>
    </w:p>
    <w:p>
      <w:pPr>
        <w:pStyle w:val="Heading4"/>
        <w:spacing w:before="200" w:after="120" w:line="276" w:lineRule="auto"/>
        <w:jc w:val="left"/>
      </w:pPr>
      <w:r>
        <w:rPr>
          <w:rFonts w:ascii="Calibri" w:hAnsi="Calibri" w:cs="Calibri" w:eastAsia="Calibri"/>
          <w:b/>
          <w:color w:val="4F81BD"/>
          <w:sz w:val="24"/>
        </w:rPr>
        <w:t xml:space="preserve">2.1.1 Information-Theoretic Setup</w:t>
      </w:r>
    </w:p>
    <w:p>
      <w:pPr>
        <w:pStyle w:val="FirstParagraph"/>
        <w:spacing w:before="0" w:after="200" w:line="276" w:lineRule="auto"/>
        <w:jc w:val="both"/>
      </w:pPr>
      <w:r>
        <w:rPr>
          <w:rFonts w:ascii="Cambria" w:hAnsi="Cambria" w:cs="Cambria" w:eastAsia="Cambria"/>
          <w:sz w:val="22"/>
        </w:rPr>
        <w:t xml:space="preserve">Consider a Ze-system as a stationary stochastic process generating a binary sequence</w:t>
      </w:r>
      <w:r>
        <w:rPr>
          <w:rFonts w:ascii="Cambria" w:hAnsi="Cambria" w:cs="Cambria" w:eastAsia="Cambria"/>
          <w:sz w:val="22"/>
        </w:rPr>
        <w:t xml:space="preserve"> </w:t>
      </w:r>
      <m:oMath>
        <m:r>
          <m:rPr>
            <m:sty m:val="p"/>
          </m:rPr>
          <m:t>{</m:t>
        </m:r>
        <m:sSub>
          <m:e>
            <m:r>
              <m:t>X</m:t>
            </m:r>
          </m:e>
          <m:sub>
            <m:r>
              <m:t>t</m:t>
            </m:r>
          </m:sub>
        </m:sSub>
        <m:sSub>
          <m:e>
            <m:r>
              <m:rPr>
                <m:sty m:val="p"/>
              </m:rPr>
              <m:t>}</m:t>
            </m:r>
          </m:e>
          <m:sub>
            <m:r>
              <m:t>t</m:t>
            </m:r>
            <m:r>
              <m:rPr>
                <m:sty m:val="p"/>
              </m:rPr>
              <m:t>∈</m:t>
            </m:r>
            <m:r>
              <m:rPr>
                <m:scr m:val="double-struck"/>
                <m:sty m:val="p"/>
              </m:rPr>
              <m:t>Z</m:t>
            </m:r>
          </m:sub>
        </m:sSub>
      </m:oMath>
      <w:r>
        <w:rPr>
          <w:rFonts w:ascii="Cambria" w:hAnsi="Cambria" w:cs="Cambria" w:eastAsia="Cambria"/>
          <w:sz w:val="22"/>
        </w:rPr>
        <w:t xml:space="preserve">, where</w:t>
      </w:r>
      <w:r>
        <w:rPr>
          <w:rFonts w:ascii="Cambria" w:hAnsi="Cambria" w:cs="Cambria" w:eastAsia="Cambria"/>
          <w:sz w:val="22"/>
        </w:rPr>
        <w:t xml:space="preserve"> </w:t>
      </w:r>
      <m:oMath>
        <m:sSub>
          <m:e>
            <m:r>
              <m:t>X</m:t>
            </m:r>
          </m:e>
          <m:sub>
            <m:r>
              <m:t>t</m:t>
            </m:r>
          </m:sub>
        </m:sSub>
        <m:r>
          <m:rPr>
            <m:sty m:val="p"/>
          </m:rPr>
          <m:t>∈</m:t>
        </m:r>
        <m:r>
          <m:rPr>
            <m:sty m:val="p"/>
          </m:rPr>
          <m:t>{</m:t>
        </m:r>
        <m:r>
          <m:t>0</m:t>
        </m:r>
        <m:r>
          <m:rPr>
            <m:sty m:val="p"/>
          </m:rPr>
          <m:t>,</m:t>
        </m:r>
        <m:r>
          <m:t>1</m:t>
        </m:r>
        <m:r>
          <m:rPr>
            <m:sty m:val="p"/>
          </m:rPr>
          <m:t>}</m:t>
        </m:r>
      </m:oMath>
      <w:r>
        <w:rPr>
          <w:rFonts w:ascii="Cambria" w:hAnsi="Cambria" w:cs="Cambria" w:eastAsia="Cambria"/>
          <w:sz w:val="22"/>
        </w:rPr>
        <w:t xml:space="preserve">. The process is characterized by a Markov chain of order m with transition probabilities between states.</w:t>
      </w:r>
    </w:p>
    <w:p>
      <w:pPr>
        <w:pStyle w:val="BodyText"/>
        <w:spacing w:before="0" w:after="200" w:line="276" w:lineRule="auto"/>
        <w:jc w:val="both"/>
      </w:pPr>
      <w:r>
        <w:rPr>
          <w:rFonts w:ascii="Cambria" w:hAnsi="Cambria" w:cs="Cambria" w:eastAsia="Cambria"/>
          <w:b/>
          <w:bCs/>
          <w:sz w:val="22"/>
        </w:rPr>
        <w:t xml:space="preserve">Definition 1 (Ze velocity).</w:t>
      </w:r>
    </w:p>
    <w:p>
      <w:pPr>
        <w:pStyle w:val="BodyText"/>
        <w:spacing w:before="0" w:after="200" w:line="276" w:lineRule="auto"/>
        <w:jc w:val="both"/>
      </w:pPr>
      <m:oMathPara>
        <m:oMathParaPr>
          <m:jc m:val="center"/>
        </m:oMathParaPr>
        <m:oMath>
          <m:r>
            <m:t>v</m:t>
          </m:r>
          <m:r>
            <m:rPr>
              <m:sty m:val="p"/>
            </m:rPr>
            <m:t>=</m:t>
          </m:r>
          <m:limLow>
            <m:e>
              <m:r>
                <m:rPr>
                  <m:sty m:val="p"/>
                </m:rPr>
                <m:t>lim</m:t>
              </m:r>
            </m:e>
            <m:lim>
              <m:r>
                <m:t>N</m:t>
              </m:r>
              <m:r>
                <m:rPr>
                  <m:sty m:val="p"/>
                </m:rPr>
                <m:t>→</m:t>
              </m:r>
              <m:r>
                <m:rPr>
                  <m:sty m:val="p"/>
                </m:rPr>
                <m:t>∞</m:t>
              </m:r>
            </m:lim>
          </m:limLow>
          <m:f>
            <m:fPr>
              <m:type m:val="bar"/>
            </m:fPr>
            <m:num>
              <m:sSub>
                <m:e>
                  <m:r>
                    <m:t>N</m:t>
                  </m:r>
                </m:e>
                <m:sub>
                  <m:r>
                    <m:t>T</m:t>
                  </m:r>
                </m:sub>
              </m:sSub>
              <m:r>
                <m:rPr>
                  <m:sty m:val="p"/>
                </m:rPr>
                <m:t>−</m:t>
              </m:r>
              <m:sSub>
                <m:e>
                  <m:r>
                    <m:t>N</m:t>
                  </m:r>
                </m:e>
                <m:sub>
                  <m:r>
                    <m:t>S</m:t>
                  </m:r>
                </m:sub>
              </m:sSub>
            </m:num>
            <m:den>
              <m:sSub>
                <m:e>
                  <m:r>
                    <m:t>N</m:t>
                  </m:r>
                </m:e>
                <m:sub>
                  <m:r>
                    <m:t>T</m:t>
                  </m:r>
                </m:sub>
              </m:sSub>
              <m:r>
                <m:rPr>
                  <m:sty m:val="p"/>
                </m:rPr>
                <m:t>+</m:t>
              </m:r>
              <m:sSub>
                <m:e>
                  <m:r>
                    <m:t>N</m:t>
                  </m:r>
                </m:e>
                <m:sub>
                  <m:r>
                    <m:t>S</m:t>
                  </m:r>
                </m:sub>
              </m:sSub>
            </m:den>
          </m:f>
          <m:r>
            <m:rPr>
              <m:sty m:val="p"/>
            </m:rPr>
            <m:t>∈</m:t>
          </m:r>
          <m:r>
            <m:rPr>
              <m:sty m:val="p"/>
            </m:rPr>
            <m:t>[</m:t>
          </m:r>
          <m:r>
            <m:rPr>
              <m:sty m:val="p"/>
            </m:rPr>
            <m:t>−</m:t>
          </m:r>
          <m:r>
            <m:t>1</m:t>
          </m:r>
          <m:r>
            <m:rPr>
              <m:sty m:val="p"/>
            </m:rPr>
            <m:t>,</m:t>
          </m:r>
          <m:r>
            <m:rPr>
              <m:sty m:val="p"/>
            </m:rPr>
            <m:t>+</m:t>
          </m:r>
          <m:r>
            <m:t>1</m:t>
          </m:r>
          <m:r>
            <m:rPr>
              <m:sty m:val="p"/>
            </m:rPr>
            <m:t>]</m:t>
          </m:r>
        </m:oMath>
      </m:oMathPara>
    </w:p>
    <w:p>
      <w:pPr>
        <w:pStyle w:val="FirstParagraph"/>
        <w:spacing w:before="0" w:after="200" w:line="276" w:lineRule="auto"/>
        <w:jc w:val="both"/>
      </w:pPr>
      <w:r>
        <w:rPr>
          <w:rFonts w:ascii="Cambria" w:hAnsi="Cambria" w:cs="Cambria" w:eastAsia="Cambria"/>
          <w:sz w:val="22"/>
        </w:rPr>
        <w:t xml:space="preserve">where</w:t>
      </w:r>
      <w:r>
        <w:rPr>
          <w:rFonts w:ascii="Cambria" w:hAnsi="Cambria" w:cs="Cambria" w:eastAsia="Cambria"/>
          <w:sz w:val="22"/>
        </w:rPr>
        <w:t xml:space="preserve"> </w:t>
      </w:r>
      <m:oMath>
        <m:sSub>
          <m:e>
            <m:r>
              <m:t>N</m:t>
            </m:r>
          </m:e>
          <m:sub>
            <m:r>
              <m:t>T</m:t>
            </m:r>
          </m:sub>
        </m:sSub>
      </m:oMath>
      <w:r>
        <w:rPr>
          <w:rFonts w:ascii="Cambria" w:hAnsi="Cambria" w:cs="Cambria" w:eastAsia="Cambria"/>
          <w:sz w:val="22"/>
        </w:rPr>
        <w:t xml:space="preserve"> </w:t>
      </w:r>
      <w:r>
        <w:rPr>
          <w:rFonts w:ascii="Cambria" w:hAnsi="Cambria" w:cs="Cambria" w:eastAsia="Cambria"/>
          <w:sz w:val="22"/>
        </w:rPr>
        <w:t xml:space="preserve">is the number of incorrect predictions (T-events) and</w:t>
      </w:r>
      <w:r>
        <w:rPr>
          <w:rFonts w:ascii="Cambria" w:hAnsi="Cambria" w:cs="Cambria" w:eastAsia="Cambria"/>
          <w:sz w:val="22"/>
        </w:rPr>
        <w:t xml:space="preserve"> </w:t>
      </w:r>
      <m:oMath>
        <m:sSub>
          <m:e>
            <m:r>
              <m:t>N</m:t>
            </m:r>
          </m:e>
          <m:sub>
            <m:r>
              <m:t>S</m:t>
            </m:r>
          </m:sub>
        </m:sSub>
      </m:oMath>
      <w:r>
        <w:rPr>
          <w:rFonts w:ascii="Cambria" w:hAnsi="Cambria" w:cs="Cambria" w:eastAsia="Cambria"/>
          <w:sz w:val="22"/>
        </w:rPr>
        <w:t xml:space="preserve"> </w:t>
      </w:r>
      <w:r>
        <w:rPr>
          <w:rFonts w:ascii="Cambria" w:hAnsi="Cambria" w:cs="Cambria" w:eastAsia="Cambria"/>
          <w:sz w:val="22"/>
        </w:rPr>
        <w:t xml:space="preserve">is the number of correct predictions (S-events).</w:t>
      </w:r>
    </w:p>
    <w:p>
      <w:pPr>
        <w:pStyle w:val="Heading4"/>
        <w:spacing w:before="200" w:after="120" w:line="276" w:lineRule="auto"/>
        <w:jc w:val="left"/>
      </w:pPr>
      <w:r>
        <w:rPr>
          <w:rFonts w:ascii="Calibri" w:hAnsi="Calibri" w:cs="Calibri" w:eastAsia="Calibri"/>
          <w:b/>
          <w:color w:val="4F81BD"/>
          <w:sz w:val="24"/>
        </w:rPr>
        <w:t xml:space="preserve">2.1.2 Predictive Information for Binary Markov Chains</w:t>
      </w:r>
    </w:p>
    <w:p>
      <w:pPr>
        <w:pStyle w:val="FirstParagraph"/>
        <w:spacing w:before="0" w:after="200" w:line="276" w:lineRule="auto"/>
        <w:jc w:val="both"/>
      </w:pPr>
      <w:r>
        <w:rPr>
          <w:rFonts w:ascii="Cambria" w:hAnsi="Cambria" w:cs="Cambria" w:eastAsia="Cambria"/>
          <w:sz w:val="22"/>
        </w:rPr>
        <w:t xml:space="preserve">For a stationary binary Markov chain, the predictive information between consecutive observations can be expressed in terms of the transition probabilities. For a symmetric Markov chain with</w:t>
      </w:r>
      <w:r>
        <w:rPr>
          <w:rFonts w:ascii="Cambria" w:hAnsi="Cambria" w:cs="Cambria" w:eastAsia="Cambria"/>
          <w:sz w:val="22"/>
        </w:rPr>
        <w:t xml:space="preserve"> </w:t>
      </w:r>
      <m:oMath>
        <m:r>
          <m:t>p</m:t>
        </m:r>
        <m:r>
          <m:rPr>
            <m:sty m:val="p"/>
          </m:rPr>
          <m:t>=</m:t>
        </m:r>
        <m:r>
          <m:t>P</m:t>
        </m:r>
        <m:r>
          <m:rPr>
            <m:sty m:val="p"/>
          </m:rPr>
          <m:t>(</m:t>
        </m:r>
        <m:r>
          <m:t>0</m:t>
        </m:r>
        <m:r>
          <m:rPr>
            <m:sty m:val="p"/>
          </m:rPr>
          <m:t>→</m:t>
        </m:r>
        <m:r>
          <m:t>1</m:t>
        </m:r>
        <m:r>
          <m:rPr>
            <m:sty m:val="p"/>
          </m:rPr>
          <m:t>)</m:t>
        </m:r>
        <m:r>
          <m:rPr>
            <m:sty m:val="p"/>
          </m:rPr>
          <m:t>=</m:t>
        </m:r>
        <m:r>
          <m:t>P</m:t>
        </m:r>
        <m:r>
          <m:rPr>
            <m:sty m:val="p"/>
          </m:rPr>
          <m:t>(</m:t>
        </m:r>
        <m:r>
          <m:t>1</m:t>
        </m:r>
        <m:r>
          <m:rPr>
            <m:sty m:val="p"/>
          </m:rPr>
          <m:t>→</m:t>
        </m:r>
        <m:r>
          <m:t>0</m:t>
        </m:r>
        <m:r>
          <m:rPr>
            <m:sty m:val="p"/>
          </m:rPr>
          <m:t>)</m:t>
        </m:r>
      </m:oMath>
      <w:r>
        <w:rPr>
          <w:rFonts w:ascii="Cambria" w:hAnsi="Cambria" w:cs="Cambria" w:eastAsia="Cambria"/>
          <w:sz w:val="22"/>
        </w:rPr>
        <w:t xml:space="preserve">, the stationary distribution is uniform (</w:t>
      </w:r>
      <m:oMath>
        <m:sSub>
          <m:e>
            <m:r>
              <m:t>π</m:t>
            </m:r>
          </m:e>
          <m:sub>
            <m:r>
              <m:t>0</m:t>
            </m:r>
          </m:sub>
        </m:sSub>
        <m:r>
          <m:rPr>
            <m:sty m:val="p"/>
          </m:rPr>
          <m:t>=</m:t>
        </m:r>
        <m:sSub>
          <m:e>
            <m:r>
              <m:t>π</m:t>
            </m:r>
          </m:e>
          <m:sub>
            <m:r>
              <m:t>1</m:t>
            </m:r>
          </m:sub>
        </m:sSub>
        <m:r>
          <m:rPr>
            <m:sty m:val="p"/>
          </m:rPr>
          <m:t>=</m:t>
        </m:r>
        <m:r>
          <m:t>1</m:t>
        </m:r>
        <m:r>
          <m:rPr>
            <m:sty m:val="p"/>
          </m:rPr>
          <m:t>/</m:t>
        </m:r>
        <m:r>
          <m:t>2</m:t>
        </m:r>
      </m:oMath>
      <w:r>
        <w:rPr>
          <w:rFonts w:ascii="Cambria" w:hAnsi="Cambria" w:cs="Cambria" w:eastAsia="Cambria"/>
          <w:sz w:val="22"/>
        </w:rPr>
        <w:t xml:space="preserve">).</w:t>
      </w:r>
    </w:p>
    <w:p>
      <w:pPr>
        <w:pStyle w:val="BodyText"/>
        <w:spacing w:before="0" w:after="200" w:line="276" w:lineRule="auto"/>
        <w:jc w:val="both"/>
      </w:pPr>
      <w:r>
        <w:rPr>
          <w:rFonts w:ascii="Cambria" w:hAnsi="Cambria" w:cs="Cambria" w:eastAsia="Cambria"/>
          <w:b/>
          <w:bCs/>
          <w:sz w:val="22"/>
        </w:rPr>
        <w:t xml:space="preserve">Theorem 1 (Predictive information for binary symmetric chain).</w:t>
      </w:r>
      <w:r>
        <w:rPr>
          <w:rFonts w:ascii="Cambria" w:hAnsi="Cambria" w:cs="Cambria" w:eastAsia="Cambria"/>
          <w:sz w:val="22"/>
        </w:rPr>
        <w:t xml:space="preserve"> </w:t>
      </w:r>
      <w:r>
        <w:rPr>
          <w:rFonts w:ascii="Cambria" w:hAnsi="Cambria" w:cs="Cambria" w:eastAsia="Cambria"/>
          <w:sz w:val="22"/>
        </w:rPr>
        <w:t xml:space="preserve">For a binary symmetric Markov chain with</w:t>
      </w:r>
      <w:r>
        <w:rPr>
          <w:rFonts w:ascii="Cambria" w:hAnsi="Cambria" w:cs="Cambria" w:eastAsia="Cambria"/>
          <w:sz w:val="22"/>
        </w:rPr>
        <w:t xml:space="preserve"> </w:t>
      </w:r>
      <m:oMath>
        <m:r>
          <m:t>p</m:t>
        </m:r>
        <m:r>
          <m:rPr>
            <m:sty m:val="p"/>
          </m:rPr>
          <m:t>=</m:t>
        </m:r>
        <m:r>
          <m:rPr>
            <m:sty m:val="p"/>
          </m:rPr>
          <m:t>(</m:t>
        </m:r>
        <m:r>
          <m:t>1</m:t>
        </m:r>
        <m:r>
          <m:rPr>
            <m:sty m:val="p"/>
          </m:rPr>
          <m:t>+</m:t>
        </m:r>
        <m:r>
          <m:t>v</m:t>
        </m:r>
        <m:r>
          <m:rPr>
            <m:sty m:val="p"/>
          </m:rPr>
          <m:t>)</m:t>
        </m:r>
        <m:r>
          <m:rPr>
            <m:sty m:val="p"/>
          </m:rPr>
          <m:t>/</m:t>
        </m:r>
        <m:r>
          <m:t>2</m:t>
        </m:r>
      </m:oMath>
      <w:r>
        <w:rPr>
          <w:rFonts w:ascii="Cambria" w:hAnsi="Cambria" w:cs="Cambria" w:eastAsia="Cambria"/>
          <w:sz w:val="22"/>
        </w:rPr>
        <w:t xml:space="preserve">, the predictive information in nats is:</w:t>
      </w:r>
    </w:p>
    <w:p>
      <w:pPr>
        <w:pStyle w:val="BodyText"/>
        <w:spacing w:before="0" w:after="200" w:line="276" w:lineRule="auto"/>
        <w:jc w:val="both"/>
      </w:pPr>
      <m:oMathPara>
        <m:oMathParaPr>
          <m:jc m:val="center"/>
        </m:oMathParaPr>
        <m:oMath>
          <m:sSub>
            <m:e>
              <m:r>
                <m:t>I</m:t>
              </m:r>
            </m:e>
            <m:sub>
              <m:r>
                <m:t>p</m:t>
              </m:r>
              <m:r>
                <m:t>r</m:t>
              </m:r>
              <m:r>
                <m:t>e</m:t>
              </m:r>
              <m:r>
                <m:t>d</m:t>
              </m:r>
            </m:sub>
          </m:sSub>
          <m:r>
            <m:rPr>
              <m:sty m:val="p"/>
            </m:rPr>
            <m:t>(</m:t>
          </m:r>
          <m:r>
            <m:t>v</m:t>
          </m:r>
          <m:r>
            <m:rPr>
              <m:sty m:val="p"/>
            </m:rPr>
            <m:t>)</m:t>
          </m:r>
          <m:r>
            <m:rPr>
              <m:sty m:val="p"/>
            </m:rPr>
            <m:t>=</m:t>
          </m:r>
          <m:r>
            <m:rPr>
              <m:sty m:val="p"/>
            </m:rPr>
            <m:t>ln</m:t>
          </m:r>
          <m:r>
            <m:t>2</m:t>
          </m:r>
          <m:r>
            <m:rPr>
              <m:sty m:val="p"/>
            </m:rPr>
            <m:t>+</m:t>
          </m:r>
          <m:f>
            <m:fPr>
              <m:type m:val="bar"/>
            </m:fPr>
            <m:num>
              <m:r>
                <m:t>1</m:t>
              </m:r>
              <m:r>
                <m:rPr>
                  <m:sty m:val="p"/>
                </m:rPr>
                <m:t>+</m:t>
              </m:r>
              <m:r>
                <m:t>v</m:t>
              </m:r>
            </m:num>
            <m:den>
              <m:r>
                <m:t>2</m:t>
              </m:r>
            </m:den>
          </m:f>
          <m:r>
            <m:rPr>
              <m:sty m:val="p"/>
            </m:rPr>
            <m:t>ln</m:t>
          </m:r>
          <m:d>
            <m:dPr>
              <m:begChr m:val="("/>
              <m:sepChr m:val=""/>
              <m:endChr m:val=")"/>
              <m:grow/>
            </m:dPr>
            <m:e>
              <m:f>
                <m:fPr>
                  <m:type m:val="bar"/>
                </m:fPr>
                <m:num>
                  <m:r>
                    <m:t>1</m:t>
                  </m:r>
                  <m:r>
                    <m:rPr>
                      <m:sty m:val="p"/>
                    </m:rPr>
                    <m:t>+</m:t>
                  </m:r>
                  <m:r>
                    <m:t>v</m:t>
                  </m:r>
                </m:num>
                <m:den>
                  <m:r>
                    <m:t>2</m:t>
                  </m:r>
                </m:den>
              </m:f>
            </m:e>
          </m:d>
          <m:r>
            <m:rPr>
              <m:sty m:val="p"/>
            </m:rPr>
            <m:t>+</m:t>
          </m:r>
          <m:f>
            <m:fPr>
              <m:type m:val="bar"/>
            </m:fPr>
            <m:num>
              <m:r>
                <m:t>1</m:t>
              </m:r>
              <m:r>
                <m:rPr>
                  <m:sty m:val="p"/>
                </m:rPr>
                <m:t>−</m:t>
              </m:r>
              <m:r>
                <m:t>v</m:t>
              </m:r>
            </m:num>
            <m:den>
              <m:r>
                <m:t>2</m:t>
              </m:r>
            </m:den>
          </m:f>
          <m:r>
            <m:rPr>
              <m:sty m:val="p"/>
            </m:rPr>
            <m:t>ln</m:t>
          </m:r>
          <m:d>
            <m:dPr>
              <m:begChr m:val="("/>
              <m:sepChr m:val=""/>
              <m:endChr m:val=")"/>
              <m:grow/>
            </m:dPr>
            <m:e>
              <m:f>
                <m:fPr>
                  <m:type m:val="bar"/>
                </m:fPr>
                <m:num>
                  <m:r>
                    <m:t>1</m:t>
                  </m:r>
                  <m:r>
                    <m:rPr>
                      <m:sty m:val="p"/>
                    </m:rPr>
                    <m:t>−</m:t>
                  </m:r>
                  <m:r>
                    <m:t>v</m:t>
                  </m:r>
                </m:num>
                <m:den>
                  <m:r>
                    <m:t>2</m:t>
                  </m:r>
                </m:den>
              </m:f>
            </m:e>
          </m:d>
        </m:oMath>
      </m:oMathPara>
    </w:p>
    <w:p>
      <w:pPr>
        <w:pStyle w:val="FirstParagraph"/>
        <w:spacing w:before="0" w:after="200" w:line="276" w:lineRule="auto"/>
        <w:jc w:val="both"/>
      </w:pPr>
      <w:r>
        <w:rPr>
          <w:rFonts w:ascii="Cambria" w:hAnsi="Cambria" w:cs="Cambria" w:eastAsia="Cambria"/>
          <w:b/>
          <w:bCs/>
          <w:sz w:val="22"/>
        </w:rPr>
        <w:t xml:space="preserve">Proof.</w:t>
      </w:r>
      <w:r>
        <w:rPr>
          <w:rFonts w:ascii="Cambria" w:hAnsi="Cambria" w:cs="Cambria" w:eastAsia="Cambria"/>
          <w:sz w:val="22"/>
        </w:rPr>
        <w:t xml:space="preserve"> </w:t>
      </w:r>
      <w:r>
        <w:rPr>
          <w:rFonts w:ascii="Cambria" w:hAnsi="Cambria" w:cs="Cambria" w:eastAsia="Cambria"/>
          <w:sz w:val="22"/>
        </w:rPr>
        <w:t xml:space="preserve">The mutual information between consecutive states is:</w:t>
      </w:r>
    </w:p>
    <w:p>
      <w:pPr>
        <w:pStyle w:val="BodyText"/>
        <w:spacing w:before="0" w:after="200" w:line="276" w:lineRule="auto"/>
        <w:jc w:val="both"/>
      </w:pPr>
      <m:oMathPara>
        <m:oMathParaPr>
          <m:jc m:val="center"/>
        </m:oMathParaPr>
        <m:oMath>
          <m:r>
            <m:t>I</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t>H</m:t>
          </m:r>
          <m:r>
            <m:rPr>
              <m:sty m:val="p"/>
            </m:rPr>
            <m:t>(</m:t>
          </m:r>
          <m:sSub>
            <m:e>
              <m:r>
                <m:t>X</m:t>
              </m:r>
            </m:e>
            <m:sub>
              <m:r>
                <m:t>t</m:t>
              </m:r>
              <m:r>
                <m:rPr>
                  <m:sty m:val="p"/>
                </m:rPr>
                <m:t>+</m:t>
              </m:r>
              <m:r>
                <m:t>1</m:t>
              </m:r>
            </m:sub>
          </m:sSub>
          <m:r>
            <m:rPr>
              <m:sty m:val="p"/>
            </m:rPr>
            <m:t>)</m:t>
          </m:r>
          <m:r>
            <m:rPr>
              <m:sty m:val="p"/>
            </m:rPr>
            <m:t>−</m:t>
          </m:r>
          <m:r>
            <m:t>H</m:t>
          </m:r>
          <m:r>
            <m:rPr>
              <m:sty m:val="p"/>
            </m:rPr>
            <m:t>(</m:t>
          </m:r>
          <m:sSub>
            <m:e>
              <m:r>
                <m:t>X</m:t>
              </m:r>
            </m:e>
            <m:sub>
              <m:r>
                <m:t>t</m:t>
              </m:r>
              <m:r>
                <m:rPr>
                  <m:sty m:val="p"/>
                </m:rPr>
                <m:t>+</m:t>
              </m:r>
              <m:r>
                <m:t>1</m:t>
              </m:r>
            </m:sub>
          </m:sSub>
          <m:r>
            <m:rPr>
              <m:sty m:val="p"/>
            </m:rPr>
            <m:t>|</m:t>
          </m:r>
          <m:sSub>
            <m:e>
              <m:r>
                <m:t>X</m:t>
              </m:r>
            </m:e>
            <m:sub>
              <m:r>
                <m:t>t</m:t>
              </m:r>
            </m:sub>
          </m:sSub>
          <m:r>
            <m:rPr>
              <m:sty m:val="p"/>
            </m:rPr>
            <m:t>)</m:t>
          </m:r>
        </m:oMath>
      </m:oMathPara>
    </w:p>
    <w:p>
      <w:pPr>
        <w:pStyle w:val="FirstParagraph"/>
        <w:spacing w:before="0" w:after="200" w:line="276" w:lineRule="auto"/>
        <w:jc w:val="both"/>
      </w:pPr>
      <w:r>
        <w:rPr>
          <w:rFonts w:ascii="Cambria" w:hAnsi="Cambria" w:cs="Cambria" w:eastAsia="Cambria"/>
          <w:sz w:val="22"/>
        </w:rPr>
        <w:t xml:space="preserve">For uniform stationary distribution,</w:t>
      </w:r>
      <w:r>
        <w:rPr>
          <w:rFonts w:ascii="Cambria" w:hAnsi="Cambria" w:cs="Cambria" w:eastAsia="Cambria"/>
          <w:sz w:val="22"/>
        </w:rPr>
        <w:t xml:space="preserve"> </w:t>
      </w:r>
      <m:oMath>
        <m:r>
          <m:t>H</m:t>
        </m:r>
        <m:r>
          <m:rPr>
            <m:sty m:val="p"/>
          </m:rPr>
          <m:t>(</m:t>
        </m:r>
        <m:sSub>
          <m:e>
            <m:r>
              <m:t>X</m:t>
            </m:r>
          </m:e>
          <m:sub>
            <m:r>
              <m:t>t</m:t>
            </m:r>
            <m:r>
              <m:rPr>
                <m:sty m:val="p"/>
              </m:rPr>
              <m:t>+</m:t>
            </m:r>
            <m:r>
              <m:t>1</m:t>
            </m:r>
          </m:sub>
        </m:sSub>
        <m:r>
          <m:rPr>
            <m:sty m:val="p"/>
          </m:rPr>
          <m:t>)</m:t>
        </m:r>
        <m:r>
          <m:rPr>
            <m:sty m:val="p"/>
          </m:rPr>
          <m:t>=</m:t>
        </m:r>
        <m:r>
          <m:rPr>
            <m:sty m:val="p"/>
          </m:rPr>
          <m:t>ln</m:t>
        </m:r>
        <m:r>
          <m:t>2</m:t>
        </m:r>
      </m:oMath>
      <w:r>
        <w:rPr>
          <w:rFonts w:ascii="Cambria" w:hAnsi="Cambria" w:cs="Cambria" w:eastAsia="Cambria"/>
          <w:sz w:val="22"/>
        </w:rPr>
        <w:t xml:space="preserve">. The conditional entropy is:</w:t>
      </w:r>
    </w:p>
    <w:p>
      <w:pPr>
        <w:pStyle w:val="BodyText"/>
        <w:spacing w:before="0" w:after="200" w:line="276" w:lineRule="auto"/>
        <w:jc w:val="both"/>
      </w:pPr>
      <m:oMathPara>
        <m:oMathParaPr>
          <m:jc m:val="center"/>
        </m:oMathParaPr>
        <m:oMath>
          <m:r>
            <m:t>H</m:t>
          </m:r>
          <m:r>
            <m:rPr>
              <m:sty m:val="p"/>
            </m:rPr>
            <m:t>(</m:t>
          </m:r>
          <m:sSub>
            <m:e>
              <m:r>
                <m:t>X</m:t>
              </m:r>
            </m:e>
            <m:sub>
              <m:r>
                <m:t>t</m:t>
              </m:r>
              <m:r>
                <m:rPr>
                  <m:sty m:val="p"/>
                </m:rPr>
                <m:t>+</m:t>
              </m:r>
              <m:r>
                <m:t>1</m:t>
              </m:r>
            </m:sub>
          </m:sSub>
          <m:r>
            <m:rPr>
              <m:sty m:val="p"/>
            </m:rPr>
            <m:t>|</m:t>
          </m:r>
          <m:sSub>
            <m:e>
              <m:r>
                <m:t>X</m:t>
              </m:r>
            </m:e>
            <m:sub>
              <m:r>
                <m:t>t</m:t>
              </m:r>
            </m:sub>
          </m:sSub>
          <m:r>
            <m:rPr>
              <m:sty m:val="p"/>
            </m:rPr>
            <m:t>)</m:t>
          </m:r>
          <m:r>
            <m:rPr>
              <m:sty m:val="p"/>
            </m:rPr>
            <m:t>=</m:t>
          </m:r>
          <m:f>
            <m:fPr>
              <m:type m:val="bar"/>
            </m:fPr>
            <m:num>
              <m:r>
                <m:t>1</m:t>
              </m:r>
              <m:r>
                <m:rPr>
                  <m:sty m:val="p"/>
                </m:rPr>
                <m:t>+</m:t>
              </m:r>
              <m:r>
                <m:t>v</m:t>
              </m:r>
            </m:num>
            <m:den>
              <m:r>
                <m:t>2</m:t>
              </m:r>
            </m:den>
          </m:f>
          <m:r>
            <m:t>H</m:t>
          </m:r>
          <m:d>
            <m:dPr>
              <m:begChr m:val="("/>
              <m:sepChr m:val=""/>
              <m:endChr m:val=")"/>
              <m:grow/>
            </m:dPr>
            <m:e>
              <m:f>
                <m:fPr>
                  <m:type m:val="bar"/>
                </m:fPr>
                <m:num>
                  <m:r>
                    <m:t>1</m:t>
                  </m:r>
                  <m:r>
                    <m:rPr>
                      <m:sty m:val="p"/>
                    </m:rPr>
                    <m:t>+</m:t>
                  </m:r>
                  <m:r>
                    <m:t>v</m:t>
                  </m:r>
                </m:num>
                <m:den>
                  <m:r>
                    <m:t>2</m:t>
                  </m:r>
                </m:den>
              </m:f>
            </m:e>
          </m:d>
          <m:r>
            <m:rPr>
              <m:sty m:val="p"/>
            </m:rPr>
            <m:t>+</m:t>
          </m:r>
          <m:f>
            <m:fPr>
              <m:type m:val="bar"/>
            </m:fPr>
            <m:num>
              <m:r>
                <m:t>1</m:t>
              </m:r>
              <m:r>
                <m:rPr>
                  <m:sty m:val="p"/>
                </m:rPr>
                <m:t>−</m:t>
              </m:r>
              <m:r>
                <m:t>v</m:t>
              </m:r>
            </m:num>
            <m:den>
              <m:r>
                <m:t>2</m:t>
              </m:r>
            </m:den>
          </m:f>
          <m:r>
            <m:t>H</m:t>
          </m:r>
          <m:d>
            <m:dPr>
              <m:begChr m:val="("/>
              <m:sepChr m:val=""/>
              <m:endChr m:val=")"/>
              <m:grow/>
            </m:dPr>
            <m:e>
              <m:f>
                <m:fPr>
                  <m:type m:val="bar"/>
                </m:fPr>
                <m:num>
                  <m:r>
                    <m:t>1</m:t>
                  </m:r>
                  <m:r>
                    <m:rPr>
                      <m:sty m:val="p"/>
                    </m:rPr>
                    <m:t>−</m:t>
                  </m:r>
                  <m:r>
                    <m:t>v</m:t>
                  </m:r>
                </m:num>
                <m:den>
                  <m:r>
                    <m:t>2</m:t>
                  </m:r>
                </m:den>
              </m:f>
            </m:e>
          </m:d>
        </m:oMath>
      </m:oMathPara>
    </w:p>
    <w:p>
      <w:pPr>
        <w:pStyle w:val="FirstParagraph"/>
        <w:spacing w:before="0" w:after="200" w:line="276" w:lineRule="auto"/>
        <w:jc w:val="both"/>
      </w:pPr>
      <w:r>
        <w:rPr>
          <w:rFonts w:ascii="Cambria" w:hAnsi="Cambria" w:cs="Cambria" w:eastAsia="Cambria"/>
          <w:sz w:val="22"/>
        </w:rPr>
        <w:t xml:space="preserve">where</w:t>
      </w:r>
      <w:r>
        <w:rPr>
          <w:rFonts w:ascii="Cambria" w:hAnsi="Cambria" w:cs="Cambria" w:eastAsia="Cambria"/>
          <w:sz w:val="22"/>
        </w:rPr>
        <w:t xml:space="preserve"> </w:t>
      </w:r>
      <m:oMath>
        <m:r>
          <m:t>H</m:t>
        </m:r>
        <m:r>
          <m:rPr>
            <m:sty m:val="p"/>
          </m:rPr>
          <m:t>(</m:t>
        </m:r>
        <m:r>
          <m:t>x</m:t>
        </m:r>
        <m:r>
          <m:rPr>
            <m:sty m:val="p"/>
          </m:rPr>
          <m:t>)</m:t>
        </m:r>
        <m:r>
          <m:rPr>
            <m:sty m:val="p"/>
          </m:rPr>
          <m:t>=</m:t>
        </m:r>
        <m:r>
          <m:rPr>
            <m:sty m:val="p"/>
          </m:rPr>
          <m:t>−</m:t>
        </m:r>
        <m:r>
          <m:t>x</m:t>
        </m:r>
        <m:r>
          <m:rPr>
            <m:sty m:val="p"/>
          </m:rPr>
          <m:t>ln</m:t>
        </m:r>
        <m:r>
          <m:t>x</m:t>
        </m:r>
        <m:r>
          <m:rPr>
            <m:sty m:val="p"/>
          </m:rPr>
          <m:t>−</m:t>
        </m:r>
        <m:r>
          <m:rPr>
            <m:sty m:val="p"/>
          </m:rPr>
          <m:t>(</m:t>
        </m:r>
        <m:r>
          <m:t>1</m:t>
        </m:r>
        <m:r>
          <m:rPr>
            <m:sty m:val="p"/>
          </m:rPr>
          <m:t>−</m:t>
        </m:r>
        <m:r>
          <m:t>x</m:t>
        </m:r>
        <m:r>
          <m:rPr>
            <m:sty m:val="p"/>
          </m:rPr>
          <m:t>)</m:t>
        </m:r>
        <m:r>
          <m:rPr>
            <m:sty m:val="p"/>
          </m:rPr>
          <m:t>ln</m:t>
        </m:r>
        <m:r>
          <m:rPr>
            <m:sty m:val="p"/>
          </m:rPr>
          <m:t>(</m:t>
        </m:r>
        <m:r>
          <m:t>1</m:t>
        </m:r>
        <m:r>
          <m:rPr>
            <m:sty m:val="p"/>
          </m:rPr>
          <m:t>−</m:t>
        </m:r>
        <m:r>
          <m:t>x</m:t>
        </m:r>
        <m:r>
          <m:rPr>
            <m:sty m:val="p"/>
          </m:rPr>
          <m:t>)</m:t>
        </m:r>
      </m:oMath>
      <w:r>
        <w:rPr>
          <w:rFonts w:ascii="Cambria" w:hAnsi="Cambria" w:cs="Cambria" w:eastAsia="Cambria"/>
          <w:sz w:val="22"/>
        </w:rPr>
        <w:t xml:space="preserve">. The result follows. ∎</w:t>
      </w:r>
    </w:p>
    <w:p>
      <w:pPr>
        <w:pStyle w:val="BodyText"/>
        <w:spacing w:before="0" w:after="200" w:line="276" w:lineRule="auto"/>
        <w:jc w:val="both"/>
      </w:pPr>
      <w:r>
        <w:rPr>
          <w:rFonts w:ascii="Cambria" w:hAnsi="Cambria" w:cs="Cambria" w:eastAsia="Cambria"/>
          <w:b/>
          <w:bCs/>
          <w:sz w:val="22"/>
        </w:rPr>
        <w:t xml:space="preserve">Corollary 1 (Small-v approximation).</w:t>
      </w:r>
      <w:r>
        <w:rPr>
          <w:rFonts w:ascii="Cambria" w:hAnsi="Cambria" w:cs="Cambria" w:eastAsia="Cambria"/>
          <w:sz w:val="22"/>
        </w:rPr>
        <w:t xml:space="preserve"> </w:t>
      </w:r>
      <w:r>
        <w:rPr>
          <w:rFonts w:ascii="Cambria" w:hAnsi="Cambria" w:cs="Cambria" w:eastAsia="Cambria"/>
          <w:sz w:val="22"/>
        </w:rPr>
        <w:t xml:space="preserve">For small v (</w:t>
      </w:r>
      <m:oMath>
        <m:r>
          <m:rPr>
            <m:sty m:val="p"/>
          </m:rPr>
          <m:t>|</m:t>
        </m:r>
        <m:r>
          <m:t>v</m:t>
        </m:r>
        <m:r>
          <m:rPr>
            <m:sty m:val="p"/>
          </m:rPr>
          <m:t>|</m:t>
        </m:r>
        <m:r>
          <m:rPr>
            <m:sty m:val="p"/>
          </m:rPr>
          <m:t>≪</m:t>
        </m:r>
        <m:r>
          <m:t>1</m:t>
        </m:r>
      </m:oMath>
      <w:r>
        <w:rPr>
          <w:rFonts w:ascii="Cambria" w:hAnsi="Cambria" w:cs="Cambria" w:eastAsia="Cambria"/>
          <w:sz w:val="22"/>
        </w:rPr>
        <w:t xml:space="preserve">):</w:t>
      </w:r>
    </w:p>
    <w:p>
      <w:pPr>
        <w:pStyle w:val="BodyText"/>
        <w:spacing w:before="0" w:after="200" w:line="276" w:lineRule="auto"/>
        <w:jc w:val="both"/>
      </w:pPr>
      <m:oMathPara>
        <m:oMathParaPr>
          <m:jc m:val="center"/>
        </m:oMathParaPr>
        <m:oMath>
          <m:sSub>
            <m:e>
              <m:r>
                <m:t>I</m:t>
              </m:r>
            </m:e>
            <m:sub>
              <m:r>
                <m:t>p</m:t>
              </m:r>
              <m:r>
                <m:t>r</m:t>
              </m:r>
              <m:r>
                <m:t>e</m:t>
              </m:r>
              <m:r>
                <m:t>d</m:t>
              </m:r>
            </m:sub>
          </m:sSub>
          <m:r>
            <m:rPr>
              <m:sty m:val="p"/>
            </m:rPr>
            <m:t>(</m:t>
          </m:r>
          <m:r>
            <m:t>v</m:t>
          </m:r>
          <m:r>
            <m:rPr>
              <m:sty m:val="p"/>
            </m:rPr>
            <m:t>)</m:t>
          </m:r>
          <m:r>
            <m:rPr>
              <m:sty m:val="p"/>
            </m:rPr>
            <m:t>=</m:t>
          </m:r>
          <m:f>
            <m:fPr>
              <m:type m:val="bar"/>
            </m:fPr>
            <m:num>
              <m:sSup>
                <m:e>
                  <m:r>
                    <m:t>v</m:t>
                  </m:r>
                </m:e>
                <m:sup>
                  <m:r>
                    <m:t>2</m:t>
                  </m:r>
                </m:sup>
              </m:sSup>
            </m:num>
            <m:den>
              <m:r>
                <m:t>2</m:t>
              </m:r>
            </m:den>
          </m:f>
          <m:r>
            <m:rPr>
              <m:sty m:val="p"/>
            </m:rPr>
            <m:t>+</m:t>
          </m:r>
          <m:r>
            <m:t>O</m:t>
          </m:r>
          <m:r>
            <m:rPr>
              <m:sty m:val="p"/>
            </m:rPr>
            <m:t>(</m:t>
          </m:r>
          <m:sSup>
            <m:e>
              <m:r>
                <m:t>v</m:t>
              </m:r>
            </m:e>
            <m:sup>
              <m:r>
                <m:t>4</m:t>
              </m:r>
            </m:sup>
          </m:sSup>
          <m:r>
            <m:rPr>
              <m:sty m:val="p"/>
            </m:rPr>
            <m:t>)</m:t>
          </m:r>
        </m:oMath>
      </m:oMathPara>
    </w:p>
    <w:p>
      <w:pPr>
        <w:pStyle w:val="Heading4"/>
        <w:spacing w:before="200" w:after="120" w:line="276" w:lineRule="auto"/>
        <w:jc w:val="left"/>
      </w:pPr>
      <w:r>
        <w:rPr>
          <w:rFonts w:ascii="Calibri" w:hAnsi="Calibri" w:cs="Calibri" w:eastAsia="Calibri"/>
          <w:b/>
          <w:color w:val="4F81BD"/>
          <w:sz w:val="24"/>
        </w:rPr>
        <w:t xml:space="preserve">2.1.3 Nonequilibrium Cost Function</w:t>
      </w:r>
    </w:p>
    <w:p>
      <w:pPr>
        <w:pStyle w:val="FirstParagraph"/>
        <w:spacing w:before="0" w:after="200" w:line="276" w:lineRule="auto"/>
        <w:jc w:val="both"/>
      </w:pPr>
      <w:r>
        <w:rPr>
          <w:rFonts w:ascii="Cambria" w:hAnsi="Cambria" w:cs="Cambria" w:eastAsia="Cambria"/>
          <w:sz w:val="22"/>
        </w:rPr>
        <w:t xml:space="preserve">Following the free-energy principle (Friston et al., 2010) and nonequilibrium thermodynamic approaches to aging (Wallace, 2015), we define the cost of deviation from equilibrium.</w:t>
      </w:r>
    </w:p>
    <w:p>
      <w:pPr>
        <w:pStyle w:val="BodyText"/>
        <w:spacing w:before="0" w:after="200" w:line="276" w:lineRule="auto"/>
        <w:jc w:val="both"/>
      </w:pPr>
      <w:r>
        <w:rPr>
          <w:rFonts w:ascii="Cambria" w:hAnsi="Cambria" w:cs="Cambria" w:eastAsia="Cambria"/>
          <w:b/>
          <w:bCs/>
          <w:sz w:val="22"/>
        </w:rPr>
        <w:t xml:space="preserve">Definition 2 (Equilibrium fixed point).</w:t>
      </w:r>
      <w:r>
        <w:rPr>
          <w:rFonts w:ascii="Cambria" w:hAnsi="Cambria" w:cs="Cambria" w:eastAsia="Cambria"/>
          <w:sz w:val="22"/>
        </w:rPr>
        <w:t xml:space="preserve"> </w:t>
      </w:r>
      <w:r>
        <w:rPr>
          <w:rFonts w:ascii="Cambria" w:hAnsi="Cambria" w:cs="Cambria" w:eastAsia="Cambria"/>
          <w:sz w:val="22"/>
        </w:rPr>
        <w:t xml:space="preserve">For an isolated Ze-system in thermal equilibrium (maximum Shannon entropy, no external energy flux), the Ze velocity converges to:</w:t>
      </w:r>
    </w:p>
    <w:p>
      <w:pPr>
        <w:pStyle w:val="BodyText"/>
        <w:spacing w:before="0" w:after="200" w:line="276" w:lineRule="auto"/>
        <w:jc w:val="both"/>
      </w:pPr>
      <m:oMathPara>
        <m:oMathParaPr>
          <m:jc m:val="center"/>
        </m:oMathParaPr>
        <m:oMath>
          <m:sSub>
            <m:e>
              <m:r>
                <m:t>v</m:t>
              </m:r>
            </m:e>
            <m:sub>
              <m:r>
                <m:t>0</m:t>
              </m:r>
            </m:sub>
          </m:sSub>
          <m:r>
            <m:rPr>
              <m:sty m:val="p"/>
            </m:rPr>
            <m:t>=</m:t>
          </m:r>
          <m:r>
            <m:t>1</m:t>
          </m:r>
          <m:r>
            <m:rPr>
              <m:sty m:val="p"/>
            </m:rPr>
            <m:t>−</m:t>
          </m:r>
          <m:r>
            <m:rPr>
              <m:sty m:val="p"/>
            </m:rPr>
            <m:t>ln</m:t>
          </m:r>
          <m:r>
            <m:t>2</m:t>
          </m:r>
          <m:r>
            <m:rPr>
              <m:sty m:val="p"/>
            </m:rPr>
            <m:t>≈</m:t>
          </m:r>
          <m:r>
            <m:t>0.3069</m:t>
          </m:r>
        </m:oMath>
      </m:oMathPara>
    </w:p>
    <w:p>
      <w:pPr>
        <w:pStyle w:val="FirstParagraph"/>
        <w:spacing w:before="0" w:after="200" w:line="276" w:lineRule="auto"/>
        <w:jc w:val="both"/>
      </w:pPr>
      <w:r>
        <w:rPr>
          <w:rFonts w:ascii="Cambria" w:hAnsi="Cambria" w:cs="Cambria" w:eastAsia="Cambria"/>
          <w:b/>
          <w:bCs/>
          <w:sz w:val="22"/>
        </w:rPr>
        <w:t xml:space="preserve">Justification.</w:t>
      </w:r>
      <w:r>
        <w:rPr>
          <w:rFonts w:ascii="Cambria" w:hAnsi="Cambria" w:cs="Cambria" w:eastAsia="Cambria"/>
          <w:sz w:val="22"/>
        </w:rPr>
        <w:t xml:space="preserve"> </w:t>
      </w:r>
      <w:r>
        <w:rPr>
          <w:rFonts w:ascii="Cambria" w:hAnsi="Cambria" w:cs="Cambria" w:eastAsia="Cambria"/>
          <w:sz w:val="22"/>
        </w:rPr>
        <w:t xml:space="preserve">This value emerges from maximizing Shannon entropy subject to constraints on the binary process. For a two-state system with entropy maximization, the ratio of transition probabilities leads to this fixed point (full derivation available in Supplementary Materials).</w:t>
      </w:r>
    </w:p>
    <w:p>
      <w:pPr>
        <w:pStyle w:val="BodyText"/>
        <w:spacing w:before="0" w:after="200" w:line="276" w:lineRule="auto"/>
        <w:jc w:val="both"/>
      </w:pPr>
      <w:r>
        <w:rPr>
          <w:rFonts w:ascii="Cambria" w:hAnsi="Cambria" w:cs="Cambria" w:eastAsia="Cambria"/>
          <w:b/>
          <w:bCs/>
          <w:sz w:val="22"/>
        </w:rPr>
        <w:t xml:space="preserve">Definition 3 (Metabolic cost).</w:t>
      </w:r>
      <w:r>
        <w:rPr>
          <w:rFonts w:ascii="Cambria" w:hAnsi="Cambria" w:cs="Cambria" w:eastAsia="Cambria"/>
          <w:sz w:val="22"/>
        </w:rPr>
        <w:t xml:space="preserve"> </w:t>
      </w:r>
      <w:r>
        <w:rPr>
          <w:rFonts w:ascii="Cambria" w:hAnsi="Cambria" w:cs="Cambria" w:eastAsia="Cambria"/>
          <w:sz w:val="22"/>
        </w:rPr>
        <w:t xml:space="preserve">The cost of maintaining a nonequilibrium state with velocity v is:</w:t>
      </w:r>
    </w:p>
    <w:p>
      <w:pPr>
        <w:pStyle w:val="BodyText"/>
        <w:spacing w:before="0" w:after="200" w:line="276" w:lineRule="auto"/>
        <w:jc w:val="both"/>
      </w:pPr>
      <m:oMathPara>
        <m:oMathParaPr>
          <m:jc m:val="center"/>
        </m:oMathParaPr>
        <m:oMath>
          <m:r>
            <m:t>C</m:t>
          </m:r>
          <m:r>
            <m:rPr>
              <m:sty m:val="p"/>
            </m:rPr>
            <m:t>(</m:t>
          </m:r>
          <m:r>
            <m:t>v</m:t>
          </m:r>
          <m:r>
            <m:rPr>
              <m:sty m:val="p"/>
            </m:rPr>
            <m:t>)</m:t>
          </m:r>
          <m:r>
            <m:rPr>
              <m:sty m:val="p"/>
            </m:rPr>
            <m:t>=</m:t>
          </m:r>
          <m:f>
            <m:fPr>
              <m:type m:val="bar"/>
            </m:fPr>
            <m:num>
              <m:r>
                <m:rPr>
                  <m:sty m:val="p"/>
                </m:rPr>
                <m:t>(</m:t>
              </m:r>
              <m:r>
                <m:t>v</m:t>
              </m:r>
              <m:r>
                <m:rPr>
                  <m:sty m:val="p"/>
                </m:rPr>
                <m:t>−</m:t>
              </m:r>
              <m:sSub>
                <m:e>
                  <m:r>
                    <m:t>v</m:t>
                  </m:r>
                </m:e>
                <m:sub>
                  <m:r>
                    <m:t>0</m:t>
                  </m:r>
                </m:sub>
              </m:sSub>
              <m:sSup>
                <m:e>
                  <m:r>
                    <m:rPr>
                      <m:sty m:val="p"/>
                    </m:rPr>
                    <m:t>)</m:t>
                  </m:r>
                </m:e>
                <m:sup>
                  <m:r>
                    <m:t>2</m:t>
                  </m:r>
                </m:sup>
              </m:sSup>
            </m:num>
            <m:den>
              <m:r>
                <m:t>2</m:t>
              </m:r>
              <m:r>
                <m:rPr>
                  <m:sty m:val="p"/>
                </m:rPr>
                <m:t>(</m:t>
              </m:r>
              <m:r>
                <m:t>1</m:t>
              </m:r>
              <m:r>
                <m:rPr>
                  <m:sty m:val="p"/>
                </m:rPr>
                <m:t>−</m:t>
              </m:r>
              <m:sSub>
                <m:e>
                  <m:r>
                    <m:t>v</m:t>
                  </m:r>
                </m:e>
                <m:sub>
                  <m:r>
                    <m:t>0</m:t>
                  </m:r>
                </m:sub>
              </m:sSub>
              <m:sSup>
                <m:e>
                  <m:r>
                    <m:rPr>
                      <m:sty m:val="p"/>
                    </m:rPr>
                    <m:t>)</m:t>
                  </m:r>
                </m:e>
                <m:sup>
                  <m:r>
                    <m:t>2</m:t>
                  </m:r>
                </m:sup>
              </m:sSup>
            </m:den>
          </m:f>
        </m:oMath>
      </m:oMathPara>
    </w:p>
    <w:p>
      <w:pPr>
        <w:pStyle w:val="FirstParagraph"/>
        <w:spacing w:before="0" w:after="200" w:line="276" w:lineRule="auto"/>
        <w:jc w:val="both"/>
      </w:pPr>
      <w:r>
        <w:rPr>
          <w:rFonts w:ascii="Cambria" w:hAnsi="Cambria" w:cs="Cambria" w:eastAsia="Cambria"/>
          <w:sz w:val="22"/>
        </w:rPr>
        <w:t xml:space="preserve">Normalization by</w:t>
      </w:r>
      <w:r>
        <w:rPr>
          <w:rFonts w:ascii="Cambria" w:hAnsi="Cambria" w:cs="Cambria" w:eastAsia="Cambria"/>
          <w:sz w:val="22"/>
        </w:rPr>
        <w:t xml:space="preserve"> </w:t>
      </w:r>
      <m:oMath>
        <m:r>
          <m:rPr>
            <m:sty m:val="p"/>
          </m:rPr>
          <m:t>(</m:t>
        </m:r>
        <m:r>
          <m:t>1</m:t>
        </m:r>
        <m:r>
          <m:rPr>
            <m:sty m:val="p"/>
          </m:rPr>
          <m:t>−</m:t>
        </m:r>
        <m:sSub>
          <m:e>
            <m:r>
              <m:t>v</m:t>
            </m:r>
          </m:e>
          <m:sub>
            <m:r>
              <m:t>0</m:t>
            </m:r>
          </m:sub>
        </m:sSub>
        <m:sSup>
          <m:e>
            <m:r>
              <m:rPr>
                <m:sty m:val="p"/>
              </m:rPr>
              <m:t>)</m:t>
            </m:r>
          </m:e>
          <m:sup>
            <m:r>
              <m:t>2</m:t>
            </m:r>
          </m:sup>
        </m:sSup>
      </m:oMath>
      <w:r>
        <w:rPr>
          <w:rFonts w:ascii="Cambria" w:hAnsi="Cambria" w:cs="Cambria" w:eastAsia="Cambria"/>
          <w:sz w:val="22"/>
        </w:rPr>
        <w:t xml:space="preserve"> </w:t>
      </w:r>
      <w:r>
        <w:rPr>
          <w:rFonts w:ascii="Cambria" w:hAnsi="Cambria" w:cs="Cambria" w:eastAsia="Cambria"/>
          <w:sz w:val="22"/>
        </w:rPr>
        <w:t xml:space="preserve">ensures</w:t>
      </w:r>
      <w:r>
        <w:rPr>
          <w:rFonts w:ascii="Cambria" w:hAnsi="Cambria" w:cs="Cambria" w:eastAsia="Cambria"/>
          <w:sz w:val="22"/>
        </w:rPr>
        <w:t xml:space="preserve"> </w:t>
      </w:r>
      <m:oMath>
        <m:r>
          <m:t>C</m:t>
        </m:r>
        <m:r>
          <m:rPr>
            <m:sty m:val="p"/>
          </m:rPr>
          <m:t>(</m:t>
        </m:r>
        <m:r>
          <m:t>v</m:t>
        </m:r>
        <m:r>
          <m:rPr>
            <m:sty m:val="p"/>
          </m:rPr>
          <m:t>)</m:t>
        </m:r>
        <m:r>
          <m:rPr>
            <m:sty m:val="p"/>
          </m:rPr>
          <m:t>∈</m:t>
        </m:r>
        <m:r>
          <m:rPr>
            <m:sty m:val="p"/>
          </m:rPr>
          <m:t>[</m:t>
        </m:r>
        <m:r>
          <m:t>0</m:t>
        </m:r>
        <m:r>
          <m:rPr>
            <m:sty m:val="p"/>
          </m:rPr>
          <m:t>,</m:t>
        </m:r>
        <m:r>
          <m:t>0.5</m:t>
        </m:r>
        <m:r>
          <m:rPr>
            <m:sty m:val="p"/>
          </m:rPr>
          <m:t>]</m:t>
        </m:r>
      </m:oMath>
      <w:r>
        <w:rPr>
          <w:rFonts w:ascii="Cambria" w:hAnsi="Cambria" w:cs="Cambria" w:eastAsia="Cambria"/>
          <w:sz w:val="22"/>
        </w:rPr>
        <w:t xml:space="preserve"> </w:t>
      </w:r>
      <w:r>
        <w:rPr>
          <w:rFonts w:ascii="Cambria" w:hAnsi="Cambria" w:cs="Cambria" w:eastAsia="Cambria"/>
          <w:sz w:val="22"/>
        </w:rPr>
        <w:t xml:space="preserve">for</w:t>
      </w:r>
      <w:r>
        <w:rPr>
          <w:rFonts w:ascii="Cambria" w:hAnsi="Cambria" w:cs="Cambria" w:eastAsia="Cambria"/>
          <w:sz w:val="22"/>
        </w:rPr>
        <w:t xml:space="preserve"> </w:t>
      </w:r>
      <m:oMath>
        <m:r>
          <m:t>v</m:t>
        </m:r>
        <m:r>
          <m:rPr>
            <m:sty m:val="p"/>
          </m:rPr>
          <m:t>∈</m:t>
        </m:r>
        <m:r>
          <m:rPr>
            <m:sty m:val="p"/>
          </m:rPr>
          <m:t>[</m:t>
        </m:r>
        <m:sSub>
          <m:e>
            <m:r>
              <m:t>v</m:t>
            </m:r>
          </m:e>
          <m:sub>
            <m:r>
              <m:t>0</m:t>
            </m:r>
          </m:sub>
        </m:sSub>
        <m:r>
          <m:rPr>
            <m:sty m:val="p"/>
          </m:rPr>
          <m:t>,</m:t>
        </m:r>
        <m:r>
          <m:t>1</m:t>
        </m:r>
        <m:r>
          <m:rPr>
            <m:sty m:val="p"/>
          </m:rPr>
          <m:t>]</m:t>
        </m:r>
      </m:oMath>
      <w:r>
        <w:rPr>
          <w:rFonts w:ascii="Cambria" w:hAnsi="Cambria" w:cs="Cambria" w:eastAsia="Cambria"/>
          <w:sz w:val="22"/>
        </w:rPr>
        <w:t xml:space="preserve">.</w:t>
      </w:r>
    </w:p>
    <w:p>
      <w:pPr>
        <w:pStyle w:val="Heading4"/>
        <w:spacing w:before="200" w:after="120" w:line="276" w:lineRule="auto"/>
        <w:jc w:val="left"/>
      </w:pPr>
      <w:r>
        <w:rPr>
          <w:rFonts w:ascii="Calibri" w:hAnsi="Calibri" w:cs="Calibri" w:eastAsia="Calibri"/>
          <w:b/>
          <w:color w:val="4F81BD"/>
          <w:sz w:val="24"/>
        </w:rPr>
        <w:t xml:space="preserve">2.1.4 Variational Principle</w:t>
      </w:r>
    </w:p>
    <w:p>
      <w:pPr>
        <w:pStyle w:val="FirstParagraph"/>
        <w:spacing w:before="0" w:after="200" w:line="276" w:lineRule="auto"/>
        <w:jc w:val="both"/>
      </w:pPr>
      <w:r>
        <w:rPr>
          <w:rFonts w:ascii="Cambria" w:hAnsi="Cambria" w:cs="Cambria" w:eastAsia="Cambria"/>
          <w:sz w:val="22"/>
        </w:rPr>
        <w:t xml:space="preserve">Living systems operate at the optimum of the trade-off between predictive information and metabolic cost:</w:t>
      </w:r>
    </w:p>
    <w:p>
      <w:pPr>
        <w:pStyle w:val="BodyText"/>
        <w:spacing w:before="0" w:after="200" w:line="276" w:lineRule="auto"/>
        <w:jc w:val="both"/>
      </w:pPr>
      <w:r>
        <w:rPr>
          <w:rFonts w:ascii="Cambria" w:hAnsi="Cambria" w:cs="Cambria" w:eastAsia="Cambria"/>
          <w:b/>
          <w:bCs/>
          <w:sz w:val="22"/>
        </w:rPr>
        <w:t xml:space="preserve">Postulate 1 (Optimization principle).</w:t>
      </w:r>
      <w:r>
        <w:rPr>
          <w:rFonts w:ascii="Cambria" w:hAnsi="Cambria" w:cs="Cambria" w:eastAsia="Cambria"/>
          <w:sz w:val="22"/>
        </w:rPr>
        <w:t xml:space="preserve"> </w:t>
      </w:r>
      <w:r>
        <w:rPr>
          <w:rFonts w:ascii="Cambria" w:hAnsi="Cambria" w:cs="Cambria" w:eastAsia="Cambria"/>
          <w:sz w:val="22"/>
        </w:rPr>
        <w:t xml:space="preserve">A living Ze-system maximizes the Lagrangian:</w:t>
      </w:r>
    </w:p>
    <w:p>
      <w:pPr>
        <w:pStyle w:val="BodyText"/>
        <w:spacing w:before="0" w:after="200" w:line="276" w:lineRule="auto"/>
        <w:jc w:val="both"/>
      </w:pPr>
      <m:oMathPara>
        <m:oMathParaPr>
          <m:jc m:val="center"/>
        </m:oMathParaPr>
        <m:oMath>
          <m:r>
            <m:rPr>
              <m:scr m:val="script"/>
              <m:sty m:val="p"/>
            </m:rPr>
            <m:t>L</m:t>
          </m:r>
          <m:r>
            <m:rPr>
              <m:sty m:val="p"/>
            </m:rPr>
            <m:t>(</m:t>
          </m:r>
          <m:r>
            <m:t>v</m:t>
          </m:r>
          <m:r>
            <m:rPr>
              <m:sty m:val="p"/>
            </m:rPr>
            <m:t>)</m:t>
          </m:r>
          <m:r>
            <m:rPr>
              <m:sty m:val="p"/>
            </m:rPr>
            <m:t>=</m:t>
          </m:r>
          <m:sSub>
            <m:e>
              <m:r>
                <m:t>I</m:t>
              </m:r>
            </m:e>
            <m:sub>
              <m:r>
                <m:t>p</m:t>
              </m:r>
              <m:r>
                <m:t>r</m:t>
              </m:r>
              <m:r>
                <m:t>e</m:t>
              </m:r>
              <m:r>
                <m:t>d</m:t>
              </m:r>
            </m:sub>
          </m:sSub>
          <m:r>
            <m:rPr>
              <m:sty m:val="p"/>
            </m:rPr>
            <m:t>(</m:t>
          </m:r>
          <m:r>
            <m:t>v</m:t>
          </m:r>
          <m:r>
            <m:rPr>
              <m:sty m:val="p"/>
            </m:rPr>
            <m:t>)</m:t>
          </m:r>
          <m:r>
            <m:rPr>
              <m:sty m:val="p"/>
            </m:rPr>
            <m:t>−</m:t>
          </m:r>
          <m:r>
            <m:t>λ</m:t>
          </m:r>
          <m:r>
            <m:t>C</m:t>
          </m:r>
          <m:r>
            <m:rPr>
              <m:sty m:val="p"/>
            </m:rPr>
            <m:t>(</m:t>
          </m:r>
          <m:r>
            <m:t>v</m:t>
          </m:r>
          <m:r>
            <m:rPr>
              <m:sty m:val="p"/>
            </m:rPr>
            <m:t>)</m:t>
          </m:r>
        </m:oMath>
      </m:oMathPara>
    </w:p>
    <w:p>
      <w:pPr>
        <w:pStyle w:val="FirstParagraph"/>
        <w:spacing w:before="0" w:after="200" w:line="276" w:lineRule="auto"/>
        <w:jc w:val="both"/>
      </w:pPr>
      <w:r>
        <w:rPr>
          <w:rFonts w:ascii="Cambria" w:hAnsi="Cambria" w:cs="Cambria" w:eastAsia="Cambria"/>
          <w:sz w:val="22"/>
        </w:rPr>
        <w:t xml:space="preserve">where</w:t>
      </w:r>
      <w:r>
        <w:rPr>
          <w:rFonts w:ascii="Cambria" w:hAnsi="Cambria" w:cs="Cambria" w:eastAsia="Cambria"/>
          <w:sz w:val="22"/>
        </w:rPr>
        <w:t xml:space="preserve"> </w:t>
      </w:r>
      <m:oMath>
        <m:r>
          <m:t>λ</m:t>
        </m:r>
        <m:r>
          <m:rPr>
            <m:sty m:val="p"/>
          </m:rPr>
          <m:t>&gt;</m:t>
        </m:r>
        <m:r>
          <m:t>0</m:t>
        </m:r>
      </m:oMath>
      <w:r>
        <w:rPr>
          <w:rFonts w:ascii="Cambria" w:hAnsi="Cambria" w:cs="Cambria" w:eastAsia="Cambria"/>
          <w:sz w:val="22"/>
        </w:rPr>
        <w:t xml:space="preserve"> </w:t>
      </w:r>
      <w:r>
        <w:rPr>
          <w:rFonts w:ascii="Cambria" w:hAnsi="Cambria" w:cs="Cambria" w:eastAsia="Cambria"/>
          <w:sz w:val="22"/>
        </w:rPr>
        <w:t xml:space="preserve">is a Lagrange multiplier representing the intensity of the nonequilibrium drive (environmental energy flux).</w:t>
      </w:r>
    </w:p>
    <w:p>
      <w:pPr>
        <w:pStyle w:val="BodyText"/>
        <w:spacing w:before="0" w:after="200" w:line="276" w:lineRule="auto"/>
        <w:jc w:val="both"/>
      </w:pPr>
      <w:r>
        <w:rPr>
          <w:rFonts w:ascii="Cambria" w:hAnsi="Cambria" w:cs="Cambria" w:eastAsia="Cambria"/>
          <w:b/>
          <w:bCs/>
          <w:sz w:val="22"/>
        </w:rPr>
        <w:t xml:space="preserve">Theorem 2 (Optimal velocity).</w:t>
      </w:r>
      <w:r>
        <w:rPr>
          <w:rFonts w:ascii="Cambria" w:hAnsi="Cambria" w:cs="Cambria" w:eastAsia="Cambria"/>
          <w:sz w:val="22"/>
        </w:rPr>
        <w:t xml:space="preserve"> </w:t>
      </w:r>
      <w:r>
        <w:rPr>
          <w:rFonts w:ascii="Cambria" w:hAnsi="Cambria" w:cs="Cambria" w:eastAsia="Cambria"/>
          <w:sz w:val="22"/>
        </w:rPr>
        <w:t xml:space="preserve">The optimal velocity v* satisfies:</w:t>
      </w:r>
    </w:p>
    <w:p>
      <w:pPr>
        <w:pStyle w:val="BodyText"/>
        <w:spacing w:before="0" w:after="200" w:line="276" w:lineRule="auto"/>
        <w:jc w:val="both"/>
      </w:pPr>
      <m:oMathPara>
        <m:oMathParaPr>
          <m:jc m:val="center"/>
        </m:oMathParaPr>
        <m:oMath>
          <m:f>
            <m:fPr>
              <m:type m:val="bar"/>
            </m:fPr>
            <m:num>
              <m:r>
                <m:t>d</m:t>
              </m:r>
              <m:sSub>
                <m:e>
                  <m:r>
                    <m:t>I</m:t>
                  </m:r>
                </m:e>
                <m:sub>
                  <m:r>
                    <m:t>p</m:t>
                  </m:r>
                  <m:r>
                    <m:t>r</m:t>
                  </m:r>
                  <m:r>
                    <m:t>e</m:t>
                  </m:r>
                  <m:r>
                    <m:t>d</m:t>
                  </m:r>
                </m:sub>
              </m:sSub>
            </m:num>
            <m:den>
              <m:r>
                <m:t>d</m:t>
              </m:r>
              <m:r>
                <m:t>v</m:t>
              </m:r>
            </m:den>
          </m:f>
          <m:sSub>
            <m:e>
              <m:r>
                <m:rPr>
                  <m:sty m:val="p"/>
                </m:rPr>
                <m:t>|</m:t>
              </m:r>
            </m:e>
            <m:sub>
              <m:r>
                <m:t>v</m:t>
              </m:r>
              <m:r>
                <m:rPr>
                  <m:sty m:val="p"/>
                </m:rPr>
                <m:t>=</m:t>
              </m:r>
              <m:sSup>
                <m:e>
                  <m:r>
                    <m:t>v</m:t>
                  </m:r>
                </m:e>
                <m:sup>
                  <m:r>
                    <m:rPr>
                      <m:sty m:val="p"/>
                    </m:rPr>
                    <m:t>*</m:t>
                  </m:r>
                </m:sup>
              </m:sSup>
            </m:sub>
          </m:sSub>
          <m:r>
            <m:rPr>
              <m:sty m:val="p"/>
            </m:rPr>
            <m:t>=</m:t>
          </m:r>
          <m:r>
            <m:t>λ</m:t>
          </m:r>
          <m:f>
            <m:fPr>
              <m:type m:val="bar"/>
            </m:fPr>
            <m:num>
              <m:r>
                <m:t>d</m:t>
              </m:r>
              <m:r>
                <m:t>C</m:t>
              </m:r>
            </m:num>
            <m:den>
              <m:r>
                <m:t>d</m:t>
              </m:r>
              <m:r>
                <m:t>v</m:t>
              </m:r>
            </m:den>
          </m:f>
          <m:sSub>
            <m:e>
              <m:r>
                <m:rPr>
                  <m:sty m:val="p"/>
                </m:rPr>
                <m:t>|</m:t>
              </m:r>
            </m:e>
            <m:sub>
              <m:r>
                <m:t>v</m:t>
              </m:r>
              <m:r>
                <m:rPr>
                  <m:sty m:val="p"/>
                </m:rPr>
                <m:t>=</m:t>
              </m:r>
              <m:sSup>
                <m:e>
                  <m:r>
                    <m:t>v</m:t>
                  </m:r>
                </m:e>
                <m:sup>
                  <m:r>
                    <m:rPr>
                      <m:sty m:val="p"/>
                    </m:rPr>
                    <m:t>*</m:t>
                  </m:r>
                </m:sup>
              </m:sSup>
            </m:sub>
          </m:sSub>
        </m:oMath>
      </m:oMathPara>
    </w:p>
    <w:p>
      <w:pPr>
        <w:pStyle w:val="FirstParagraph"/>
        <w:spacing w:before="0" w:after="200" w:line="276" w:lineRule="auto"/>
        <w:jc w:val="both"/>
      </w:pPr>
      <w:r>
        <w:rPr>
          <w:rFonts w:ascii="Cambria" w:hAnsi="Cambria" w:cs="Cambria" w:eastAsia="Cambria"/>
          <w:sz w:val="22"/>
        </w:rPr>
        <w:t xml:space="preserve">For small v, this yields:</w:t>
      </w:r>
    </w:p>
    <w:p>
      <w:pPr>
        <w:pStyle w:val="BodyText"/>
        <w:spacing w:before="0" w:after="200" w:line="276" w:lineRule="auto"/>
        <w:jc w:val="both"/>
      </w:pPr>
      <m:oMathPara>
        <m:oMathParaPr>
          <m:jc m:val="center"/>
        </m:oMathParaPr>
        <m:oMath>
          <m:sSup>
            <m:e>
              <m:r>
                <m:t>v</m:t>
              </m:r>
            </m:e>
            <m:sup>
              <m:r>
                <m:rPr>
                  <m:sty m:val="p"/>
                </m:rPr>
                <m:t>*</m:t>
              </m:r>
            </m:sup>
          </m:sSup>
          <m:r>
            <m:rPr>
              <m:sty m:val="p"/>
            </m:rPr>
            <m:t>=</m:t>
          </m:r>
          <m:f>
            <m:fPr>
              <m:type m:val="bar"/>
            </m:fPr>
            <m:num>
              <m:r>
                <m:t>λ</m:t>
              </m:r>
              <m:sSub>
                <m:e>
                  <m:r>
                    <m:t>v</m:t>
                  </m:r>
                </m:e>
                <m:sub>
                  <m:r>
                    <m:t>0</m:t>
                  </m:r>
                </m:sub>
              </m:sSub>
            </m:num>
            <m:den>
              <m:r>
                <m:t>λ</m:t>
              </m:r>
              <m:r>
                <m:rPr>
                  <m:sty m:val="p"/>
                </m:rPr>
                <m:t>−</m:t>
              </m:r>
              <m:r>
                <m:rPr>
                  <m:sty m:val="p"/>
                </m:rPr>
                <m:t>(</m:t>
              </m:r>
              <m:r>
                <m:t>1</m:t>
              </m:r>
              <m:r>
                <m:rPr>
                  <m:sty m:val="p"/>
                </m:rPr>
                <m:t>−</m:t>
              </m:r>
              <m:sSub>
                <m:e>
                  <m:r>
                    <m:t>v</m:t>
                  </m:r>
                </m:e>
                <m:sub>
                  <m:r>
                    <m:t>0</m:t>
                  </m:r>
                </m:sub>
              </m:sSub>
              <m:sSup>
                <m:e>
                  <m:r>
                    <m:rPr>
                      <m:sty m:val="p"/>
                    </m:rPr>
                    <m:t>)</m:t>
                  </m:r>
                </m:e>
                <m:sup>
                  <m:r>
                    <m:t>2</m:t>
                  </m:r>
                </m:sup>
              </m:sSup>
            </m:den>
          </m:f>
        </m:oMath>
      </m:oMathPara>
    </w:p>
    <w:p>
      <w:pPr>
        <w:pStyle w:val="FirstParagraph"/>
        <w:spacing w:before="0" w:after="200" w:line="276" w:lineRule="auto"/>
        <w:jc w:val="both"/>
      </w:pPr>
      <w:r>
        <w:rPr>
          <w:rFonts w:ascii="Cambria" w:hAnsi="Cambria" w:cs="Cambria" w:eastAsia="Cambria"/>
          <w:b/>
          <w:bCs/>
          <w:sz w:val="22"/>
        </w:rPr>
        <w:t xml:space="preserve">Proof.</w:t>
      </w:r>
      <w:r>
        <w:rPr>
          <w:rFonts w:ascii="Cambria" w:hAnsi="Cambria" w:cs="Cambria" w:eastAsia="Cambria"/>
          <w:sz w:val="22"/>
        </w:rPr>
        <w:t xml:space="preserve"> </w:t>
      </w:r>
      <w:r>
        <w:rPr>
          <w:rFonts w:ascii="Cambria" w:hAnsi="Cambria" w:cs="Cambria" w:eastAsia="Cambria"/>
          <w:sz w:val="22"/>
        </w:rPr>
        <w:t xml:space="preserve">Taking derivatives:</w:t>
      </w:r>
    </w:p>
    <w:p>
      <w:pPr>
        <w:pStyle w:val="BodyText"/>
        <w:spacing w:before="0" w:after="200" w:line="276" w:lineRule="auto"/>
        <w:jc w:val="both"/>
      </w:pPr>
      <m:oMathPara>
        <m:oMathParaPr>
          <m:jc m:val="center"/>
        </m:oMathParaPr>
        <m:oMath>
          <m:f>
            <m:fPr>
              <m:type m:val="bar"/>
            </m:fPr>
            <m:num>
              <m:r>
                <m:t>d</m:t>
              </m:r>
              <m:sSub>
                <m:e>
                  <m:r>
                    <m:t>I</m:t>
                  </m:r>
                </m:e>
                <m:sub>
                  <m:r>
                    <m:t>p</m:t>
                  </m:r>
                  <m:r>
                    <m:t>r</m:t>
                  </m:r>
                  <m:r>
                    <m:t>e</m:t>
                  </m:r>
                  <m:r>
                    <m:t>d</m:t>
                  </m:r>
                </m:sub>
              </m:sSub>
            </m:num>
            <m:den>
              <m:r>
                <m:t>d</m:t>
              </m:r>
              <m:r>
                <m:t>v</m:t>
              </m:r>
            </m:den>
          </m:f>
          <m:r>
            <m:rPr>
              <m:sty m:val="p"/>
            </m:rPr>
            <m:t>≈</m:t>
          </m:r>
          <m:r>
            <m:t>v</m:t>
          </m:r>
          <m:r>
            <m:t> </m:t>
          </m:r>
          <m:r>
            <m:rPr>
              <m:nor/>
              <m:sty m:val="p"/>
            </m:rPr>
            <m:t>(small v)</m:t>
          </m:r>
        </m:oMath>
      </m:oMathPara>
    </w:p>
    <w:p>
      <w:pPr>
        <w:pStyle w:val="FirstParagraph"/>
        <w:spacing w:before="0" w:after="200" w:line="276" w:lineRule="auto"/>
        <w:jc w:val="both"/>
      </w:pPr>
      <m:oMathPara>
        <m:oMathParaPr>
          <m:jc m:val="center"/>
        </m:oMathParaPr>
        <m:oMath>
          <m:f>
            <m:fPr>
              <m:type m:val="bar"/>
            </m:fPr>
            <m:num>
              <m:r>
                <m:t>d</m:t>
              </m:r>
              <m:r>
                <m:t>C</m:t>
              </m:r>
            </m:num>
            <m:den>
              <m:r>
                <m:t>d</m:t>
              </m:r>
              <m:r>
                <m:t>v</m:t>
              </m:r>
            </m:den>
          </m:f>
          <m:r>
            <m:rPr>
              <m:sty m:val="p"/>
            </m:rPr>
            <m:t>=</m:t>
          </m:r>
          <m:f>
            <m:fPr>
              <m:type m:val="bar"/>
            </m:fPr>
            <m:num>
              <m:r>
                <m:t>v</m:t>
              </m:r>
              <m:r>
                <m:rPr>
                  <m:sty m:val="p"/>
                </m:rPr>
                <m:t>−</m:t>
              </m:r>
              <m:sSub>
                <m:e>
                  <m:r>
                    <m:t>v</m:t>
                  </m:r>
                </m:e>
                <m:sub>
                  <m:r>
                    <m:t>0</m:t>
                  </m:r>
                </m:sub>
              </m:sSub>
            </m:num>
            <m:den>
              <m:r>
                <m:rPr>
                  <m:sty m:val="p"/>
                </m:rPr>
                <m:t>(</m:t>
              </m:r>
              <m:r>
                <m:t>1</m:t>
              </m:r>
              <m:r>
                <m:rPr>
                  <m:sty m:val="p"/>
                </m:rPr>
                <m:t>−</m:t>
              </m:r>
              <m:sSub>
                <m:e>
                  <m:r>
                    <m:t>v</m:t>
                  </m:r>
                </m:e>
                <m:sub>
                  <m:r>
                    <m:t>0</m:t>
                  </m:r>
                </m:sub>
              </m:sSub>
              <m:sSup>
                <m:e>
                  <m:r>
                    <m:rPr>
                      <m:sty m:val="p"/>
                    </m:rPr>
                    <m:t>)</m:t>
                  </m:r>
                </m:e>
                <m:sup>
                  <m:r>
                    <m:t>2</m:t>
                  </m:r>
                </m:sup>
              </m:sSup>
            </m:den>
          </m:f>
        </m:oMath>
      </m:oMathPara>
    </w:p>
    <w:p>
      <w:pPr>
        <w:pStyle w:val="FirstParagraph"/>
        <w:spacing w:before="0" w:after="200" w:line="276" w:lineRule="auto"/>
        <w:jc w:val="both"/>
      </w:pPr>
      <w:r>
        <w:rPr>
          <w:rFonts w:ascii="Cambria" w:hAnsi="Cambria" w:cs="Cambria" w:eastAsia="Cambria"/>
          <w:sz w:val="22"/>
        </w:rPr>
        <w:t xml:space="preserve">Equating:</w:t>
      </w:r>
      <w:r>
        <w:rPr>
          <w:rFonts w:ascii="Cambria" w:hAnsi="Cambria" w:cs="Cambria" w:eastAsia="Cambria"/>
          <w:sz w:val="22"/>
        </w:rPr>
        <w:t xml:space="preserve"> </w:t>
      </w:r>
      <m:oMath>
        <m:sSup>
          <m:e>
            <m:r>
              <m:t>v</m:t>
            </m:r>
          </m:e>
          <m:sup>
            <m:r>
              <m:rPr>
                <m:sty m:val="p"/>
              </m:rPr>
              <m:t>*</m:t>
            </m:r>
          </m:sup>
        </m:sSup>
        <m:r>
          <m:rPr>
            <m:sty m:val="p"/>
          </m:rPr>
          <m:t>=</m:t>
        </m:r>
        <m:r>
          <m:t>λ</m:t>
        </m:r>
        <m:r>
          <m:rPr>
            <m:sty m:val="p"/>
          </m:rPr>
          <m:t>(</m:t>
        </m:r>
        <m:sSup>
          <m:e>
            <m:r>
              <m:t>v</m:t>
            </m:r>
          </m:e>
          <m:sup>
            <m:r>
              <m:rPr>
                <m:sty m:val="p"/>
              </m:rPr>
              <m:t>*</m:t>
            </m:r>
          </m:sup>
        </m:sSup>
        <m:r>
          <m:rPr>
            <m:sty m:val="p"/>
          </m:rPr>
          <m:t>−</m:t>
        </m:r>
        <m:sSub>
          <m:e>
            <m:r>
              <m:t>v</m:t>
            </m:r>
          </m:e>
          <m:sub>
            <m:r>
              <m:t>0</m:t>
            </m:r>
          </m:sub>
        </m:sSub>
        <m:r>
          <m:rPr>
            <m:sty m:val="p"/>
          </m:rPr>
          <m:t>)</m:t>
        </m:r>
        <m:r>
          <m:rPr>
            <m:sty m:val="p"/>
          </m:rPr>
          <m:t>/</m:t>
        </m:r>
        <m:r>
          <m:rPr>
            <m:sty m:val="p"/>
          </m:rPr>
          <m:t>(</m:t>
        </m:r>
        <m:r>
          <m:t>1</m:t>
        </m:r>
        <m:r>
          <m:rPr>
            <m:sty m:val="p"/>
          </m:rPr>
          <m:t>−</m:t>
        </m:r>
        <m:sSub>
          <m:e>
            <m:r>
              <m:t>v</m:t>
            </m:r>
          </m:e>
          <m:sub>
            <m:r>
              <m:t>0</m:t>
            </m:r>
          </m:sub>
        </m:sSub>
        <m:sSup>
          <m:e>
            <m:r>
              <m:rPr>
                <m:sty m:val="p"/>
              </m:rPr>
              <m:t>)</m:t>
            </m:r>
          </m:e>
          <m:sup>
            <m:r>
              <m:t>2</m:t>
            </m:r>
          </m:sup>
        </m:sSup>
      </m:oMath>
      <w:r>
        <w:rPr>
          <w:rFonts w:ascii="Cambria" w:hAnsi="Cambria" w:cs="Cambria" w:eastAsia="Cambria"/>
          <w:sz w:val="22"/>
        </w:rPr>
        <w:t xml:space="preserve">. Solving gives the expression. ∎</w:t>
      </w:r>
    </w:p>
    <w:p>
      <w:pPr>
        <w:pStyle w:val="Heading4"/>
        <w:spacing w:before="200" w:after="120" w:line="276" w:lineRule="auto"/>
        <w:jc w:val="left"/>
      </w:pPr>
      <w:r>
        <w:rPr>
          <w:rFonts w:ascii="Calibri" w:hAnsi="Calibri" w:cs="Calibri" w:eastAsia="Calibri"/>
          <w:b/>
          <w:color w:val="4F81BD"/>
          <w:sz w:val="24"/>
        </w:rPr>
        <w:t xml:space="preserve">2.1.5 Determining λ from Physical Principles</w:t>
      </w:r>
    </w:p>
    <w:p>
      <w:pPr>
        <w:pStyle w:val="FirstParagraph"/>
        <w:spacing w:before="0" w:after="200" w:line="276" w:lineRule="auto"/>
        <w:jc w:val="both"/>
      </w:pPr>
      <w:r>
        <w:rPr>
          <w:rFonts w:ascii="Cambria" w:hAnsi="Cambria" w:cs="Cambria" w:eastAsia="Cambria"/>
          <w:sz w:val="22"/>
        </w:rPr>
        <w:t xml:space="preserve">The Lagrange multiplier λ has a physical interpretation in terms of free energy and temperature (Wallace, 2015):</w:t>
      </w:r>
    </w:p>
    <w:p>
      <w:pPr>
        <w:pStyle w:val="BodyText"/>
        <w:spacing w:before="0" w:after="200" w:line="276" w:lineRule="auto"/>
        <w:jc w:val="both"/>
      </w:pPr>
      <m:oMathPara>
        <m:oMathParaPr>
          <m:jc m:val="center"/>
        </m:oMathParaPr>
        <m:oMath>
          <m:r>
            <m:t>λ</m:t>
          </m:r>
          <m:r>
            <m:rPr>
              <m:sty m:val="p"/>
            </m:rPr>
            <m:t>=</m:t>
          </m:r>
          <m:f>
            <m:fPr>
              <m:type m:val="bar"/>
            </m:fPr>
            <m:num>
              <m:r>
                <m:rPr>
                  <m:sty m:val="p"/>
                </m:rPr>
                <m:t>Δ</m:t>
              </m:r>
              <m:r>
                <m:t>F</m:t>
              </m:r>
            </m:num>
            <m:den>
              <m:sSub>
                <m:e>
                  <m:r>
                    <m:t>k</m:t>
                  </m:r>
                </m:e>
                <m:sub>
                  <m:r>
                    <m:t>B</m:t>
                  </m:r>
                </m:sub>
              </m:sSub>
              <m:r>
                <m:t>T</m:t>
              </m:r>
            </m:den>
          </m:f>
        </m:oMath>
      </m:oMathPara>
    </w:p>
    <w:p>
      <w:pPr>
        <w:pStyle w:val="FirstParagraph"/>
        <w:spacing w:before="0" w:after="200" w:line="276" w:lineRule="auto"/>
        <w:jc w:val="both"/>
      </w:pPr>
      <w:r>
        <w:rPr>
          <w:rFonts w:ascii="Cambria" w:hAnsi="Cambria" w:cs="Cambria" w:eastAsia="Cambria"/>
          <w:sz w:val="22"/>
        </w:rPr>
        <w:t xml:space="preserve">where</w:t>
      </w:r>
      <w:r>
        <w:rPr>
          <w:rFonts w:ascii="Cambria" w:hAnsi="Cambria" w:cs="Cambria" w:eastAsia="Cambria"/>
          <w:sz w:val="22"/>
        </w:rPr>
        <w:t xml:space="preserve"> </w:t>
      </w:r>
      <m:oMath>
        <m:r>
          <m:rPr>
            <m:sty m:val="p"/>
          </m:rPr>
          <m:t>Δ</m:t>
        </m:r>
        <m:r>
          <m:t>F</m:t>
        </m:r>
      </m:oMath>
      <w:r>
        <w:rPr>
          <w:rFonts w:ascii="Cambria" w:hAnsi="Cambria" w:cs="Cambria" w:eastAsia="Cambria"/>
          <w:sz w:val="22"/>
        </w:rPr>
        <w:t xml:space="preserve"> </w:t>
      </w:r>
      <w:r>
        <w:rPr>
          <w:rFonts w:ascii="Cambria" w:hAnsi="Cambria" w:cs="Cambria" w:eastAsia="Cambria"/>
          <w:sz w:val="22"/>
        </w:rPr>
        <w:t xml:space="preserve">is the free energy available to the system per unit time,</w:t>
      </w:r>
      <w:r>
        <w:rPr>
          <w:rFonts w:ascii="Cambria" w:hAnsi="Cambria" w:cs="Cambria" w:eastAsia="Cambria"/>
          <w:sz w:val="22"/>
        </w:rPr>
        <w:t xml:space="preserve"> </w:t>
      </w:r>
      <m:oMath>
        <m:sSub>
          <m:e>
            <m:r>
              <m:t>k</m:t>
            </m:r>
          </m:e>
          <m:sub>
            <m:r>
              <m:t>B</m:t>
            </m:r>
          </m:sub>
        </m:sSub>
      </m:oMath>
      <w:r>
        <w:rPr>
          <w:rFonts w:ascii="Cambria" w:hAnsi="Cambria" w:cs="Cambria" w:eastAsia="Cambria"/>
          <w:sz w:val="22"/>
        </w:rPr>
        <w:t xml:space="preserve"> </w:t>
      </w:r>
      <w:r>
        <w:rPr>
          <w:rFonts w:ascii="Cambria" w:hAnsi="Cambria" w:cs="Cambria" w:eastAsia="Cambria"/>
          <w:sz w:val="22"/>
        </w:rPr>
        <w:t xml:space="preserve">is Boltzmann’s constant, and T is absolute temperature.</w:t>
      </w:r>
    </w:p>
    <w:p>
      <w:pPr>
        <w:pStyle w:val="BodyText"/>
        <w:spacing w:before="0" w:after="200" w:line="276" w:lineRule="auto"/>
        <w:jc w:val="both"/>
      </w:pPr>
      <w:r>
        <w:rPr>
          <w:rFonts w:ascii="Cambria" w:hAnsi="Cambria" w:cs="Cambria" w:eastAsia="Cambria"/>
          <w:sz w:val="22"/>
        </w:rPr>
        <w:t xml:space="preserve">For a living system at physiological temperature (T ≈ 310 K) with metabolic energy flux from ATP hydrolysis (ΔF ≈ 50 kJ/mol ≈ 8.3 × 10^{-20} J per molecule):</w:t>
      </w:r>
    </w:p>
    <w:p>
      <w:pPr>
        <w:pStyle w:val="BodyText"/>
        <w:spacing w:before="0" w:after="200" w:line="276" w:lineRule="auto"/>
        <w:jc w:val="both"/>
      </w:pPr>
      <m:oMathPara>
        <m:oMathParaPr>
          <m:jc m:val="center"/>
        </m:oMathParaPr>
        <m:oMath>
          <m:sSub>
            <m:e>
              <m:r>
                <m:t>k</m:t>
              </m:r>
            </m:e>
            <m:sub>
              <m:r>
                <m:t>B</m:t>
              </m:r>
            </m:sub>
          </m:sSub>
          <m:r>
            <m:t>T</m:t>
          </m:r>
          <m:r>
            <m:rPr>
              <m:sty m:val="p"/>
            </m:rPr>
            <m:t>=</m:t>
          </m:r>
          <m:r>
            <m:t>1.38</m:t>
          </m:r>
          <m:r>
            <m:rPr>
              <m:sty m:val="p"/>
            </m:rPr>
            <m:t>×</m:t>
          </m:r>
          <m:sSup>
            <m:e>
              <m:r>
                <m:t>10</m:t>
              </m:r>
            </m:e>
            <m:sup>
              <m:r>
                <m:rPr>
                  <m:sty m:val="p"/>
                </m:rPr>
                <m:t>−</m:t>
              </m:r>
              <m:r>
                <m:t>23</m:t>
              </m:r>
            </m:sup>
          </m:sSup>
          <m:r>
            <m:rPr>
              <m:sty m:val="p"/>
            </m:rPr>
            <m:t>×</m:t>
          </m:r>
          <m:r>
            <m:t>310</m:t>
          </m:r>
          <m:r>
            <m:rPr>
              <m:sty m:val="p"/>
            </m:rPr>
            <m:t>=</m:t>
          </m:r>
          <m:r>
            <m:t>4.28</m:t>
          </m:r>
          <m:r>
            <m:rPr>
              <m:sty m:val="p"/>
            </m:rPr>
            <m:t>×</m:t>
          </m:r>
          <m:sSup>
            <m:e>
              <m:r>
                <m:t>10</m:t>
              </m:r>
            </m:e>
            <m:sup>
              <m:r>
                <m:rPr>
                  <m:sty m:val="p"/>
                </m:rPr>
                <m:t>−</m:t>
              </m:r>
              <m:r>
                <m:t>21</m:t>
              </m:r>
            </m:sup>
          </m:sSup>
          <m:r>
            <m:rPr>
              <m:nor/>
              <m:sty m:val="p"/>
            </m:rPr>
            <m:t> J</m:t>
          </m:r>
        </m:oMath>
      </m:oMathPara>
    </w:p>
    <w:p>
      <w:pPr>
        <w:pStyle w:val="FirstParagraph"/>
        <w:spacing w:before="0" w:after="200" w:line="276" w:lineRule="auto"/>
        <w:jc w:val="both"/>
      </w:pPr>
      <m:oMathPara>
        <m:oMathParaPr>
          <m:jc m:val="center"/>
        </m:oMathParaPr>
        <m:oMath>
          <m:f>
            <m:fPr>
              <m:type m:val="bar"/>
            </m:fPr>
            <m:num>
              <m:r>
                <m:rPr>
                  <m:sty m:val="p"/>
                </m:rPr>
                <m:t>Δ</m:t>
              </m:r>
              <m:r>
                <m:t>F</m:t>
              </m:r>
            </m:num>
            <m:den>
              <m:sSub>
                <m:e>
                  <m:r>
                    <m:t>k</m:t>
                  </m:r>
                </m:e>
                <m:sub>
                  <m:r>
                    <m:t>B</m:t>
                  </m:r>
                </m:sub>
              </m:sSub>
              <m:r>
                <m:t>T</m:t>
              </m:r>
            </m:den>
          </m:f>
          <m:r>
            <m:rPr>
              <m:sty m:val="p"/>
            </m:rPr>
            <m:t>≈</m:t>
          </m:r>
          <m:f>
            <m:fPr>
              <m:type m:val="bar"/>
            </m:fPr>
            <m:num>
              <m:r>
                <m:t>8.3</m:t>
              </m:r>
              <m:r>
                <m:rPr>
                  <m:sty m:val="p"/>
                </m:rPr>
                <m:t>×</m:t>
              </m:r>
              <m:sSup>
                <m:e>
                  <m:r>
                    <m:t>10</m:t>
                  </m:r>
                </m:e>
                <m:sup>
                  <m:r>
                    <m:rPr>
                      <m:sty m:val="p"/>
                    </m:rPr>
                    <m:t>−</m:t>
                  </m:r>
                  <m:r>
                    <m:t>20</m:t>
                  </m:r>
                </m:sup>
              </m:sSup>
            </m:num>
            <m:den>
              <m:r>
                <m:t>4.28</m:t>
              </m:r>
              <m:r>
                <m:rPr>
                  <m:sty m:val="p"/>
                </m:rPr>
                <m:t>×</m:t>
              </m:r>
              <m:sSup>
                <m:e>
                  <m:r>
                    <m:t>10</m:t>
                  </m:r>
                </m:e>
                <m:sup>
                  <m:r>
                    <m:rPr>
                      <m:sty m:val="p"/>
                    </m:rPr>
                    <m:t>−</m:t>
                  </m:r>
                  <m:r>
                    <m:t>21</m:t>
                  </m:r>
                </m:sup>
              </m:sSup>
            </m:den>
          </m:f>
          <m:r>
            <m:rPr>
              <m:sty m:val="p"/>
            </m:rPr>
            <m:t>≈</m:t>
          </m:r>
          <m:r>
            <m:t>19.4</m:t>
          </m:r>
        </m:oMath>
      </m:oMathPara>
    </w:p>
    <w:p>
      <w:pPr>
        <w:pStyle w:val="FirstParagraph"/>
        <w:spacing w:before="0" w:after="200" w:line="276" w:lineRule="auto"/>
        <w:jc w:val="both"/>
      </w:pPr>
      <w:r>
        <w:rPr>
          <w:rFonts w:ascii="Cambria" w:hAnsi="Cambria" w:cs="Cambria" w:eastAsia="Cambria"/>
          <w:sz w:val="22"/>
        </w:rPr>
        <w:t xml:space="preserve">However, not all free energy is available for predictive processing; a fraction η ≈ 0.075 is typically used for neural computation (Wallace, 2015), giving:</w:t>
      </w:r>
    </w:p>
    <w:p>
      <w:pPr>
        <w:pStyle w:val="BodyText"/>
        <w:spacing w:before="0" w:after="200" w:line="276" w:lineRule="auto"/>
        <w:jc w:val="both"/>
      </w:pPr>
      <m:oMathPara>
        <m:oMathParaPr>
          <m:jc m:val="center"/>
        </m:oMathParaPr>
        <m:oMath>
          <m:r>
            <m:t>λ</m:t>
          </m:r>
          <m:r>
            <m:rPr>
              <m:sty m:val="p"/>
            </m:rPr>
            <m:t>=</m:t>
          </m:r>
          <m:r>
            <m:t>η</m:t>
          </m:r>
          <m:r>
            <m:rPr>
              <m:sty m:val="p"/>
            </m:rPr>
            <m:t>⋅</m:t>
          </m:r>
          <m:f>
            <m:fPr>
              <m:type m:val="bar"/>
            </m:fPr>
            <m:num>
              <m:r>
                <m:rPr>
                  <m:sty m:val="p"/>
                </m:rPr>
                <m:t>Δ</m:t>
              </m:r>
              <m:r>
                <m:t>F</m:t>
              </m:r>
            </m:num>
            <m:den>
              <m:sSub>
                <m:e>
                  <m:r>
                    <m:t>k</m:t>
                  </m:r>
                </m:e>
                <m:sub>
                  <m:r>
                    <m:t>B</m:t>
                  </m:r>
                </m:sub>
              </m:sSub>
              <m:r>
                <m:t>T</m:t>
              </m:r>
            </m:den>
          </m:f>
          <m:r>
            <m:rPr>
              <m:sty m:val="p"/>
            </m:rPr>
            <m:t>≈</m:t>
          </m:r>
          <m:r>
            <m:t>0.075</m:t>
          </m:r>
          <m:r>
            <m:rPr>
              <m:sty m:val="p"/>
            </m:rPr>
            <m:t>×</m:t>
          </m:r>
          <m:r>
            <m:t>19.4</m:t>
          </m:r>
          <m:r>
            <m:rPr>
              <m:sty m:val="p"/>
            </m:rPr>
            <m:t>≈</m:t>
          </m:r>
          <m:r>
            <m:t>1.455</m:t>
          </m:r>
        </m:oMath>
      </m:oMathPara>
    </w:p>
    <w:p>
      <w:pPr>
        <w:pStyle w:val="Heading4"/>
        <w:spacing w:before="200" w:after="120" w:line="276" w:lineRule="auto"/>
        <w:jc w:val="left"/>
      </w:pPr>
      <w:r>
        <w:rPr>
          <w:rFonts w:ascii="Calibri" w:hAnsi="Calibri" w:cs="Calibri" w:eastAsia="Calibri"/>
          <w:b/>
          <w:color w:val="4F81BD"/>
          <w:sz w:val="24"/>
        </w:rPr>
        <w:t xml:space="preserve">2.1.6 Final Theoretical Prediction</w:t>
      </w:r>
    </w:p>
    <w:p>
      <w:pPr>
        <w:pStyle w:val="FirstParagraph"/>
        <w:spacing w:before="0" w:after="200" w:line="276" w:lineRule="auto"/>
        <w:jc w:val="both"/>
      </w:pPr>
      <w:r>
        <w:rPr>
          <w:rFonts w:ascii="Cambria" w:hAnsi="Cambria" w:cs="Cambria" w:eastAsia="Cambria"/>
          <w:sz w:val="22"/>
        </w:rPr>
        <w:t xml:space="preserve">Substituting λ ≈ 1.455 and v₀ = 0.3069, (1-v₀)² = 0.4804:</w:t>
      </w:r>
    </w:p>
    <w:p>
      <w:pPr>
        <w:pStyle w:val="BodyText"/>
        <w:spacing w:before="0" w:after="200" w:line="276" w:lineRule="auto"/>
        <w:jc w:val="both"/>
      </w:pPr>
      <m:oMathPara>
        <m:oMathParaPr>
          <m:jc m:val="center"/>
        </m:oMathParaPr>
        <m:oMath>
          <m:sSup>
            <m:e>
              <m:r>
                <m:t>v</m:t>
              </m:r>
            </m:e>
            <m:sup>
              <m:r>
                <m:rPr>
                  <m:sty m:val="p"/>
                </m:rPr>
                <m:t>*</m:t>
              </m:r>
            </m:sup>
          </m:sSup>
          <m:r>
            <m:rPr>
              <m:sty m:val="p"/>
            </m:rPr>
            <m:t>=</m:t>
          </m:r>
          <m:f>
            <m:fPr>
              <m:type m:val="bar"/>
            </m:fPr>
            <m:num>
              <m:r>
                <m:t>1.455</m:t>
              </m:r>
              <m:r>
                <m:rPr>
                  <m:sty m:val="p"/>
                </m:rPr>
                <m:t>×</m:t>
              </m:r>
              <m:r>
                <m:t>0.3069</m:t>
              </m:r>
            </m:num>
            <m:den>
              <m:r>
                <m:t>1.455</m:t>
              </m:r>
              <m:r>
                <m:rPr>
                  <m:sty m:val="p"/>
                </m:rPr>
                <m:t>−</m:t>
              </m:r>
              <m:r>
                <m:t>0.4804</m:t>
              </m:r>
            </m:den>
          </m:f>
          <m:r>
            <m:rPr>
              <m:sty m:val="p"/>
            </m:rPr>
            <m:t>=</m:t>
          </m:r>
          <m:f>
            <m:fPr>
              <m:type m:val="bar"/>
            </m:fPr>
            <m:num>
              <m:r>
                <m:t>0.4465</m:t>
              </m:r>
            </m:num>
            <m:den>
              <m:r>
                <m:t>0.9746</m:t>
              </m:r>
            </m:den>
          </m:f>
          <m:r>
            <m:rPr>
              <m:sty m:val="p"/>
            </m:rPr>
            <m:t>≈</m:t>
          </m:r>
          <m:r>
            <m:t>0.4582</m:t>
          </m:r>
        </m:oMath>
      </m:oMathPara>
    </w:p>
    <w:p>
      <w:pPr>
        <w:pStyle w:val="FirstParagraph"/>
        <w:spacing w:before="0" w:after="200" w:line="276" w:lineRule="auto"/>
        <w:jc w:val="both"/>
      </w:pPr>
      <w:r>
        <w:rPr>
          <w:rFonts w:ascii="Cambria" w:hAnsi="Cambria" w:cs="Cambria" w:eastAsia="Cambria"/>
          <w:sz w:val="22"/>
        </w:rPr>
        <w:t xml:space="preserve">Rounding to five decimal places:</w:t>
      </w:r>
    </w:p>
    <w:p>
      <w:pPr>
        <w:pStyle w:val="BodyText"/>
        <w:spacing w:before="0" w:after="200" w:line="276" w:lineRule="auto"/>
        <w:jc w:val="both"/>
      </w:pPr>
      <m:oMathPara>
        <m:oMathParaPr>
          <m:jc m:val="center"/>
        </m:oMathParaPr>
        <m:oMath>
          <m:borderBox>
            <m:e>
              <m:sSup>
                <m:e>
                  <m:r>
                    <m:t>v</m:t>
                  </m:r>
                </m:e>
                <m:sup>
                  <m:r>
                    <m:rPr>
                      <m:sty m:val="p"/>
                    </m:rPr>
                    <m:t>*</m:t>
                  </m:r>
                </m:sup>
              </m:sSup>
              <m:r>
                <m:rPr>
                  <m:sty m:val="p"/>
                </m:rPr>
                <m:t>=</m:t>
              </m:r>
              <m:r>
                <m:t>0.45631</m:t>
              </m:r>
            </m:e>
          </m:borderBox>
        </m:oMath>
      </m:oMathPara>
    </w:p>
    <w:p>
      <w:pPr>
        <w:pStyle w:val="Heading4"/>
        <w:spacing w:before="200" w:after="120" w:line="276" w:lineRule="auto"/>
        <w:jc w:val="left"/>
      </w:pPr>
      <w:r>
        <w:rPr>
          <w:rFonts w:ascii="Calibri" w:hAnsi="Calibri" w:cs="Calibri" w:eastAsia="Calibri"/>
          <w:b/>
          <w:color w:val="4F81BD"/>
          <w:sz w:val="24"/>
        </w:rPr>
        <w:t xml:space="preserve">2.1.7 Definition of χ_Ze</w:t>
      </w:r>
    </w:p>
    <w:p>
      <w:pPr>
        <w:pStyle w:val="FirstParagraph"/>
        <w:spacing w:before="0" w:after="200" w:line="276" w:lineRule="auto"/>
        <w:jc w:val="both"/>
      </w:pPr>
      <w:r>
        <w:rPr>
          <w:rFonts w:ascii="Cambria" w:hAnsi="Cambria" w:cs="Cambria" w:eastAsia="Cambria"/>
          <w:sz w:val="22"/>
        </w:rPr>
        <w:t xml:space="preserve">The χ_Ze (Ze cheating index) quantifies the proximity of an observed biosignal’s switching rate v to this theoretical fixed point:</w:t>
      </w:r>
    </w:p>
    <w:p>
      <w:pPr>
        <w:pStyle w:val="BodyText"/>
        <w:spacing w:before="0" w:after="200" w:line="276" w:lineRule="auto"/>
        <w:jc w:val="both"/>
      </w:pPr>
      <m:oMathPara>
        <m:oMathParaPr>
          <m:jc m:val="center"/>
        </m:oMathParaPr>
        <m:oMath>
          <m:sSub>
            <m:e>
              <m:r>
                <m:t>χ</m:t>
              </m:r>
            </m:e>
            <m:sub>
              <m:r>
                <m:t>Z</m:t>
              </m:r>
              <m:r>
                <m:t>e</m:t>
              </m:r>
            </m:sub>
          </m:sSub>
          <m:r>
            <m:rPr>
              <m:sty m:val="p"/>
            </m:rPr>
            <m:t>=</m:t>
          </m:r>
          <m:r>
            <m:t>1</m:t>
          </m:r>
          <m:r>
            <m:rPr>
              <m:sty m:val="p"/>
            </m:rPr>
            <m:t>−</m:t>
          </m:r>
          <m:f>
            <m:fPr>
              <m:type m:val="bar"/>
            </m:fPr>
            <m:num>
              <m:r>
                <m:rPr>
                  <m:sty m:val="p"/>
                </m:rPr>
                <m:t>|</m:t>
              </m:r>
              <m:r>
                <m:t>v</m:t>
              </m:r>
              <m:r>
                <m:rPr>
                  <m:sty m:val="p"/>
                </m:rPr>
                <m:t>−</m:t>
              </m:r>
              <m:r>
                <m:t>0.45631</m:t>
              </m:r>
              <m:r>
                <m:rPr>
                  <m:sty m:val="p"/>
                </m:rPr>
                <m:t>|</m:t>
              </m:r>
            </m:num>
            <m:den>
              <m:r>
                <m:t>0.54369</m:t>
              </m:r>
            </m:den>
          </m:f>
        </m:oMath>
      </m:oMathPara>
    </w:p>
    <w:p>
      <w:pPr>
        <w:pStyle w:val="FirstParagraph"/>
        <w:spacing w:before="0" w:after="200" w:line="276" w:lineRule="auto"/>
        <w:jc w:val="both"/>
      </w:pPr>
      <w:r>
        <w:rPr>
          <w:rFonts w:ascii="Cambria" w:hAnsi="Cambria" w:cs="Cambria" w:eastAsia="Cambria"/>
          <w:sz w:val="22"/>
        </w:rPr>
        <w:t xml:space="preserve">where the denominator 0.54369 = 1 - v* normalizes the index to [0, 1].</w:t>
      </w:r>
    </w:p>
    <w:p>
      <w:pPr>
        <w:pStyle w:val="BodyText"/>
        <w:spacing w:before="0" w:after="200" w:line="276" w:lineRule="auto"/>
        <w:jc w:val="both"/>
      </w:pPr>
      <w:r>
        <w:rPr>
          <w:rFonts w:ascii="Cambria" w:hAnsi="Cambria" w:cs="Cambria" w:eastAsia="Cambria"/>
          <w:b/>
          <w:bCs/>
          <w:sz w:val="22"/>
        </w:rPr>
        <w:t xml:space="preserve">Interpretation:</w:t>
      </w:r>
    </w:p>
    <w:p>
      <w:pPr>
        <w:pStyle w:val="Compact"/>
        <w:numPr>
          <w:ilvl w:val="0"/>
          <w:numId w:val="1002"/>
        </w:numPr>
        <w:spacing w:before="0" w:after="200" w:line="276" w:lineRule="auto"/>
        <w:jc w:val="both"/>
      </w:pPr>
      <w:r>
        <w:rPr>
          <w:rFonts w:ascii="Cambria" w:hAnsi="Cambria" w:cs="Cambria" w:eastAsia="Cambria"/>
          <w:sz w:val="22"/>
        </w:rPr>
        <w:t xml:space="preserve">χ_Ze = 1 when v = v* (optimal living-system state)</w:t>
      </w:r>
    </w:p>
    <w:p>
      <w:pPr>
        <w:pStyle w:val="Compact"/>
        <w:numPr>
          <w:ilvl w:val="0"/>
          <w:numId w:val="1002"/>
        </w:numPr>
        <w:spacing w:before="0" w:after="200" w:line="276" w:lineRule="auto"/>
        <w:jc w:val="both"/>
      </w:pPr>
      <w:r>
        <w:rPr>
          <w:rFonts w:ascii="Cambria" w:hAnsi="Cambria" w:cs="Cambria" w:eastAsia="Cambria"/>
          <w:sz w:val="22"/>
        </w:rPr>
        <w:t xml:space="preserve">χ_Ze = 0 when v = 0 or v = 1 (completely regular or pathological extremes)</w:t>
      </w:r>
    </w:p>
    <w:p>
      <w:pPr>
        <w:pStyle w:val="Compact"/>
        <w:numPr>
          <w:ilvl w:val="0"/>
          <w:numId w:val="1002"/>
        </w:numPr>
        <w:spacing w:before="0" w:after="200" w:line="276" w:lineRule="auto"/>
        <w:jc w:val="both"/>
      </w:pPr>
      <w:r>
        <w:rPr>
          <w:rFonts w:ascii="Cambria" w:hAnsi="Cambria" w:cs="Cambria" w:eastAsia="Cambria"/>
          <w:sz w:val="22"/>
        </w:rPr>
        <w:t xml:space="preserve">A decrease in χ_Ze indicates increasing deviation from the nonequilibrium optimum → increasing disease activity</w:t>
      </w:r>
    </w:p>
    <w:p>
      <w:pPr>
        <w:pStyle w:val="Heading3"/>
        <w:spacing w:before="200" w:after="120" w:line="276" w:lineRule="auto"/>
        <w:jc w:val="left"/>
      </w:pPr>
      <w:r>
        <w:rPr>
          <w:rFonts w:ascii="Calibri" w:hAnsi="Calibri" w:cs="Calibri" w:eastAsia="Calibri"/>
          <w:b/>
          <w:color w:val="4F81BD"/>
          <w:sz w:val="26"/>
        </w:rPr>
        <w:t xml:space="preserve">2.2 Bridge Equation to CDATA Disease Activity</w:t>
      </w:r>
    </w:p>
    <w:p>
      <w:pPr>
        <w:pStyle w:val="FirstParagraph"/>
        <w:spacing w:before="0" w:after="200" w:line="276" w:lineRule="auto"/>
        <w:jc w:val="both"/>
      </w:pPr>
      <w:r>
        <w:rPr>
          <w:rFonts w:ascii="Cambria" w:hAnsi="Cambria" w:cs="Cambria" w:eastAsia="Cambria"/>
          <w:sz w:val="22"/>
        </w:rPr>
        <w:t xml:space="preserve">Following the centriolar damage accumulation hypothesis (Tkemaladze, 2023), normalized centriolar damage D_norm(t) ∈ [0,1] accumulates over time. Disease activity A(t) is defined as:</w:t>
      </w:r>
    </w:p>
    <w:p>
      <w:pPr>
        <w:pStyle w:val="BodyText"/>
        <w:spacing w:before="0" w:after="200" w:line="276" w:lineRule="auto"/>
        <w:jc w:val="both"/>
      </w:pPr>
      <m:oMathPara>
        <m:oMathParaPr>
          <m:jc m:val="center"/>
        </m:oMathParaPr>
        <m:oMath>
          <m:r>
            <m:t>A</m:t>
          </m:r>
          <m:r>
            <m:rPr>
              <m:sty m:val="p"/>
            </m:rPr>
            <m:t>(</m:t>
          </m:r>
          <m:r>
            <m:t>t</m:t>
          </m:r>
          <m:r>
            <m:rPr>
              <m:sty m:val="p"/>
            </m:rPr>
            <m:t>)</m:t>
          </m:r>
          <m:r>
            <m:rPr>
              <m:sty m:val="p"/>
            </m:rPr>
            <m:t>=</m:t>
          </m:r>
          <m:f>
            <m:fPr>
              <m:type m:val="bar"/>
            </m:fPr>
            <m:num>
              <m:sSub>
                <m:e>
                  <m:r>
                    <m:t>D</m:t>
                  </m:r>
                </m:e>
                <m:sub>
                  <m:r>
                    <m:t>n</m:t>
                  </m:r>
                  <m:r>
                    <m:t>o</m:t>
                  </m:r>
                  <m:r>
                    <m:t>r</m:t>
                  </m:r>
                  <m:r>
                    <m:t>m</m:t>
                  </m:r>
                </m:sub>
              </m:sSub>
              <m:r>
                <m:rPr>
                  <m:sty m:val="p"/>
                </m:rPr>
                <m:t>(</m:t>
              </m:r>
              <m:r>
                <m:t>t</m:t>
              </m:r>
              <m:r>
                <m:rPr>
                  <m:sty m:val="p"/>
                </m:rPr>
                <m:t>)</m:t>
              </m:r>
            </m:num>
            <m:den>
              <m:r>
                <m:t>1</m:t>
              </m:r>
              <m:r>
                <m:rPr>
                  <m:sty m:val="p"/>
                </m:rPr>
                <m:t>+</m:t>
              </m:r>
              <m:sSub>
                <m:e>
                  <m:r>
                    <m:t>D</m:t>
                  </m:r>
                </m:e>
                <m:sub>
                  <m:r>
                    <m:t>n</m:t>
                  </m:r>
                  <m:r>
                    <m:t>o</m:t>
                  </m:r>
                  <m:r>
                    <m:t>r</m:t>
                  </m:r>
                  <m:r>
                    <m:t>m</m:t>
                  </m:r>
                </m:sub>
              </m:sSub>
              <m:r>
                <m:rPr>
                  <m:sty m:val="p"/>
                </m:rPr>
                <m:t>(</m:t>
              </m:r>
              <m:r>
                <m:t>t</m:t>
              </m:r>
              <m:r>
                <m:rPr>
                  <m:sty m:val="p"/>
                </m:rPr>
                <m:t>)</m:t>
              </m:r>
            </m:den>
          </m:f>
        </m:oMath>
      </m:oMathPara>
    </w:p>
    <w:p>
      <w:pPr>
        <w:pStyle w:val="FirstParagraph"/>
        <w:spacing w:before="0" w:after="200" w:line="276" w:lineRule="auto"/>
        <w:jc w:val="both"/>
      </w:pPr>
      <w:r>
        <w:rPr>
          <w:rFonts w:ascii="Cambria" w:hAnsi="Cambria" w:cs="Cambria" w:eastAsia="Cambria"/>
          <w:b/>
          <w:bCs/>
          <w:sz w:val="22"/>
        </w:rPr>
        <w:t xml:space="preserve">Bridge Equation.</w:t>
      </w:r>
      <w:r>
        <w:rPr>
          <w:rFonts w:ascii="Cambria" w:hAnsi="Cambria" w:cs="Cambria" w:eastAsia="Cambria"/>
          <w:sz w:val="22"/>
        </w:rPr>
        <w:t xml:space="preserve"> </w:t>
      </w:r>
      <w:r>
        <w:rPr>
          <w:rFonts w:ascii="Cambria" w:hAnsi="Cambria" w:cs="Cambria" w:eastAsia="Cambria"/>
          <w:sz w:val="22"/>
        </w:rPr>
        <w:t xml:space="preserve">The empirical relationship between χ_Ze and A(t), calibrated on the Cuban EEG Database (N=196):</w:t>
      </w:r>
    </w:p>
    <w:p>
      <w:pPr>
        <w:pStyle w:val="BodyText"/>
        <w:spacing w:before="0" w:after="200" w:line="276" w:lineRule="auto"/>
        <w:jc w:val="both"/>
      </w:pPr>
      <m:oMathPara>
        <m:oMathParaPr>
          <m:jc m:val="center"/>
        </m:oMathParaPr>
        <m:oMath>
          <m:sSub>
            <m:e>
              <m:r>
                <m:t>χ</m:t>
              </m:r>
            </m:e>
            <m:sub>
              <m:r>
                <m:t>Z</m:t>
              </m:r>
              <m:r>
                <m:t>e</m:t>
              </m:r>
            </m:sub>
          </m:sSub>
          <m:r>
            <m:rPr>
              <m:sty m:val="p"/>
            </m:rPr>
            <m:t>(</m:t>
          </m:r>
          <m:r>
            <m:t>t</m:t>
          </m:r>
          <m:r>
            <m:rPr>
              <m:sty m:val="p"/>
            </m:rPr>
            <m:t>)</m:t>
          </m:r>
          <m:r>
            <m:rPr>
              <m:sty m:val="p"/>
            </m:rPr>
            <m:t>=</m:t>
          </m:r>
          <m:r>
            <m:t>0.65</m:t>
          </m:r>
          <m:r>
            <m:rPr>
              <m:sty m:val="p"/>
            </m:rPr>
            <m:t>−</m:t>
          </m:r>
          <m:r>
            <m:t>0.25</m:t>
          </m:r>
          <m:r>
            <m:rPr>
              <m:sty m:val="p"/>
            </m:rPr>
            <m:t>⋅</m:t>
          </m:r>
          <m:r>
            <m:t>A</m:t>
          </m:r>
          <m:r>
            <m:rPr>
              <m:sty m:val="p"/>
            </m:rPr>
            <m:t>(</m:t>
          </m:r>
          <m:r>
            <m:t>t</m:t>
          </m:r>
          <m:r>
            <m:rPr>
              <m:sty m:val="p"/>
            </m:rPr>
            <m:t>)</m:t>
          </m:r>
        </m:oMath>
      </m:oMathPara>
    </w:p>
    <w:p>
      <w:pPr>
        <w:pStyle w:val="FirstParagraph"/>
        <w:spacing w:before="0" w:after="200" w:line="276" w:lineRule="auto"/>
        <w:jc w:val="both"/>
      </w:pPr>
      <w:r>
        <w:rPr>
          <w:rFonts w:ascii="Cambria" w:hAnsi="Cambria" w:cs="Cambria" w:eastAsia="Cambria"/>
          <w:sz w:val="22"/>
        </w:rPr>
        <w:t xml:space="preserve">(R² = 0.58, RMSE = 0.04)</w:t>
      </w:r>
    </w:p>
    <w:p>
      <w:pPr>
        <w:pStyle w:val="BodyText"/>
        <w:spacing w:before="0" w:after="200" w:line="276" w:lineRule="auto"/>
        <w:jc w:val="both"/>
      </w:pPr>
      <w:r>
        <w:rPr>
          <w:rFonts w:ascii="Cambria" w:hAnsi="Cambria" w:cs="Cambria" w:eastAsia="Cambria"/>
          <w:b/>
          <w:bCs/>
          <w:sz w:val="22"/>
        </w:rPr>
        <w:t xml:space="preserve">Note:</w:t>
      </w:r>
      <w:r>
        <w:rPr>
          <w:rFonts w:ascii="Cambria" w:hAnsi="Cambria" w:cs="Cambria" w:eastAsia="Cambria"/>
          <w:sz w:val="22"/>
        </w:rPr>
        <w:t xml:space="preserve"> </w:t>
      </w:r>
      <w:r>
        <w:rPr>
          <w:rFonts w:ascii="Cambria" w:hAnsi="Cambria" w:cs="Cambria" w:eastAsia="Cambria"/>
          <w:sz w:val="22"/>
        </w:rPr>
        <w:t xml:space="preserve">This is an</w:t>
      </w:r>
      <w:r>
        <w:rPr>
          <w:rFonts w:ascii="Cambria" w:hAnsi="Cambria" w:cs="Cambria" w:eastAsia="Cambria"/>
          <w:sz w:val="22"/>
        </w:rPr>
        <w:t xml:space="preserve"> </w:t>
      </w:r>
      <w:r>
        <w:rPr>
          <w:rFonts w:ascii="Cambria" w:hAnsi="Cambria" w:cs="Cambria" w:eastAsia="Cambria"/>
          <w:b/>
          <w:bCs/>
          <w:sz w:val="22"/>
        </w:rPr>
        <w:t xml:space="preserve">empirical calibration</w:t>
      </w:r>
      <w:r>
        <w:rPr>
          <w:rFonts w:ascii="Cambria" w:hAnsi="Cambria" w:cs="Cambria" w:eastAsia="Cambria"/>
          <w:sz w:val="22"/>
        </w:rPr>
        <w:t xml:space="preserve">, not a theoretical derivation. The linear fit is based on comparison of independently measured age-trajectories of A(age) from CDATA (forward simulation with population-mean parameters) and χ_Ze(age) from EEG data.</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3. Methods</w:t>
      </w:r>
    </w:p>
    <w:p>
      <w:pPr>
        <w:pStyle w:val="Heading3"/>
        <w:spacing w:before="200" w:after="120" w:line="276" w:lineRule="auto"/>
        <w:jc w:val="left"/>
      </w:pPr>
      <w:r>
        <w:rPr>
          <w:rFonts w:ascii="Calibri" w:hAnsi="Calibri" w:cs="Calibri" w:eastAsia="Calibri"/>
          <w:b/>
          <w:color w:val="4F81BD"/>
          <w:sz w:val="26"/>
        </w:rPr>
        <w:t xml:space="preserve">3.1 Study Design</w:t>
      </w:r>
    </w:p>
    <w:p>
      <w:pPr>
        <w:pStyle w:val="FirstParagraph"/>
        <w:spacing w:before="0" w:after="200" w:line="276" w:lineRule="auto"/>
        <w:jc w:val="both"/>
      </w:pPr>
      <w:r>
        <w:rPr>
          <w:rFonts w:ascii="Cambria" w:hAnsi="Cambria" w:cs="Cambria" w:eastAsia="Cambria"/>
          <w:b/>
          <w:bCs/>
          <w:sz w:val="22"/>
        </w:rPr>
        <w:t xml:space="preserve">IMPORTANT DISCLOSURE:</w:t>
      </w:r>
      <w:r>
        <w:rPr>
          <w:rFonts w:ascii="Cambria" w:hAnsi="Cambria" w:cs="Cambria" w:eastAsia="Cambria"/>
          <w:sz w:val="22"/>
        </w:rPr>
        <w:t xml:space="preserve"> </w:t>
      </w:r>
      <w:r>
        <w:rPr>
          <w:rFonts w:ascii="Cambria" w:hAnsi="Cambria" w:cs="Cambria" w:eastAsia="Cambria"/>
          <w:sz w:val="22"/>
        </w:rPr>
        <w:t xml:space="preserve">The analysis presented in this manuscript is</w:t>
      </w:r>
      <w:r>
        <w:rPr>
          <w:rFonts w:ascii="Cambria" w:hAnsi="Cambria" w:cs="Cambria" w:eastAsia="Cambria"/>
          <w:sz w:val="22"/>
        </w:rPr>
        <w:t xml:space="preserve"> </w:t>
      </w:r>
      <w:r>
        <w:rPr>
          <w:rFonts w:ascii="Cambria" w:hAnsi="Cambria" w:cs="Cambria" w:eastAsia="Cambria"/>
          <w:b/>
          <w:bCs/>
          <w:sz w:val="22"/>
        </w:rPr>
        <w:t xml:space="preserve">exploratory and hypothesis-generating</w:t>
      </w:r>
      <w:r>
        <w:rPr>
          <w:rFonts w:ascii="Cambria" w:hAnsi="Cambria" w:cs="Cambria" w:eastAsia="Cambria"/>
          <w:sz w:val="22"/>
        </w:rPr>
        <w:t xml:space="preserve">. The sample size (N=150) is insufficient for confirmatory testing at the declared α=0.00025. Power analysis (see Section 3.2) indicates that N≥500 with ≥150 events is required for adequate power. All results should be interpreted as preliminary.</w:t>
      </w:r>
    </w:p>
    <w:p>
      <w:pPr>
        <w:pStyle w:val="BodyText"/>
        <w:spacing w:before="0" w:after="200" w:line="276" w:lineRule="auto"/>
        <w:jc w:val="both"/>
      </w:pPr>
      <w:r>
        <w:rPr>
          <w:rFonts w:ascii="Cambria" w:hAnsi="Cambria" w:cs="Cambria" w:eastAsia="Cambria"/>
          <w:b/>
          <w:bCs/>
          <w:sz w:val="22"/>
        </w:rPr>
        <w:t xml:space="preserve">Cohort:</w:t>
      </w:r>
      <w:r>
        <w:rPr>
          <w:rFonts w:ascii="Cambria" w:hAnsi="Cambria" w:cs="Cambria" w:eastAsia="Cambria"/>
          <w:sz w:val="22"/>
        </w:rPr>
        <w:t xml:space="preserve"> </w:t>
      </w:r>
      <w:r>
        <w:rPr>
          <w:rFonts w:ascii="Cambria" w:hAnsi="Cambria" w:cs="Cambria" w:eastAsia="Cambria"/>
          <w:sz w:val="22"/>
        </w:rPr>
        <w:t xml:space="preserve">Prospective pilot cohort of 150 volunteers (age 45-89 years, 62% female) followed for 9 months (IRB #FCLC-2025-042).</w:t>
      </w:r>
    </w:p>
    <w:p>
      <w:pPr>
        <w:pStyle w:val="BodyText"/>
        <w:spacing w:before="0" w:after="200" w:line="276" w:lineRule="auto"/>
        <w:jc w:val="both"/>
      </w:pPr>
      <w:r>
        <w:rPr>
          <w:rFonts w:ascii="Cambria" w:hAnsi="Cambria" w:cs="Cambria" w:eastAsia="Cambria"/>
          <w:b/>
          <w:bCs/>
          <w:sz w:val="22"/>
        </w:rPr>
        <w:t xml:space="preserve">Primary endpoint:</w:t>
      </w:r>
      <w:r>
        <w:rPr>
          <w:rFonts w:ascii="Cambria" w:hAnsi="Cambria" w:cs="Cambria" w:eastAsia="Cambria"/>
          <w:sz w:val="22"/>
        </w:rPr>
        <w:t xml:space="preserve"> </w:t>
      </w:r>
      <w:r>
        <w:rPr>
          <w:rFonts w:ascii="Cambria" w:hAnsi="Cambria" w:cs="Cambria" w:eastAsia="Cambria"/>
          <w:sz w:val="22"/>
        </w:rPr>
        <w:t xml:space="preserve">Composite of serious adverse events related to aging (myocardial infarction, stroke, histologically confirmed cancer, dementia diagnosis, depression hospitalization or PHQ-9 ≥15, incident sarcopenia per EWGSOP2 criteria).</w:t>
      </w:r>
    </w:p>
    <w:p>
      <w:pPr>
        <w:pStyle w:val="BodyText"/>
        <w:spacing w:before="0" w:after="200" w:line="276" w:lineRule="auto"/>
        <w:jc w:val="both"/>
      </w:pPr>
      <w:r>
        <w:rPr>
          <w:rFonts w:ascii="Cambria" w:hAnsi="Cambria" w:cs="Cambria" w:eastAsia="Cambria"/>
          <w:b/>
          <w:bCs/>
          <w:sz w:val="22"/>
        </w:rPr>
        <w:t xml:space="preserve">Statistical plan:</w:t>
      </w:r>
      <w:r>
        <w:rPr>
          <w:rFonts w:ascii="Cambria" w:hAnsi="Cambria" w:cs="Cambria" w:eastAsia="Cambria"/>
          <w:sz w:val="22"/>
        </w:rPr>
        <w:t xml:space="preserve"> </w:t>
      </w:r>
      <w:r>
        <w:rPr>
          <w:rFonts w:ascii="Cambria" w:hAnsi="Cambria" w:cs="Cambria" w:eastAsia="Cambria"/>
          <w:sz w:val="22"/>
        </w:rPr>
        <w:t xml:space="preserve">Logistic regression with fixed predictors (Δχ_Ze, age, sex).</w:t>
      </w:r>
      <w:r>
        <w:rPr>
          <w:rFonts w:ascii="Cambria" w:hAnsi="Cambria" w:cs="Cambria" w:eastAsia="Cambria"/>
          <w:sz w:val="22"/>
        </w:rPr>
        <w:t xml:space="preserve"> </w:t>
      </w:r>
      <w:r>
        <w:rPr>
          <w:rFonts w:ascii="Cambria" w:hAnsi="Cambria" w:cs="Cambria" w:eastAsia="Cambria"/>
          <w:b/>
          <w:bCs/>
          <w:sz w:val="22"/>
        </w:rPr>
        <w:t xml:space="preserve">PRS analyses are not reported</w:t>
      </w:r>
      <w:r>
        <w:rPr>
          <w:rFonts w:ascii="Cambria" w:hAnsi="Cambria" w:cs="Cambria" w:eastAsia="Cambria"/>
          <w:sz w:val="22"/>
        </w:rPr>
        <w:t xml:space="preserve"> </w:t>
      </w:r>
      <w:r>
        <w:rPr>
          <w:rFonts w:ascii="Cambria" w:hAnsi="Cambria" w:cs="Cambria" w:eastAsia="Cambria"/>
          <w:sz w:val="22"/>
        </w:rPr>
        <w:t xml:space="preserve">due to insufficient statistical power and lack of validated multi-disease polygenic scores. Bonferroni correction: α = 0.00025 (requires N≥500 per power analysis).</w:t>
      </w:r>
    </w:p>
    <w:p>
      <w:pPr>
        <w:pStyle w:val="Heading3"/>
        <w:spacing w:before="200" w:after="120" w:line="276" w:lineRule="auto"/>
        <w:jc w:val="left"/>
      </w:pPr>
      <w:r>
        <w:rPr>
          <w:rFonts w:ascii="Calibri" w:hAnsi="Calibri" w:cs="Calibri" w:eastAsia="Calibri"/>
          <w:b/>
          <w:color w:val="4F81BD"/>
          <w:sz w:val="26"/>
        </w:rPr>
        <w:t xml:space="preserve">3.2 Power Analysis</w:t>
      </w:r>
    </w:p>
    <w:tbl>
      <w:tblPr>
        <w:tblStyle w:val="Table"/>
        <w:tblW w:type="dxa" w:w="936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before="0" w:after="80" w:line="276" w:lineRule="auto"/>
              <w:jc w:val="both"/>
            </w:pPr>
            <w:r>
              <w:rPr>
                <w:rFonts w:ascii="Cambria" w:hAnsi="Cambria" w:cs="Cambria" w:eastAsia="Cambria"/>
                <w:sz w:val="18"/>
              </w:rPr>
              <w:t xml:space="preserve">Exacerbation class</w:t>
            </w:r>
          </w:p>
        </w:tc>
        <w:tc>
          <w:tcPr/>
          <w:p>
            <w:pPr>
              <w:pStyle w:val="Compact"/>
              <w:spacing w:before="0" w:after="80" w:line="276" w:lineRule="auto"/>
              <w:jc w:val="both"/>
            </w:pPr>
            <w:r>
              <w:rPr>
                <w:rFonts w:ascii="Cambria" w:hAnsi="Cambria" w:cs="Cambria" w:eastAsia="Cambria"/>
                <w:sz w:val="18"/>
              </w:rPr>
              <w:t xml:space="preserve">Expected effect (AUC)</w:t>
            </w:r>
          </w:p>
        </w:tc>
        <w:tc>
          <w:tcPr/>
          <w:p>
            <w:pPr>
              <w:pStyle w:val="Compact"/>
              <w:spacing w:before="0" w:after="80" w:line="276" w:lineRule="auto"/>
              <w:jc w:val="both"/>
            </w:pPr>
            <w:r>
              <w:rPr>
                <w:rFonts w:ascii="Cambria" w:hAnsi="Cambria" w:cs="Cambria" w:eastAsia="Cambria"/>
                <w:sz w:val="18"/>
              </w:rPr>
              <w:t xml:space="preserve">Required N_events (80% power)</w:t>
            </w:r>
          </w:p>
        </w:tc>
        <w:tc>
          <w:tcPr/>
          <w:p>
            <w:pPr>
              <w:pStyle w:val="Compact"/>
              <w:spacing w:before="0" w:after="80" w:line="276" w:lineRule="auto"/>
              <w:jc w:val="both"/>
            </w:pPr>
            <w:r>
              <w:rPr>
                <w:rFonts w:ascii="Cambria" w:hAnsi="Cambria" w:cs="Cambria" w:eastAsia="Cambria"/>
                <w:sz w:val="18"/>
              </w:rPr>
              <w:t xml:space="preserve">Current N_events</w:t>
            </w:r>
          </w:p>
        </w:tc>
      </w:tr>
      <w:tr>
        <w:tc>
          <w:tcPr/>
          <w:p>
            <w:pPr>
              <w:pStyle w:val="Compact"/>
              <w:spacing w:before="0" w:after="80" w:line="276" w:lineRule="auto"/>
              <w:jc w:val="both"/>
            </w:pPr>
            <w:r>
              <w:rPr>
                <w:rFonts w:ascii="Cambria" w:hAnsi="Cambria" w:cs="Cambria" w:eastAsia="Cambria"/>
                <w:sz w:val="18"/>
              </w:rPr>
              <w:t xml:space="preserve">Cardiovascular</w:t>
            </w:r>
          </w:p>
        </w:tc>
        <w:tc>
          <w:tcPr/>
          <w:p>
            <w:pPr>
              <w:pStyle w:val="Compact"/>
              <w:spacing w:before="0" w:after="80" w:line="276" w:lineRule="auto"/>
              <w:jc w:val="both"/>
            </w:pPr>
            <w:r>
              <w:rPr>
                <w:rFonts w:ascii="Cambria" w:hAnsi="Cambria" w:cs="Cambria" w:eastAsia="Cambria"/>
                <w:sz w:val="18"/>
              </w:rPr>
              <w:t xml:space="preserve">0.85</w:t>
            </w:r>
          </w:p>
        </w:tc>
        <w:tc>
          <w:tcPr/>
          <w:p>
            <w:pPr>
              <w:pStyle w:val="Compact"/>
              <w:spacing w:before="0" w:after="80" w:line="276" w:lineRule="auto"/>
              <w:jc w:val="both"/>
            </w:pPr>
            <w:r>
              <w:rPr>
                <w:rFonts w:ascii="Cambria" w:hAnsi="Cambria" w:cs="Cambria" w:eastAsia="Cambria"/>
                <w:sz w:val="18"/>
              </w:rPr>
              <w:t xml:space="preserve">40</w:t>
            </w:r>
          </w:p>
        </w:tc>
        <w:tc>
          <w:tcPr/>
          <w:p>
            <w:pPr>
              <w:pStyle w:val="Compact"/>
              <w:spacing w:before="0" w:after="80" w:line="276" w:lineRule="auto"/>
              <w:jc w:val="both"/>
            </w:pPr>
            <w:r>
              <w:rPr>
                <w:rFonts w:ascii="Cambria" w:hAnsi="Cambria" w:cs="Cambria" w:eastAsia="Cambria"/>
                <w:sz w:val="18"/>
              </w:rPr>
              <w:t xml:space="preserve">15</w:t>
            </w:r>
          </w:p>
        </w:tc>
      </w:tr>
      <w:tr>
        <w:tc>
          <w:tcPr/>
          <w:p>
            <w:pPr>
              <w:pStyle w:val="Compact"/>
              <w:spacing w:before="0" w:after="80" w:line="276" w:lineRule="auto"/>
              <w:jc w:val="both"/>
            </w:pPr>
            <w:r>
              <w:rPr>
                <w:rFonts w:ascii="Cambria" w:hAnsi="Cambria" w:cs="Cambria" w:eastAsia="Cambria"/>
                <w:sz w:val="18"/>
              </w:rPr>
              <w:t xml:space="preserve">Oncological</w:t>
            </w:r>
          </w:p>
        </w:tc>
        <w:tc>
          <w:tcPr/>
          <w:p>
            <w:pPr>
              <w:pStyle w:val="Compact"/>
              <w:spacing w:before="0" w:after="80" w:line="276" w:lineRule="auto"/>
              <w:jc w:val="both"/>
            </w:pPr>
            <w:r>
              <w:rPr>
                <w:rFonts w:ascii="Cambria" w:hAnsi="Cambria" w:cs="Cambria" w:eastAsia="Cambria"/>
                <w:sz w:val="18"/>
              </w:rPr>
              <w:t xml:space="preserve">0.79</w:t>
            </w:r>
          </w:p>
        </w:tc>
        <w:tc>
          <w:tcPr/>
          <w:p>
            <w:pPr>
              <w:pStyle w:val="Compact"/>
              <w:spacing w:before="0" w:after="80" w:line="276" w:lineRule="auto"/>
              <w:jc w:val="both"/>
            </w:pPr>
            <w:r>
              <w:rPr>
                <w:rFonts w:ascii="Cambria" w:hAnsi="Cambria" w:cs="Cambria" w:eastAsia="Cambria"/>
                <w:sz w:val="18"/>
              </w:rPr>
              <w:t xml:space="preserve">50</w:t>
            </w:r>
          </w:p>
        </w:tc>
        <w:tc>
          <w:tcPr/>
          <w:p>
            <w:pPr>
              <w:pStyle w:val="Compact"/>
              <w:spacing w:before="0" w:after="80" w:line="276" w:lineRule="auto"/>
              <w:jc w:val="both"/>
            </w:pPr>
            <w:r>
              <w:rPr>
                <w:rFonts w:ascii="Cambria" w:hAnsi="Cambria" w:cs="Cambria" w:eastAsia="Cambria"/>
                <w:sz w:val="18"/>
              </w:rPr>
              <w:t xml:space="preserve">10</w:t>
            </w:r>
          </w:p>
        </w:tc>
      </w:tr>
      <w:tr>
        <w:tc>
          <w:tcPr/>
          <w:p>
            <w:pPr>
              <w:pStyle w:val="Compact"/>
              <w:spacing w:before="0" w:after="80" w:line="276" w:lineRule="auto"/>
              <w:jc w:val="both"/>
            </w:pPr>
            <w:r>
              <w:rPr>
                <w:rFonts w:ascii="Cambria" w:hAnsi="Cambria" w:cs="Cambria" w:eastAsia="Cambria"/>
                <w:sz w:val="18"/>
              </w:rPr>
              <w:t xml:space="preserve">Cognitive</w:t>
            </w:r>
          </w:p>
        </w:tc>
        <w:tc>
          <w:tcPr/>
          <w:p>
            <w:pPr>
              <w:pStyle w:val="Compact"/>
              <w:spacing w:before="0" w:after="80" w:line="276" w:lineRule="auto"/>
              <w:jc w:val="both"/>
            </w:pPr>
            <w:r>
              <w:rPr>
                <w:rFonts w:ascii="Cambria" w:hAnsi="Cambria" w:cs="Cambria" w:eastAsia="Cambria"/>
                <w:sz w:val="18"/>
              </w:rPr>
              <w:t xml:space="preserve">0.84</w:t>
            </w:r>
          </w:p>
        </w:tc>
        <w:tc>
          <w:tcPr/>
          <w:p>
            <w:pPr>
              <w:pStyle w:val="Compact"/>
              <w:spacing w:before="0" w:after="80" w:line="276" w:lineRule="auto"/>
              <w:jc w:val="both"/>
            </w:pPr>
            <w:r>
              <w:rPr>
                <w:rFonts w:ascii="Cambria" w:hAnsi="Cambria" w:cs="Cambria" w:eastAsia="Cambria"/>
                <w:sz w:val="18"/>
              </w:rPr>
              <w:t xml:space="preserve">42</w:t>
            </w:r>
          </w:p>
        </w:tc>
        <w:tc>
          <w:tcPr/>
          <w:p>
            <w:pPr>
              <w:pStyle w:val="Compact"/>
              <w:spacing w:before="0" w:after="80" w:line="276" w:lineRule="auto"/>
              <w:jc w:val="both"/>
            </w:pPr>
            <w:r>
              <w:rPr>
                <w:rFonts w:ascii="Cambria" w:hAnsi="Cambria" w:cs="Cambria" w:eastAsia="Cambria"/>
                <w:sz w:val="18"/>
              </w:rPr>
              <w:t xml:space="preserve">8</w:t>
            </w:r>
          </w:p>
        </w:tc>
      </w:tr>
      <w:tr>
        <w:tc>
          <w:tcPr/>
          <w:p>
            <w:pPr>
              <w:pStyle w:val="Compact"/>
              <w:spacing w:before="0" w:after="80" w:line="276" w:lineRule="auto"/>
              <w:jc w:val="both"/>
            </w:pPr>
            <w:r>
              <w:rPr>
                <w:rFonts w:ascii="Cambria" w:hAnsi="Cambria" w:cs="Cambria" w:eastAsia="Cambria"/>
                <w:sz w:val="18"/>
              </w:rPr>
              <w:t xml:space="preserve">Neuropsychiatric</w:t>
            </w:r>
          </w:p>
        </w:tc>
        <w:tc>
          <w:tcPr/>
          <w:p>
            <w:pPr>
              <w:pStyle w:val="Compact"/>
              <w:spacing w:before="0" w:after="80" w:line="276" w:lineRule="auto"/>
              <w:jc w:val="both"/>
            </w:pPr>
            <w:r>
              <w:rPr>
                <w:rFonts w:ascii="Cambria" w:hAnsi="Cambria" w:cs="Cambria" w:eastAsia="Cambria"/>
                <w:sz w:val="18"/>
              </w:rPr>
              <w:t xml:space="preserve">0.80</w:t>
            </w:r>
          </w:p>
        </w:tc>
        <w:tc>
          <w:tcPr/>
          <w:p>
            <w:pPr>
              <w:pStyle w:val="Compact"/>
              <w:spacing w:before="0" w:after="80" w:line="276" w:lineRule="auto"/>
              <w:jc w:val="both"/>
            </w:pPr>
            <w:r>
              <w:rPr>
                <w:rFonts w:ascii="Cambria" w:hAnsi="Cambria" w:cs="Cambria" w:eastAsia="Cambria"/>
                <w:sz w:val="18"/>
              </w:rPr>
              <w:t xml:space="preserve">48</w:t>
            </w:r>
          </w:p>
        </w:tc>
        <w:tc>
          <w:tcPr/>
          <w:p>
            <w:pPr>
              <w:pStyle w:val="Compact"/>
              <w:spacing w:before="0" w:after="80" w:line="276" w:lineRule="auto"/>
              <w:jc w:val="both"/>
            </w:pPr>
            <w:r>
              <w:rPr>
                <w:rFonts w:ascii="Cambria" w:hAnsi="Cambria" w:cs="Cambria" w:eastAsia="Cambria"/>
                <w:sz w:val="18"/>
              </w:rPr>
              <w:t xml:space="preserve">10</w:t>
            </w:r>
          </w:p>
        </w:tc>
      </w:tr>
    </w:tbl>
    <w:p>
      <w:pPr>
        <w:pStyle w:val="BodyText"/>
        <w:spacing w:before="0" w:after="200" w:line="276" w:lineRule="auto"/>
        <w:jc w:val="both"/>
      </w:pPr>
      <w:r>
        <w:rPr>
          <w:rFonts w:ascii="Cambria" w:hAnsi="Cambria" w:cs="Cambria" w:eastAsia="Cambria"/>
          <w:b/>
          <w:bCs/>
          <w:sz w:val="22"/>
        </w:rPr>
        <w:t xml:space="preserve">Conclusion:</w:t>
      </w:r>
      <w:r>
        <w:rPr>
          <w:rFonts w:ascii="Cambria" w:hAnsi="Cambria" w:cs="Cambria" w:eastAsia="Cambria"/>
          <w:sz w:val="22"/>
        </w:rPr>
        <w:t xml:space="preserve"> </w:t>
      </w:r>
      <w:r>
        <w:rPr>
          <w:rFonts w:ascii="Cambria" w:hAnsi="Cambria" w:cs="Cambria" w:eastAsia="Cambria"/>
          <w:sz w:val="22"/>
        </w:rPr>
        <w:t xml:space="preserve">The current sample is</w:t>
      </w:r>
      <w:r>
        <w:rPr>
          <w:rFonts w:ascii="Cambria" w:hAnsi="Cambria" w:cs="Cambria" w:eastAsia="Cambria"/>
          <w:sz w:val="22"/>
        </w:rPr>
        <w:t xml:space="preserve"> </w:t>
      </w:r>
      <w:r>
        <w:rPr>
          <w:rFonts w:ascii="Cambria" w:hAnsi="Cambria" w:cs="Cambria" w:eastAsia="Cambria"/>
          <w:b/>
          <w:bCs/>
          <w:sz w:val="22"/>
        </w:rPr>
        <w:t xml:space="preserve">underpowered</w:t>
      </w:r>
      <w:r>
        <w:rPr>
          <w:rFonts w:ascii="Cambria" w:hAnsi="Cambria" w:cs="Cambria" w:eastAsia="Cambria"/>
          <w:sz w:val="22"/>
        </w:rPr>
        <w:t xml:space="preserve">. Results are preliminary and exploratory.</w:t>
      </w:r>
    </w:p>
    <w:p>
      <w:pPr>
        <w:pStyle w:val="Heading3"/>
        <w:spacing w:before="200" w:after="120" w:line="276" w:lineRule="auto"/>
        <w:jc w:val="left"/>
      </w:pPr>
      <w:r>
        <w:rPr>
          <w:rFonts w:ascii="Calibri" w:hAnsi="Calibri" w:cs="Calibri" w:eastAsia="Calibri"/>
          <w:b/>
          <w:color w:val="4F81BD"/>
          <w:sz w:val="26"/>
        </w:rPr>
        <w:t xml:space="preserve">3.3 BioSense Hardware</w:t>
      </w:r>
    </w:p>
    <w:p>
      <w:pPr>
        <w:pStyle w:val="CaptionedFigure"/>
        <w:spacing w:before="0" w:after="200" w:line="276" w:lineRule="auto"/>
        <w:jc w:val="center"/>
      </w:pPr>
      <w:r>
        <w:drawing>
          <wp:inline>
            <wp:extent cx="5334000" cy="2640060"/>
            <wp:effectExtent b="0" l="0" r="0" t="0"/>
            <wp:docPr descr="Figure 2. BioSense system architecture — wearable sensors feed an on-device χ_Ze pipeline that produces user-facing aging-activity outputs; all results pass through a five-layer privacy stack before reaching the FCLC orchestrator." title="" id="32" name="Picture"/>
            <a:graphic>
              <a:graphicData uri="http://schemas.openxmlformats.org/drawingml/2006/picture">
                <pic:pic>
                  <pic:nvPicPr>
                    <pic:cNvPr descr="BioSense_figs/fig2_biosense_architecture.png" id="33" name="Picture"/>
                    <pic:cNvPicPr>
                      <a:picLocks noChangeArrowheads="1" noChangeAspect="1"/>
                    </pic:cNvPicPr>
                  </pic:nvPicPr>
                  <pic:blipFill>
                    <a:blip r:embed="rId31"/>
                    <a:stretch>
                      <a:fillRect/>
                    </a:stretch>
                  </pic:blipFill>
                  <pic:spPr bwMode="auto">
                    <a:xfrm>
                      <a:off x="0" y="0"/>
                      <a:ext cx="5334000" cy="2640060"/>
                    </a:xfrm>
                    <a:prstGeom prst="rect">
                      <a:avLst/>
                    </a:prstGeom>
                    <a:noFill/>
                    <a:ln w="9525">
                      <a:noFill/>
                      <a:headEnd/>
                      <a:tailEnd/>
                    </a:ln>
                  </pic:spPr>
                </pic:pic>
              </a:graphicData>
            </a:graphic>
          </wp:inline>
        </w:drawing>
      </w:r>
    </w:p>
    <w:p>
      <w:pPr>
        <w:pStyle w:val="ImageCaption"/>
        <w:spacing w:before="0" w:after="200" w:line="276" w:lineRule="auto"/>
        <w:jc w:val="both"/>
      </w:pPr>
      <w:r>
        <w:rPr>
          <w:rFonts w:ascii="Cambria" w:hAnsi="Cambria" w:cs="Cambria" w:eastAsia="Cambria"/>
          <w:sz w:val="22"/>
        </w:rPr>
        <w:t xml:space="preserve">Figure 2. BioSense system architecture — wearable sensors feed an on-device χ_Ze pipeline that produces user-facing aging-activity outputs; all results pass through a five-layer privacy stack before reaching the FCLC orchestrator.</w:t>
      </w:r>
    </w:p>
    <w:p>
      <w:pPr>
        <w:pStyle w:val="BodyText"/>
        <w:spacing w:before="0" w:after="200" w:line="276" w:lineRule="auto"/>
        <w:jc w:val="both"/>
      </w:pPr>
      <w:r>
        <w:rPr>
          <w:rFonts w:ascii="Cambria" w:hAnsi="Cambria" w:cs="Cambria" w:eastAsia="Cambria"/>
          <w:i/>
          <w:iCs/>
          <w:sz w:val="22"/>
        </w:rPr>
        <w:t xml:space="preserve">Figure 2. BioSense end-to-end architecture. Sensors (EEG forehead, HRV wrist, respiration chest, actigraphy/sleep) are pre-processed and fed into an on-device χ_Ze pipeline. Outputs include the daily χ_Ze index, a 30-day exacerbation risk estimate, and longitudinal trends. Every output passes through a five-layer privacy stack (Layer 1–5) before any FCLC-side aggregation.</w:t>
      </w:r>
    </w:p>
    <w:p>
      <w:pPr>
        <w:pStyle w:val="BodyText"/>
        <w:spacing w:before="0" w:after="200" w:line="276" w:lineRule="auto"/>
        <w:jc w:val="both"/>
      </w:pPr>
      <w:r>
        <w:rPr>
          <w:rFonts w:ascii="Cambria" w:hAnsi="Cambria" w:cs="Cambria" w:eastAsia="Cambria"/>
          <w:b/>
          <w:bCs/>
          <w:sz w:val="22"/>
        </w:rPr>
        <w:t xml:space="preserve">Main processing unit:</w:t>
      </w:r>
      <w:r>
        <w:rPr>
          <w:rFonts w:ascii="Cambria" w:hAnsi="Cambria" w:cs="Cambria" w:eastAsia="Cambria"/>
          <w:sz w:val="22"/>
        </w:rPr>
        <w:t xml:space="preserve"> </w:t>
      </w:r>
      <w:r>
        <w:rPr>
          <w:rFonts w:ascii="Cambria" w:hAnsi="Cambria" w:cs="Cambria" w:eastAsia="Cambria"/>
          <w:sz w:val="22"/>
        </w:rPr>
        <w:t xml:space="preserve">Nordic nRF52840 (ARM Cortex-M4, 64 MHz, Rust firmware)</w:t>
      </w:r>
    </w:p>
    <w:p>
      <w:pPr>
        <w:pStyle w:val="BodyText"/>
        <w:spacing w:before="0" w:after="200" w:line="276" w:lineRule="auto"/>
        <w:jc w:val="both"/>
      </w:pPr>
      <w:r>
        <w:rPr>
          <w:rFonts w:ascii="Cambria" w:hAnsi="Cambria" w:cs="Cambria" w:eastAsia="Cambria"/>
          <w:b/>
          <w:bCs/>
          <w:sz w:val="22"/>
        </w:rPr>
        <w:t xml:space="preserve">Modules:</w:t>
      </w:r>
    </w:p>
    <w:p>
      <w:pPr>
        <w:pStyle w:val="Compact"/>
        <w:numPr>
          <w:ilvl w:val="0"/>
          <w:numId w:val="1003"/>
        </w:numPr>
        <w:spacing w:before="0" w:after="200" w:line="276" w:lineRule="auto"/>
        <w:jc w:val="both"/>
      </w:pPr>
      <w:r>
        <w:rPr>
          <w:rFonts w:ascii="Cambria" w:hAnsi="Cambria" w:cs="Cambria" w:eastAsia="Cambria"/>
          <w:b/>
          <w:bCs/>
          <w:sz w:val="22"/>
        </w:rPr>
        <w:t xml:space="preserve">EEG:</w:t>
      </w:r>
      <w:r>
        <w:rPr>
          <w:rFonts w:ascii="Cambria" w:hAnsi="Cambria" w:cs="Cambria" w:eastAsia="Cambria"/>
          <w:sz w:val="22"/>
        </w:rPr>
        <w:t xml:space="preserve"> </w:t>
      </w:r>
      <w:r>
        <w:rPr>
          <w:rFonts w:ascii="Cambria" w:hAnsi="Cambria" w:cs="Cambria" w:eastAsia="Cambria"/>
          <w:sz w:val="22"/>
        </w:rPr>
        <w:t xml:space="preserve">ADS1299 front-end, dry Ag/AgCl electrodes (Fp1, Fp2, Fpz), 128 Hz sampling, 25-35 Hz Ze-optimal band</w:t>
      </w:r>
    </w:p>
    <w:p>
      <w:pPr>
        <w:pStyle w:val="Compact"/>
        <w:numPr>
          <w:ilvl w:val="0"/>
          <w:numId w:val="1003"/>
        </w:numPr>
        <w:spacing w:before="0" w:after="200" w:line="276" w:lineRule="auto"/>
        <w:jc w:val="both"/>
      </w:pPr>
      <w:r>
        <w:rPr>
          <w:rFonts w:ascii="Cambria" w:hAnsi="Cambria" w:cs="Cambria" w:eastAsia="Cambria"/>
          <w:b/>
          <w:bCs/>
          <w:sz w:val="22"/>
        </w:rPr>
        <w:t xml:space="preserve">HRV:</w:t>
      </w:r>
      <w:r>
        <w:rPr>
          <w:rFonts w:ascii="Cambria" w:hAnsi="Cambria" w:cs="Cambria" w:eastAsia="Cambria"/>
          <w:sz w:val="22"/>
        </w:rPr>
        <w:t xml:space="preserve"> </w:t>
      </w:r>
      <w:r>
        <w:rPr>
          <w:rFonts w:ascii="Cambria" w:hAnsi="Cambria" w:cs="Cambria" w:eastAsia="Cambria"/>
          <w:sz w:val="22"/>
        </w:rPr>
        <w:t xml:space="preserve">PPG MAX30105, 400 Hz, RR-interval extraction, LF/HF spectral analysis with hysteresis (δ=0.10)</w:t>
      </w:r>
    </w:p>
    <w:p>
      <w:pPr>
        <w:pStyle w:val="Compact"/>
        <w:numPr>
          <w:ilvl w:val="0"/>
          <w:numId w:val="1003"/>
        </w:numPr>
        <w:spacing w:before="0" w:after="200" w:line="276" w:lineRule="auto"/>
        <w:jc w:val="both"/>
      </w:pPr>
      <w:r>
        <w:rPr>
          <w:rFonts w:ascii="Cambria" w:hAnsi="Cambria" w:cs="Cambria" w:eastAsia="Cambria"/>
          <w:b/>
          <w:bCs/>
          <w:sz w:val="22"/>
        </w:rPr>
        <w:t xml:space="preserve">Respiration:</w:t>
      </w:r>
      <w:r>
        <w:rPr>
          <w:rFonts w:ascii="Cambria" w:hAnsi="Cambria" w:cs="Cambria" w:eastAsia="Cambria"/>
          <w:sz w:val="22"/>
        </w:rPr>
        <w:t xml:space="preserve"> </w:t>
      </w:r>
      <w:r>
        <w:rPr>
          <w:rFonts w:ascii="Cambria" w:hAnsi="Cambria" w:cs="Cambria" w:eastAsia="Cambria"/>
          <w:sz w:val="22"/>
        </w:rPr>
        <w:t xml:space="preserve">Impedance pneumography, tidal volume derivative binarization → χ_Ze(resp)</w:t>
      </w:r>
    </w:p>
    <w:p>
      <w:pPr>
        <w:pStyle w:val="Compact"/>
        <w:numPr>
          <w:ilvl w:val="0"/>
          <w:numId w:val="1003"/>
        </w:numPr>
        <w:spacing w:before="0" w:after="200" w:line="276" w:lineRule="auto"/>
        <w:jc w:val="both"/>
      </w:pPr>
      <w:r>
        <w:rPr>
          <w:rFonts w:ascii="Cambria" w:hAnsi="Cambria" w:cs="Cambria" w:eastAsia="Cambria"/>
          <w:b/>
          <w:bCs/>
          <w:sz w:val="22"/>
        </w:rPr>
        <w:t xml:space="preserve">Sleep monitoring:</w:t>
      </w:r>
      <w:r>
        <w:rPr>
          <w:rFonts w:ascii="Cambria" w:hAnsi="Cambria" w:cs="Cambria" w:eastAsia="Cambria"/>
          <w:sz w:val="22"/>
        </w:rPr>
        <w:t xml:space="preserve"> </w:t>
      </w:r>
      <w:r>
        <w:rPr>
          <w:rFonts w:ascii="Cambria" w:hAnsi="Cambria" w:cs="Cambria" w:eastAsia="Cambria"/>
          <w:sz w:val="22"/>
        </w:rPr>
        <w:t xml:space="preserve">Overnight EEG (C3-C4), sleep spindle detection, χ_Ze(sleep)</w:t>
      </w:r>
    </w:p>
    <w:p>
      <w:pPr>
        <w:pStyle w:val="Compact"/>
        <w:numPr>
          <w:ilvl w:val="0"/>
          <w:numId w:val="1003"/>
        </w:numPr>
        <w:spacing w:before="0" w:after="200" w:line="276" w:lineRule="auto"/>
        <w:jc w:val="both"/>
      </w:pPr>
      <w:r>
        <w:rPr>
          <w:rFonts w:ascii="Cambria" w:hAnsi="Cambria" w:cs="Cambria" w:eastAsia="Cambria"/>
          <w:b/>
          <w:bCs/>
          <w:sz w:val="22"/>
        </w:rPr>
        <w:t xml:space="preserve">Lifestyle data:</w:t>
      </w:r>
      <w:r>
        <w:rPr>
          <w:rFonts w:ascii="Cambria" w:hAnsi="Cambria" w:cs="Cambria" w:eastAsia="Cambria"/>
          <w:sz w:val="22"/>
        </w:rPr>
        <w:t xml:space="preserve"> </w:t>
      </w:r>
      <w:r>
        <w:rPr>
          <w:rFonts w:ascii="Cambria" w:hAnsi="Cambria" w:cs="Cambria" w:eastAsia="Cambria"/>
          <w:sz w:val="22"/>
        </w:rPr>
        <w:t xml:space="preserve">Passive (steps, sleep time) + active daily questionnaire (stress 1-10, sleep quality 1-10, alcohol 0-5 units)</w:t>
      </w:r>
    </w:p>
    <w:p>
      <w:pPr>
        <w:pStyle w:val="FirstParagraph"/>
        <w:spacing w:before="0" w:after="200" w:line="276" w:lineRule="auto"/>
        <w:jc w:val="both"/>
      </w:pPr>
      <w:r>
        <w:rPr>
          <w:rFonts w:ascii="Cambria" w:hAnsi="Cambria" w:cs="Cambria" w:eastAsia="Cambria"/>
          <w:b/>
          <w:bCs/>
          <w:sz w:val="22"/>
        </w:rPr>
        <w:t xml:space="preserve">Data frequency:</w:t>
      </w:r>
      <w:r>
        <w:rPr>
          <w:rFonts w:ascii="Cambria" w:hAnsi="Cambria" w:cs="Cambria" w:eastAsia="Cambria"/>
          <w:sz w:val="22"/>
        </w:rPr>
        <w:t xml:space="preserve"> </w:t>
      </w:r>
      <w:r>
        <w:rPr>
          <w:rFonts w:ascii="Cambria" w:hAnsi="Cambria" w:cs="Cambria" w:eastAsia="Cambria"/>
          <w:sz w:val="22"/>
        </w:rPr>
        <w:t xml:space="preserve">χ_Ze computed every 10 minutes for EEG, every 5 minutes for HRV and respiration, nightly for sleep. Prognoses updated daily at 06:00 local time using a 7-day sliding window.</w:t>
      </w:r>
    </w:p>
    <w:p>
      <w:pPr>
        <w:pStyle w:val="Heading3"/>
        <w:spacing w:before="200" w:after="120" w:line="276" w:lineRule="auto"/>
        <w:jc w:val="left"/>
      </w:pPr>
      <w:r>
        <w:rPr>
          <w:rFonts w:ascii="Calibri" w:hAnsi="Calibri" w:cs="Calibri" w:eastAsia="Calibri"/>
          <w:b/>
          <w:color w:val="4F81BD"/>
          <w:sz w:val="26"/>
        </w:rPr>
        <w:t xml:space="preserve">3.4 Privacy Architecture</w:t>
      </w:r>
    </w:p>
    <w:p>
      <w:pPr>
        <w:pStyle w:val="FirstParagraph"/>
        <w:spacing w:before="0" w:after="200" w:line="276" w:lineRule="auto"/>
        <w:jc w:val="both"/>
      </w:pPr>
      <w:r>
        <w:rPr>
          <w:rFonts w:ascii="Cambria" w:hAnsi="Cambria" w:cs="Cambria" w:eastAsia="Cambria"/>
          <w:sz w:val="22"/>
        </w:rPr>
        <w:t xml:space="preserve">BioSense implements a 5-layer privacy stack directly on the device (Rust):</w:t>
      </w:r>
    </w:p>
    <w:p>
      <w:pPr>
        <w:pStyle w:val="Compact"/>
        <w:numPr>
          <w:ilvl w:val="0"/>
          <w:numId w:val="1004"/>
        </w:numPr>
        <w:spacing w:before="0" w:after="200" w:line="276" w:lineRule="auto"/>
        <w:jc w:val="both"/>
      </w:pPr>
      <w:r>
        <w:rPr>
          <w:rFonts w:ascii="Cambria" w:hAnsi="Cambria" w:cs="Cambria" w:eastAsia="Cambria"/>
          <w:b/>
          <w:bCs/>
          <w:sz w:val="22"/>
        </w:rPr>
        <w:t xml:space="preserve">Layer 1 (De-identification):</w:t>
      </w:r>
      <w:r>
        <w:rPr>
          <w:rFonts w:ascii="Cambria" w:hAnsi="Cambria" w:cs="Cambria" w:eastAsia="Cambria"/>
          <w:sz w:val="22"/>
        </w:rPr>
        <w:t xml:space="preserve"> </w:t>
      </w:r>
      <w:r>
        <w:rPr>
          <w:rFonts w:ascii="Cambria" w:hAnsi="Cambria" w:cs="Cambria" w:eastAsia="Cambria"/>
          <w:sz w:val="22"/>
        </w:rPr>
        <w:t xml:space="preserve">Device ID removed; exact age → 5-year bin; timestamps → ISO week number</w:t>
      </w:r>
    </w:p>
    <w:p>
      <w:pPr>
        <w:pStyle w:val="Compact"/>
        <w:numPr>
          <w:ilvl w:val="0"/>
          <w:numId w:val="1004"/>
        </w:numPr>
        <w:spacing w:before="0" w:after="200" w:line="276" w:lineRule="auto"/>
        <w:jc w:val="both"/>
      </w:pPr>
      <w:r>
        <w:rPr>
          <w:rFonts w:ascii="Cambria" w:hAnsi="Cambria" w:cs="Cambria" w:eastAsia="Cambria"/>
          <w:b/>
          <w:bCs/>
          <w:sz w:val="22"/>
        </w:rPr>
        <w:t xml:space="preserve">Layer 2 (Minimization):</w:t>
      </w:r>
      <w:r>
        <w:rPr>
          <w:rFonts w:ascii="Cambria" w:hAnsi="Cambria" w:cs="Cambria" w:eastAsia="Cambria"/>
          <w:sz w:val="22"/>
        </w:rPr>
        <w:t xml:space="preserve"> </w:t>
      </w:r>
      <w:r>
        <w:rPr>
          <w:rFonts w:ascii="Cambria" w:hAnsi="Cambria" w:cs="Cambria" w:eastAsia="Cambria"/>
          <w:sz w:val="22"/>
        </w:rPr>
        <w:t xml:space="preserve">Only χ_Ze (rounded to 2 decimals) transmitted; raw biosignals never leave device</w:t>
      </w:r>
    </w:p>
    <w:p>
      <w:pPr>
        <w:pStyle w:val="Compact"/>
        <w:numPr>
          <w:ilvl w:val="0"/>
          <w:numId w:val="1004"/>
        </w:numPr>
        <w:spacing w:before="0" w:after="200" w:line="276" w:lineRule="auto"/>
        <w:jc w:val="both"/>
      </w:pPr>
      <w:r>
        <w:rPr>
          <w:rFonts w:ascii="Cambria" w:hAnsi="Cambria" w:cs="Cambria" w:eastAsia="Cambria"/>
          <w:b/>
          <w:bCs/>
          <w:sz w:val="22"/>
        </w:rPr>
        <w:t xml:space="preserve">Layer 3 (k-anonymity):</w:t>
      </w:r>
      <w:r>
        <w:rPr>
          <w:rFonts w:ascii="Cambria" w:hAnsi="Cambria" w:cs="Cambria" w:eastAsia="Cambria"/>
          <w:sz w:val="22"/>
        </w:rPr>
        <w:t xml:space="preserve"> </w:t>
      </w:r>
      <w:r>
        <w:rPr>
          <w:rFonts w:ascii="Cambria" w:hAnsi="Cambria" w:cs="Cambria" w:eastAsia="Cambria"/>
          <w:sz w:val="22"/>
        </w:rPr>
        <w:t xml:space="preserve">k ≥ 7; groups below threshold suppressed before upload</w:t>
      </w:r>
    </w:p>
    <w:p>
      <w:pPr>
        <w:pStyle w:val="Compact"/>
        <w:numPr>
          <w:ilvl w:val="0"/>
          <w:numId w:val="1004"/>
        </w:numPr>
        <w:spacing w:before="0" w:after="200" w:line="276" w:lineRule="auto"/>
        <w:jc w:val="both"/>
      </w:pPr>
      <w:r>
        <w:rPr>
          <w:rFonts w:ascii="Cambria" w:hAnsi="Cambria" w:cs="Cambria" w:eastAsia="Cambria"/>
          <w:b/>
          <w:bCs/>
          <w:sz w:val="22"/>
        </w:rPr>
        <w:t xml:space="preserve">Layer 4 (Differential privacy):</w:t>
      </w:r>
      <w:r>
        <w:rPr>
          <w:rFonts w:ascii="Cambria" w:hAnsi="Cambria" w:cs="Cambria" w:eastAsia="Cambria"/>
          <w:sz w:val="22"/>
        </w:rPr>
        <w:t xml:space="preserve"> </w:t>
      </w:r>
      <w:r>
        <w:rPr>
          <w:rFonts w:ascii="Cambria" w:hAnsi="Cambria" w:cs="Cambria" w:eastAsia="Cambria"/>
          <w:sz w:val="22"/>
        </w:rPr>
        <w:t xml:space="preserve">Laplace noise with ε = 2.0, scale = Δf/ε = 0.3/2.0 = 0.15</w:t>
      </w:r>
    </w:p>
    <w:p>
      <w:pPr>
        <w:pStyle w:val="Compact"/>
        <w:numPr>
          <w:ilvl w:val="0"/>
          <w:numId w:val="1004"/>
        </w:numPr>
        <w:spacing w:before="0" w:after="200" w:line="276" w:lineRule="auto"/>
        <w:jc w:val="both"/>
      </w:pPr>
      <w:r>
        <w:rPr>
          <w:rFonts w:ascii="Cambria" w:hAnsi="Cambria" w:cs="Cambria" w:eastAsia="Cambria"/>
          <w:b/>
          <w:bCs/>
          <w:sz w:val="22"/>
        </w:rPr>
        <w:t xml:space="preserve">Layer 5 (Secure aggregation):</w:t>
      </w:r>
      <w:r>
        <w:rPr>
          <w:rFonts w:ascii="Cambria" w:hAnsi="Cambria" w:cs="Cambria" w:eastAsia="Cambria"/>
          <w:sz w:val="22"/>
        </w:rPr>
        <w:t xml:space="preserve"> </w:t>
      </w:r>
      <w:r>
        <w:rPr>
          <w:rFonts w:ascii="Cambria" w:hAnsi="Cambria" w:cs="Cambria" w:eastAsia="Cambria"/>
          <w:sz w:val="22"/>
        </w:rPr>
        <w:t xml:space="preserve">SecAgg masking at upload (FCLC orchestrator never sees unmasked records)</w:t>
      </w:r>
    </w:p>
    <w:p>
      <w:pPr>
        <w:pStyle w:val="CaptionedFigure"/>
        <w:spacing w:before="0" w:after="200" w:line="276" w:lineRule="auto"/>
        <w:jc w:val="center"/>
      </w:pPr>
      <w:r>
        <w:drawing>
          <wp:inline>
            <wp:extent cx="5334000" cy="3676135"/>
            <wp:effectExtent b="0" l="0" r="0" t="0"/>
            <wp:docPr descr="Figure 3. Five-layer privacy stack — raw signals are progressively transformed by consent, on-device aggregation, differential privacy, k-anonymity, and federated infrastructure before any researcher-accessible aggregate is produced." title="" id="36" name="Picture"/>
            <a:graphic>
              <a:graphicData uri="http://schemas.openxmlformats.org/drawingml/2006/picture">
                <pic:pic>
                  <pic:nvPicPr>
                    <pic:cNvPr descr="BioSense_figs/fig4_privacy_stack.png" id="37" name="Picture"/>
                    <pic:cNvPicPr>
                      <a:picLocks noChangeArrowheads="1" noChangeAspect="1"/>
                    </pic:cNvPicPr>
                  </pic:nvPicPr>
                  <pic:blipFill>
                    <a:blip r:embed="rId35"/>
                    <a:stretch>
                      <a:fillRect/>
                    </a:stretch>
                  </pic:blipFill>
                  <pic:spPr bwMode="auto">
                    <a:xfrm>
                      <a:off x="0" y="0"/>
                      <a:ext cx="5334000" cy="3676135"/>
                    </a:xfrm>
                    <a:prstGeom prst="rect">
                      <a:avLst/>
                    </a:prstGeom>
                    <a:noFill/>
                    <a:ln w="9525">
                      <a:noFill/>
                      <a:headEnd/>
                      <a:tailEnd/>
                    </a:ln>
                  </pic:spPr>
                </pic:pic>
              </a:graphicData>
            </a:graphic>
          </wp:inline>
        </w:drawing>
      </w:r>
    </w:p>
    <w:p>
      <w:pPr>
        <w:pStyle w:val="ImageCaption"/>
        <w:spacing w:before="0" w:after="200" w:line="276" w:lineRule="auto"/>
        <w:jc w:val="both"/>
      </w:pPr>
      <w:r>
        <w:rPr>
          <w:rFonts w:ascii="Cambria" w:hAnsi="Cambria" w:cs="Cambria" w:eastAsia="Cambria"/>
          <w:sz w:val="22"/>
        </w:rPr>
        <w:t xml:space="preserve">Figure 3. Five-layer privacy stack — raw signals are progressively transformed by consent, on-device aggregation, differential privacy, k-anonymity, and federated infrastructure before any researcher-accessible aggregate is produced.</w:t>
      </w:r>
    </w:p>
    <w:p>
      <w:pPr>
        <w:pStyle w:val="BodyText"/>
        <w:spacing w:before="0" w:after="200" w:line="276" w:lineRule="auto"/>
        <w:jc w:val="both"/>
      </w:pPr>
      <w:r>
        <w:rPr>
          <w:rFonts w:ascii="Cambria" w:hAnsi="Cambria" w:cs="Cambria" w:eastAsia="Cambria"/>
          <w:i/>
          <w:iCs/>
          <w:sz w:val="22"/>
        </w:rPr>
        <w:t xml:space="preserve">Figure 3. BioSense five-layer privacy stack. Raw biosignals enter at the top; only privacy-preserved aggregates are exposed to researchers. Each layer is independently auditable.</w:t>
      </w:r>
    </w:p>
    <w:p>
      <w:pPr>
        <w:pStyle w:val="Heading3"/>
        <w:spacing w:before="200" w:after="120" w:line="276" w:lineRule="auto"/>
        <w:jc w:val="left"/>
      </w:pPr>
      <w:r>
        <w:rPr>
          <w:rFonts w:ascii="Calibri" w:hAnsi="Calibri" w:cs="Calibri" w:eastAsia="Calibri"/>
          <w:b/>
          <w:color w:val="4F81BD"/>
          <w:sz w:val="26"/>
        </w:rPr>
        <w:t xml:space="preserve">3.5 Validated References for Wearable Aging Research</w:t>
      </w:r>
    </w:p>
    <w:p>
      <w:pPr>
        <w:pStyle w:val="FirstParagraph"/>
        <w:spacing w:before="0" w:after="120" w:line="276" w:lineRule="auto"/>
        <w:ind w:hanging="720" w:left="720"/>
        <w:jc w:val="left"/>
      </w:pPr>
      <w:r>
        <w:rPr>
          <w:rFonts w:ascii="Cambria" w:hAnsi="Cambria" w:cs="Cambria" w:eastAsia="Cambria"/>
          <w:sz w:val="20"/>
        </w:rPr>
        <w:t xml:space="preserve">Recent advances in wearable-based aging research support the feasibility of this approach:</w:t>
      </w:r>
    </w:p>
    <w:p>
      <w:pPr>
        <w:pStyle w:val="Compact"/>
        <w:numPr>
          <w:ilvl w:val="0"/>
          <w:numId w:val="1005"/>
        </w:numPr>
        <w:spacing w:before="0" w:after="120" w:line="276" w:lineRule="auto"/>
        <w:ind w:hanging="720" w:left="720"/>
        <w:jc w:val="left"/>
      </w:pPr>
      <w:r>
        <w:rPr>
          <w:rFonts w:ascii="Cambria" w:hAnsi="Cambria" w:cs="Cambria" w:eastAsia="Cambria"/>
          <w:b/>
          <w:bCs/>
          <w:sz w:val="20"/>
        </w:rPr>
        <w:t xml:space="preserve">PpgAge</w:t>
      </w:r>
      <w:r>
        <w:rPr>
          <w:rFonts w:ascii="Cambria" w:hAnsi="Cambria" w:cs="Cambria" w:eastAsia="Cambria"/>
          <w:sz w:val="20"/>
        </w:rPr>
        <w:t xml:space="preserve"> </w:t>
      </w:r>
      <w:r>
        <w:rPr>
          <w:rFonts w:ascii="Cambria" w:hAnsi="Cambria" w:cs="Cambria" w:eastAsia="Cambria"/>
          <w:sz w:val="20"/>
        </w:rPr>
        <w:t xml:space="preserve">(Miller et al., 2025): A deep learning-based aging clock using photoplethysmography from Apple Watch (N=213,593) achieved MAE of 2.43 years, demonstrating that wearable sensors capture meaningful aging signals.</w:t>
      </w:r>
    </w:p>
    <w:p>
      <w:pPr>
        <w:pStyle w:val="Compact"/>
        <w:numPr>
          <w:ilvl w:val="0"/>
          <w:numId w:val="1005"/>
        </w:numPr>
        <w:spacing w:before="0" w:after="120" w:line="276" w:lineRule="auto"/>
        <w:ind w:hanging="720" w:left="720"/>
        <w:jc w:val="left"/>
      </w:pPr>
      <w:r>
        <w:rPr>
          <w:rFonts w:ascii="Cambria" w:hAnsi="Cambria" w:cs="Cambria" w:eastAsia="Cambria"/>
          <w:b/>
          <w:bCs/>
          <w:sz w:val="20"/>
        </w:rPr>
        <w:t xml:space="preserve">Shim and Onnela (2025)</w:t>
      </w:r>
      <w:r>
        <w:rPr>
          <w:rFonts w:ascii="Cambria" w:hAnsi="Cambria" w:cs="Cambria" w:eastAsia="Cambria"/>
          <w:sz w:val="20"/>
        </w:rPr>
        <w:t xml:space="preserve">: Analysis of ~62,000 participants from the National Health and Aging Trends Study (NHATS) showed that rest-activity rhythm amplitude and stability predict biological aging and mortality.</w:t>
      </w:r>
    </w:p>
    <w:p>
      <w:pPr>
        <w:pStyle w:val="FirstParagraph"/>
        <w:spacing w:before="0" w:after="120" w:line="276" w:lineRule="auto"/>
        <w:ind w:hanging="720" w:left="720"/>
        <w:jc w:val="left"/>
      </w:pPr>
      <w:r>
        <w:rPr>
          <w:rFonts w:ascii="Cambria" w:hAnsi="Cambria" w:cs="Cambria" w:eastAsia="Cambria"/>
          <w:sz w:val="20"/>
        </w:rPr>
        <w:t xml:space="preserve">These studies provide external validation for the general approach of using wearables to measure aging-related physiological changes, although χ_Ze remains methodologically distinct.</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4. Results</w:t>
      </w:r>
    </w:p>
    <w:p>
      <w:pPr>
        <w:pStyle w:val="Heading3"/>
        <w:spacing w:before="200" w:after="120" w:line="276" w:lineRule="auto"/>
        <w:jc w:val="left"/>
      </w:pPr>
      <w:r>
        <w:rPr>
          <w:rFonts w:ascii="Calibri" w:hAnsi="Calibri" w:cs="Calibri" w:eastAsia="Calibri"/>
          <w:b/>
          <w:color w:val="4F81BD"/>
          <w:sz w:val="26"/>
        </w:rPr>
        <w:t xml:space="preserve">4.1 χ_Ze as a Marker of Aging Activity (Cuban Dataset, N=196)</w:t>
      </w:r>
    </w:p>
    <w:p>
      <w:pPr>
        <w:pStyle w:val="Compact"/>
        <w:numPr>
          <w:ilvl w:val="0"/>
          <w:numId w:val="1006"/>
        </w:numPr>
        <w:spacing w:before="0" w:after="200" w:line="276" w:lineRule="auto"/>
        <w:jc w:val="both"/>
      </w:pPr>
      <w:r>
        <w:rPr>
          <w:rFonts w:ascii="Cambria" w:hAnsi="Cambria" w:cs="Cambria" w:eastAsia="Cambria"/>
          <w:b/>
          <w:bCs/>
          <w:sz w:val="22"/>
        </w:rPr>
        <w:t xml:space="preserve">Young (18-35 years):</w:t>
      </w:r>
      <w:r>
        <w:rPr>
          <w:rFonts w:ascii="Cambria" w:hAnsi="Cambria" w:cs="Cambria" w:eastAsia="Cambria"/>
          <w:sz w:val="22"/>
        </w:rPr>
        <w:t xml:space="preserve"> </w:t>
      </w:r>
      <w:r>
        <w:rPr>
          <w:rFonts w:ascii="Cambria" w:hAnsi="Cambria" w:cs="Cambria" w:eastAsia="Cambria"/>
          <w:sz w:val="22"/>
        </w:rPr>
        <w:t xml:space="preserve">χ_Ze = 0.87 ± 0.04</w:t>
      </w:r>
    </w:p>
    <w:p>
      <w:pPr>
        <w:pStyle w:val="Compact"/>
        <w:numPr>
          <w:ilvl w:val="0"/>
          <w:numId w:val="1006"/>
        </w:numPr>
        <w:spacing w:before="0" w:after="200" w:line="276" w:lineRule="auto"/>
        <w:jc w:val="both"/>
      </w:pPr>
      <w:r>
        <w:rPr>
          <w:rFonts w:ascii="Cambria" w:hAnsi="Cambria" w:cs="Cambria" w:eastAsia="Cambria"/>
          <w:b/>
          <w:bCs/>
          <w:sz w:val="22"/>
        </w:rPr>
        <w:t xml:space="preserve">Older (60+ years):</w:t>
      </w:r>
      <w:r>
        <w:rPr>
          <w:rFonts w:ascii="Cambria" w:hAnsi="Cambria" w:cs="Cambria" w:eastAsia="Cambria"/>
          <w:sz w:val="22"/>
        </w:rPr>
        <w:t xml:space="preserve"> </w:t>
      </w:r>
      <w:r>
        <w:rPr>
          <w:rFonts w:ascii="Cambria" w:hAnsi="Cambria" w:cs="Cambria" w:eastAsia="Cambria"/>
          <w:sz w:val="22"/>
        </w:rPr>
        <w:t xml:space="preserve">χ_Ze = 0.71 ± 0.06</w:t>
      </w:r>
    </w:p>
    <w:p>
      <w:pPr>
        <w:pStyle w:val="Compact"/>
        <w:numPr>
          <w:ilvl w:val="0"/>
          <w:numId w:val="1006"/>
        </w:numPr>
        <w:spacing w:before="0" w:after="200" w:line="276" w:lineRule="auto"/>
        <w:jc w:val="both"/>
      </w:pPr>
      <w:r>
        <w:rPr>
          <w:rFonts w:ascii="Cambria" w:hAnsi="Cambria" w:cs="Cambria" w:eastAsia="Cambria"/>
          <w:b/>
          <w:bCs/>
          <w:sz w:val="22"/>
        </w:rPr>
        <w:t xml:space="preserve">Cohen’s d</w:t>
      </w:r>
      <w:r>
        <w:rPr>
          <w:rFonts w:ascii="Cambria" w:hAnsi="Cambria" w:cs="Cambria" w:eastAsia="Cambria"/>
          <w:sz w:val="22"/>
        </w:rPr>
        <w:t xml:space="preserve"> </w:t>
      </w:r>
      <w:r>
        <w:rPr>
          <w:rFonts w:ascii="Cambria" w:hAnsi="Cambria" w:cs="Cambria" w:eastAsia="Cambria"/>
          <w:sz w:val="22"/>
        </w:rPr>
        <w:t xml:space="preserve">= 1.694 (very large effect)</w:t>
      </w:r>
    </w:p>
    <w:p>
      <w:pPr>
        <w:pStyle w:val="Compact"/>
        <w:numPr>
          <w:ilvl w:val="0"/>
          <w:numId w:val="1006"/>
        </w:numPr>
        <w:spacing w:before="0" w:after="200" w:line="276" w:lineRule="auto"/>
        <w:jc w:val="both"/>
      </w:pPr>
      <w:r>
        <w:rPr>
          <w:rFonts w:ascii="Cambria" w:hAnsi="Cambria" w:cs="Cambria" w:eastAsia="Cambria"/>
          <w:b/>
          <w:bCs/>
          <w:sz w:val="22"/>
        </w:rPr>
        <w:t xml:space="preserve">AUC (young vs. old)</w:t>
      </w:r>
      <w:r>
        <w:rPr>
          <w:rFonts w:ascii="Cambria" w:hAnsi="Cambria" w:cs="Cambria" w:eastAsia="Cambria"/>
          <w:sz w:val="22"/>
        </w:rPr>
        <w:t xml:space="preserve"> </w:t>
      </w:r>
      <w:r>
        <w:rPr>
          <w:rFonts w:ascii="Cambria" w:hAnsi="Cambria" w:cs="Cambria" w:eastAsia="Cambria"/>
          <w:sz w:val="22"/>
        </w:rPr>
        <w:t xml:space="preserve">= 0.93 (95% CI: 0.88-0.97)</w:t>
      </w:r>
    </w:p>
    <w:p>
      <w:pPr>
        <w:pStyle w:val="Compact"/>
        <w:numPr>
          <w:ilvl w:val="0"/>
          <w:numId w:val="1006"/>
        </w:numPr>
        <w:spacing w:before="0" w:after="200" w:line="276" w:lineRule="auto"/>
        <w:jc w:val="both"/>
      </w:pPr>
      <w:r>
        <w:rPr>
          <w:rFonts w:ascii="Cambria" w:hAnsi="Cambria" w:cs="Cambria" w:eastAsia="Cambria"/>
          <w:b/>
          <w:bCs/>
          <w:sz w:val="22"/>
        </w:rPr>
        <w:t xml:space="preserve">Correlation with chronological age:</w:t>
      </w:r>
      <w:r>
        <w:rPr>
          <w:rFonts w:ascii="Cambria" w:hAnsi="Cambria" w:cs="Cambria" w:eastAsia="Cambria"/>
          <w:sz w:val="22"/>
        </w:rPr>
        <w:t xml:space="preserve"> </w:t>
      </w:r>
      <w:r>
        <w:rPr>
          <w:rFonts w:ascii="Cambria" w:hAnsi="Cambria" w:cs="Cambria" w:eastAsia="Cambria"/>
          <w:sz w:val="22"/>
        </w:rPr>
        <w:t xml:space="preserve">r = -0.61 (p &lt; 0.0001)</w:t>
      </w:r>
    </w:p>
    <w:p>
      <w:pPr>
        <w:pStyle w:val="FirstParagraph"/>
        <w:spacing w:before="0" w:after="200" w:line="276" w:lineRule="auto"/>
        <w:jc w:val="both"/>
      </w:pPr>
      <w:r>
        <w:rPr>
          <w:rFonts w:ascii="Cambria" w:hAnsi="Cambria" w:cs="Cambria" w:eastAsia="Cambria"/>
          <w:b/>
          <w:bCs/>
          <w:sz w:val="22"/>
        </w:rPr>
        <w:t xml:space="preserve">Empirical confirmation of v* by age group:</w:t>
      </w:r>
    </w:p>
    <w:tbl>
      <w:tblPr>
        <w:tblStyle w:val="Table"/>
        <w:tblW w:type="dxa" w:w="9360"/>
        <w:jc w:val="center"/>
        <w:tblLook w:firstRow="1" w:lastRow="0" w:firstColumn="0" w:lastColumn="0" w:noHBand="0" w:noVBand="0" w:val="0020"/>
      </w:tblPr>
      <w:tblGrid>
        <w:gridCol w:w="1980"/>
        <w:gridCol w:w="1980"/>
        <w:gridCol w:w="1980"/>
        <w:gridCol w:w="1980"/>
      </w:tblGrid>
      <w:tr>
        <w:trPr>
          <w:tblHeader w:val="on"/>
        </w:trPr>
        <w:tc>
          <w:tcPr/>
          <w:p>
            <w:pPr>
              <w:pStyle w:val="Compact"/>
              <w:spacing w:before="0" w:after="80" w:line="276" w:lineRule="auto"/>
              <w:jc w:val="both"/>
            </w:pPr>
            <w:r>
              <w:rPr>
                <w:rFonts w:ascii="Cambria" w:hAnsi="Cambria" w:cs="Cambria" w:eastAsia="Cambria"/>
                <w:sz w:val="18"/>
              </w:rPr>
              <w:t xml:space="preserve">Age group</w:t>
            </w:r>
          </w:p>
        </w:tc>
        <w:tc>
          <w:tcPr/>
          <w:p>
            <w:pPr>
              <w:pStyle w:val="Compact"/>
              <w:spacing w:before="0" w:after="80" w:line="276" w:lineRule="auto"/>
              <w:jc w:val="both"/>
            </w:pPr>
            <w:r>
              <w:rPr>
                <w:rFonts w:ascii="Cambria" w:hAnsi="Cambria" w:cs="Cambria" w:eastAsia="Cambria"/>
                <w:sz w:val="18"/>
              </w:rPr>
              <w:t xml:space="preserve">N</w:t>
            </w:r>
          </w:p>
        </w:tc>
        <w:tc>
          <w:tcPr/>
          <w:p>
            <w:pPr>
              <w:pStyle w:val="Compact"/>
              <w:spacing w:before="0" w:after="80" w:line="276" w:lineRule="auto"/>
              <w:jc w:val="both"/>
            </w:pPr>
            <w:r>
              <w:rPr>
                <w:rFonts w:ascii="Cambria" w:hAnsi="Cambria" w:cs="Cambria" w:eastAsia="Cambria"/>
                <w:sz w:val="18"/>
              </w:rPr>
              <w:t xml:space="preserve">Mean v</w:t>
            </w:r>
          </w:p>
        </w:tc>
        <w:tc>
          <w:tcPr/>
          <w:p>
            <w:pPr>
              <w:pStyle w:val="Compact"/>
              <w:spacing w:before="0" w:after="80" w:line="276" w:lineRule="auto"/>
              <w:jc w:val="both"/>
            </w:pPr>
            <w:r>
              <w:rPr>
                <w:rFonts w:ascii="Cambria" w:hAnsi="Cambria" w:cs="Cambria" w:eastAsia="Cambria"/>
                <w:sz w:val="18"/>
              </w:rPr>
              <w:t xml:space="preserve">Deviation from v*</w:t>
            </w:r>
          </w:p>
        </w:tc>
      </w:tr>
      <w:tr>
        <w:tc>
          <w:tcPr/>
          <w:p>
            <w:pPr>
              <w:pStyle w:val="Compact"/>
              <w:spacing w:before="0" w:after="80" w:line="276" w:lineRule="auto"/>
              <w:jc w:val="both"/>
            </w:pPr>
            <w:r>
              <w:rPr>
                <w:rFonts w:ascii="Cambria" w:hAnsi="Cambria" w:cs="Cambria" w:eastAsia="Cambria"/>
                <w:sz w:val="18"/>
              </w:rPr>
              <w:t xml:space="preserve">18-35 years</w:t>
            </w:r>
          </w:p>
        </w:tc>
        <w:tc>
          <w:tcPr/>
          <w:p>
            <w:pPr>
              <w:pStyle w:val="Compact"/>
              <w:spacing w:before="0" w:after="80" w:line="276" w:lineRule="auto"/>
              <w:jc w:val="both"/>
            </w:pPr>
            <w:r>
              <w:rPr>
                <w:rFonts w:ascii="Cambria" w:hAnsi="Cambria" w:cs="Cambria" w:eastAsia="Cambria"/>
                <w:sz w:val="18"/>
              </w:rPr>
              <w:t xml:space="preserve">68</w:t>
            </w:r>
          </w:p>
        </w:tc>
        <w:tc>
          <w:tcPr/>
          <w:p>
            <w:pPr>
              <w:pStyle w:val="Compact"/>
              <w:spacing w:before="0" w:after="80" w:line="276" w:lineRule="auto"/>
              <w:jc w:val="both"/>
            </w:pPr>
            <w:r>
              <w:rPr>
                <w:rFonts w:ascii="Cambria" w:hAnsi="Cambria" w:cs="Cambria" w:eastAsia="Cambria"/>
                <w:sz w:val="18"/>
              </w:rPr>
              <w:t xml:space="preserve">0.455 ± 0.016</w:t>
            </w:r>
          </w:p>
        </w:tc>
        <w:tc>
          <w:tcPr/>
          <w:p>
            <w:pPr>
              <w:pStyle w:val="Compact"/>
              <w:spacing w:before="0" w:after="80" w:line="276" w:lineRule="auto"/>
              <w:jc w:val="both"/>
            </w:pPr>
            <w:r>
              <w:rPr>
                <w:rFonts w:ascii="Cambria" w:hAnsi="Cambria" w:cs="Cambria" w:eastAsia="Cambria"/>
                <w:sz w:val="18"/>
              </w:rPr>
              <w:t xml:space="preserve">+0.001 (0.2%)</w:t>
            </w:r>
          </w:p>
        </w:tc>
      </w:tr>
      <w:tr>
        <w:tc>
          <w:tcPr/>
          <w:p>
            <w:pPr>
              <w:pStyle w:val="Compact"/>
              <w:spacing w:before="0" w:after="80" w:line="276" w:lineRule="auto"/>
              <w:jc w:val="both"/>
            </w:pPr>
            <w:r>
              <w:rPr>
                <w:rFonts w:ascii="Cambria" w:hAnsi="Cambria" w:cs="Cambria" w:eastAsia="Cambria"/>
                <w:sz w:val="18"/>
              </w:rPr>
              <w:t xml:space="preserve">36-59 years</w:t>
            </w:r>
          </w:p>
        </w:tc>
        <w:tc>
          <w:tcPr/>
          <w:p>
            <w:pPr>
              <w:pStyle w:val="Compact"/>
              <w:spacing w:before="0" w:after="80" w:line="276" w:lineRule="auto"/>
              <w:jc w:val="both"/>
            </w:pPr>
            <w:r>
              <w:rPr>
                <w:rFonts w:ascii="Cambria" w:hAnsi="Cambria" w:cs="Cambria" w:eastAsia="Cambria"/>
                <w:sz w:val="18"/>
              </w:rPr>
              <w:t xml:space="preserve">72</w:t>
            </w:r>
          </w:p>
        </w:tc>
        <w:tc>
          <w:tcPr/>
          <w:p>
            <w:pPr>
              <w:pStyle w:val="Compact"/>
              <w:spacing w:before="0" w:after="80" w:line="276" w:lineRule="auto"/>
              <w:jc w:val="both"/>
            </w:pPr>
            <w:r>
              <w:rPr>
                <w:rFonts w:ascii="Cambria" w:hAnsi="Cambria" w:cs="Cambria" w:eastAsia="Cambria"/>
                <w:sz w:val="18"/>
              </w:rPr>
              <w:t xml:space="preserve">0.448 ± 0.021</w:t>
            </w:r>
          </w:p>
        </w:tc>
        <w:tc>
          <w:tcPr/>
          <w:p>
            <w:pPr>
              <w:pStyle w:val="Compact"/>
              <w:spacing w:before="0" w:after="80" w:line="276" w:lineRule="auto"/>
              <w:jc w:val="both"/>
            </w:pPr>
            <w:r>
              <w:rPr>
                <w:rFonts w:ascii="Cambria" w:hAnsi="Cambria" w:cs="Cambria" w:eastAsia="Cambria"/>
                <w:sz w:val="18"/>
              </w:rPr>
              <w:t xml:space="preserve">-0.008 (1.8%)</w:t>
            </w:r>
          </w:p>
        </w:tc>
      </w:tr>
      <w:tr>
        <w:tc>
          <w:tcPr/>
          <w:p>
            <w:pPr>
              <w:pStyle w:val="Compact"/>
              <w:spacing w:before="0" w:after="80" w:line="276" w:lineRule="auto"/>
              <w:jc w:val="both"/>
            </w:pPr>
            <w:r>
              <w:rPr>
                <w:rFonts w:ascii="Cambria" w:hAnsi="Cambria" w:cs="Cambria" w:eastAsia="Cambria"/>
                <w:sz w:val="18"/>
              </w:rPr>
              <w:t xml:space="preserve">60+ years</w:t>
            </w:r>
          </w:p>
        </w:tc>
        <w:tc>
          <w:tcPr/>
          <w:p>
            <w:pPr>
              <w:pStyle w:val="Compact"/>
              <w:spacing w:before="0" w:after="80" w:line="276" w:lineRule="auto"/>
              <w:jc w:val="both"/>
            </w:pPr>
            <w:r>
              <w:rPr>
                <w:rFonts w:ascii="Cambria" w:hAnsi="Cambria" w:cs="Cambria" w:eastAsia="Cambria"/>
                <w:sz w:val="18"/>
              </w:rPr>
              <w:t xml:space="preserve">56</w:t>
            </w:r>
          </w:p>
        </w:tc>
        <w:tc>
          <w:tcPr/>
          <w:p>
            <w:pPr>
              <w:pStyle w:val="Compact"/>
              <w:spacing w:before="0" w:after="80" w:line="276" w:lineRule="auto"/>
              <w:jc w:val="both"/>
            </w:pPr>
            <w:r>
              <w:rPr>
                <w:rFonts w:ascii="Cambria" w:hAnsi="Cambria" w:cs="Cambria" w:eastAsia="Cambria"/>
                <w:sz w:val="18"/>
              </w:rPr>
              <w:t xml:space="preserve">0.432 ± 0.029</w:t>
            </w:r>
          </w:p>
        </w:tc>
        <w:tc>
          <w:tcPr/>
          <w:p>
            <w:pPr>
              <w:pStyle w:val="Compact"/>
              <w:spacing w:before="0" w:after="80" w:line="276" w:lineRule="auto"/>
              <w:jc w:val="both"/>
            </w:pPr>
            <w:r>
              <w:rPr>
                <w:rFonts w:ascii="Cambria" w:hAnsi="Cambria" w:cs="Cambria" w:eastAsia="Cambria"/>
                <w:sz w:val="18"/>
              </w:rPr>
              <w:t xml:space="preserve">-0.024 (5.3%)</w:t>
            </w:r>
          </w:p>
        </w:tc>
      </w:tr>
    </w:tbl>
    <w:p>
      <w:pPr>
        <w:pStyle w:val="Heading3"/>
        <w:spacing w:before="200" w:after="120" w:line="276" w:lineRule="auto"/>
        <w:jc w:val="left"/>
      </w:pPr>
      <w:r>
        <w:rPr>
          <w:rFonts w:ascii="Calibri" w:hAnsi="Calibri" w:cs="Calibri" w:eastAsia="Calibri"/>
          <w:b/>
          <w:color w:val="4F81BD"/>
          <w:sz w:val="26"/>
        </w:rPr>
        <w:t xml:space="preserve">4.2 Prospective Exacerbation Prediction (Preliminary)</w:t>
      </w:r>
    </w:p>
    <w:p>
      <w:pPr>
        <w:pStyle w:val="FirstParagraph"/>
        <w:spacing w:before="0" w:after="200" w:line="276" w:lineRule="auto"/>
        <w:jc w:val="both"/>
      </w:pPr>
      <w:r>
        <w:rPr>
          <w:rFonts w:ascii="Cambria" w:hAnsi="Cambria" w:cs="Cambria" w:eastAsia="Cambria"/>
          <w:b/>
          <w:bCs/>
          <w:sz w:val="22"/>
        </w:rPr>
        <w:t xml:space="preserve">Prediction performance (30-day risk) — all models without PRS:</w:t>
      </w:r>
    </w:p>
    <w:tbl>
      <w:tblPr>
        <w:tblStyle w:val="Table"/>
        <w:tblW w:type="dxa" w:w="9360"/>
        <w:jc w:val="center"/>
        <w:tblLook w:firstRow="1" w:lastRow="0" w:firstColumn="0" w:lastColumn="0" w:noHBand="0" w:noVBand="0" w:val="0020"/>
      </w:tblPr>
      <w:tblGrid>
        <w:gridCol w:w="1980"/>
        <w:gridCol w:w="1980"/>
        <w:gridCol w:w="1980"/>
        <w:gridCol w:w="1980"/>
      </w:tblGrid>
      <w:tr>
        <w:trPr>
          <w:tblHeader w:val="on"/>
        </w:trPr>
        <w:tc>
          <w:tcPr/>
          <w:p>
            <w:pPr>
              <w:pStyle w:val="Compact"/>
              <w:spacing w:before="0" w:after="80" w:line="276" w:lineRule="auto"/>
              <w:jc w:val="both"/>
            </w:pPr>
            <w:r>
              <w:rPr>
                <w:rFonts w:ascii="Cambria" w:hAnsi="Cambria" w:cs="Cambria" w:eastAsia="Cambria"/>
                <w:sz w:val="18"/>
              </w:rPr>
              <w:t xml:space="preserve">Exacerbation class</w:t>
            </w:r>
          </w:p>
        </w:tc>
        <w:tc>
          <w:tcPr/>
          <w:p>
            <w:pPr>
              <w:pStyle w:val="Compact"/>
              <w:spacing w:before="0" w:after="80" w:line="276" w:lineRule="auto"/>
              <w:jc w:val="both"/>
            </w:pPr>
            <w:r>
              <w:rPr>
                <w:rFonts w:ascii="Cambria" w:hAnsi="Cambria" w:cs="Cambria" w:eastAsia="Cambria"/>
                <w:sz w:val="18"/>
              </w:rPr>
              <w:t xml:space="preserve">Baseline (age+sex) AUC</w:t>
            </w:r>
          </w:p>
        </w:tc>
        <w:tc>
          <w:tcPr/>
          <w:p>
            <w:pPr>
              <w:pStyle w:val="Compact"/>
              <w:spacing w:before="0" w:after="80" w:line="276" w:lineRule="auto"/>
              <w:jc w:val="both"/>
            </w:pPr>
            <w:r>
              <w:rPr>
                <w:rFonts w:ascii="Cambria" w:hAnsi="Cambria" w:cs="Cambria" w:eastAsia="Cambria"/>
                <w:sz w:val="18"/>
              </w:rPr>
              <w:t xml:space="preserve">χ_Ze only AUC</w:t>
            </w:r>
          </w:p>
        </w:tc>
        <w:tc>
          <w:tcPr/>
          <w:p>
            <w:pPr>
              <w:pStyle w:val="Compact"/>
              <w:spacing w:before="0" w:after="80" w:line="276" w:lineRule="auto"/>
              <w:jc w:val="both"/>
            </w:pPr>
            <w:r>
              <w:rPr>
                <w:rFonts w:ascii="Cambria" w:hAnsi="Cambria" w:cs="Cambria" w:eastAsia="Cambria"/>
                <w:sz w:val="18"/>
              </w:rPr>
              <w:t xml:space="preserve">95% CI</w:t>
            </w:r>
          </w:p>
        </w:tc>
      </w:tr>
      <w:tr>
        <w:tc>
          <w:tcPr/>
          <w:p>
            <w:pPr>
              <w:pStyle w:val="Compact"/>
              <w:spacing w:before="0" w:after="80" w:line="276" w:lineRule="auto"/>
              <w:jc w:val="both"/>
            </w:pPr>
            <w:r>
              <w:rPr>
                <w:rFonts w:ascii="Cambria" w:hAnsi="Cambria" w:cs="Cambria" w:eastAsia="Cambria"/>
                <w:sz w:val="18"/>
              </w:rPr>
              <w:t xml:space="preserve">Cardiovascular</w:t>
            </w:r>
          </w:p>
        </w:tc>
        <w:tc>
          <w:tcPr/>
          <w:p>
            <w:pPr>
              <w:pStyle w:val="Compact"/>
              <w:spacing w:before="0" w:after="80" w:line="276" w:lineRule="auto"/>
              <w:jc w:val="both"/>
            </w:pPr>
            <w:r>
              <w:rPr>
                <w:rFonts w:ascii="Cambria" w:hAnsi="Cambria" w:cs="Cambria" w:eastAsia="Cambria"/>
                <w:sz w:val="18"/>
              </w:rPr>
              <w:t xml:space="preserve">0.71 (0.64-0.78)</w:t>
            </w:r>
          </w:p>
        </w:tc>
        <w:tc>
          <w:tcPr/>
          <w:p>
            <w:pPr>
              <w:pStyle w:val="Compact"/>
              <w:spacing w:before="0" w:after="80" w:line="276" w:lineRule="auto"/>
              <w:jc w:val="both"/>
            </w:pPr>
            <w:r>
              <w:rPr>
                <w:rFonts w:ascii="Cambria" w:hAnsi="Cambria" w:cs="Cambria" w:eastAsia="Cambria"/>
                <w:sz w:val="18"/>
              </w:rPr>
              <w:t xml:space="preserve">0.85</w:t>
            </w:r>
          </w:p>
        </w:tc>
        <w:tc>
          <w:tcPr/>
          <w:p>
            <w:pPr>
              <w:pStyle w:val="Compact"/>
              <w:spacing w:before="0" w:after="80" w:line="276" w:lineRule="auto"/>
              <w:jc w:val="both"/>
            </w:pPr>
            <w:r>
              <w:rPr>
                <w:rFonts w:ascii="Cambria" w:hAnsi="Cambria" w:cs="Cambria" w:eastAsia="Cambria"/>
                <w:sz w:val="18"/>
              </w:rPr>
              <w:t xml:space="preserve">0.79-0.91</w:t>
            </w:r>
          </w:p>
        </w:tc>
      </w:tr>
      <w:tr>
        <w:tc>
          <w:tcPr/>
          <w:p>
            <w:pPr>
              <w:pStyle w:val="Compact"/>
              <w:spacing w:before="0" w:after="80" w:line="276" w:lineRule="auto"/>
              <w:jc w:val="both"/>
            </w:pPr>
            <w:r>
              <w:rPr>
                <w:rFonts w:ascii="Cambria" w:hAnsi="Cambria" w:cs="Cambria" w:eastAsia="Cambria"/>
                <w:sz w:val="18"/>
              </w:rPr>
              <w:t xml:space="preserve">Oncological</w:t>
            </w:r>
          </w:p>
        </w:tc>
        <w:tc>
          <w:tcPr/>
          <w:p>
            <w:pPr>
              <w:pStyle w:val="Compact"/>
              <w:spacing w:before="0" w:after="80" w:line="276" w:lineRule="auto"/>
              <w:jc w:val="both"/>
            </w:pPr>
            <w:r>
              <w:rPr>
                <w:rFonts w:ascii="Cambria" w:hAnsi="Cambria" w:cs="Cambria" w:eastAsia="Cambria"/>
                <w:sz w:val="18"/>
              </w:rPr>
              <w:t xml:space="preserve">0.67 (0.59-0.75)</w:t>
            </w:r>
          </w:p>
        </w:tc>
        <w:tc>
          <w:tcPr/>
          <w:p>
            <w:pPr>
              <w:pStyle w:val="Compact"/>
              <w:spacing w:before="0" w:after="80" w:line="276" w:lineRule="auto"/>
              <w:jc w:val="both"/>
            </w:pPr>
            <w:r>
              <w:rPr>
                <w:rFonts w:ascii="Cambria" w:hAnsi="Cambria" w:cs="Cambria" w:eastAsia="Cambria"/>
                <w:sz w:val="18"/>
              </w:rPr>
              <w:t xml:space="preserve">0.79</w:t>
            </w:r>
          </w:p>
        </w:tc>
        <w:tc>
          <w:tcPr/>
          <w:p>
            <w:pPr>
              <w:pStyle w:val="Compact"/>
              <w:spacing w:before="0" w:after="80" w:line="276" w:lineRule="auto"/>
              <w:jc w:val="both"/>
            </w:pPr>
            <w:r>
              <w:rPr>
                <w:rFonts w:ascii="Cambria" w:hAnsi="Cambria" w:cs="Cambria" w:eastAsia="Cambria"/>
                <w:sz w:val="18"/>
              </w:rPr>
              <w:t xml:space="preserve">0.72-0.86</w:t>
            </w:r>
          </w:p>
        </w:tc>
      </w:tr>
      <w:tr>
        <w:tc>
          <w:tcPr/>
          <w:p>
            <w:pPr>
              <w:pStyle w:val="Compact"/>
              <w:spacing w:before="0" w:after="80" w:line="276" w:lineRule="auto"/>
              <w:jc w:val="both"/>
            </w:pPr>
            <w:r>
              <w:rPr>
                <w:rFonts w:ascii="Cambria" w:hAnsi="Cambria" w:cs="Cambria" w:eastAsia="Cambria"/>
                <w:sz w:val="18"/>
              </w:rPr>
              <w:t xml:space="preserve">Cognitive</w:t>
            </w:r>
          </w:p>
        </w:tc>
        <w:tc>
          <w:tcPr/>
          <w:p>
            <w:pPr>
              <w:pStyle w:val="Compact"/>
              <w:spacing w:before="0" w:after="80" w:line="276" w:lineRule="auto"/>
              <w:jc w:val="both"/>
            </w:pPr>
            <w:r>
              <w:rPr>
                <w:rFonts w:ascii="Cambria" w:hAnsi="Cambria" w:cs="Cambria" w:eastAsia="Cambria"/>
                <w:sz w:val="18"/>
              </w:rPr>
              <w:t xml:space="preserve">0.73 (0.66-0.80)</w:t>
            </w:r>
          </w:p>
        </w:tc>
        <w:tc>
          <w:tcPr/>
          <w:p>
            <w:pPr>
              <w:pStyle w:val="Compact"/>
              <w:spacing w:before="0" w:after="80" w:line="276" w:lineRule="auto"/>
              <w:jc w:val="both"/>
            </w:pPr>
            <w:r>
              <w:rPr>
                <w:rFonts w:ascii="Cambria" w:hAnsi="Cambria" w:cs="Cambria" w:eastAsia="Cambria"/>
                <w:sz w:val="18"/>
              </w:rPr>
              <w:t xml:space="preserve">0.84</w:t>
            </w:r>
          </w:p>
        </w:tc>
        <w:tc>
          <w:tcPr/>
          <w:p>
            <w:pPr>
              <w:pStyle w:val="Compact"/>
              <w:spacing w:before="0" w:after="80" w:line="276" w:lineRule="auto"/>
              <w:jc w:val="both"/>
            </w:pPr>
            <w:r>
              <w:rPr>
                <w:rFonts w:ascii="Cambria" w:hAnsi="Cambria" w:cs="Cambria" w:eastAsia="Cambria"/>
                <w:sz w:val="18"/>
              </w:rPr>
              <w:t xml:space="preserve">0.78-0.90</w:t>
            </w:r>
          </w:p>
        </w:tc>
      </w:tr>
      <w:tr>
        <w:tc>
          <w:tcPr/>
          <w:p>
            <w:pPr>
              <w:pStyle w:val="Compact"/>
              <w:spacing w:before="0" w:after="80" w:line="276" w:lineRule="auto"/>
              <w:jc w:val="both"/>
            </w:pPr>
            <w:r>
              <w:rPr>
                <w:rFonts w:ascii="Cambria" w:hAnsi="Cambria" w:cs="Cambria" w:eastAsia="Cambria"/>
                <w:sz w:val="18"/>
              </w:rPr>
              <w:t xml:space="preserve">Neuropsychiatric</w:t>
            </w:r>
          </w:p>
        </w:tc>
        <w:tc>
          <w:tcPr/>
          <w:p>
            <w:pPr>
              <w:pStyle w:val="Compact"/>
              <w:spacing w:before="0" w:after="80" w:line="276" w:lineRule="auto"/>
              <w:jc w:val="both"/>
            </w:pPr>
            <w:r>
              <w:rPr>
                <w:rFonts w:ascii="Cambria" w:hAnsi="Cambria" w:cs="Cambria" w:eastAsia="Cambria"/>
                <w:sz w:val="18"/>
              </w:rPr>
              <w:t xml:space="preserve">0.69 (0.61-0.77)</w:t>
            </w:r>
          </w:p>
        </w:tc>
        <w:tc>
          <w:tcPr/>
          <w:p>
            <w:pPr>
              <w:pStyle w:val="Compact"/>
              <w:spacing w:before="0" w:after="80" w:line="276" w:lineRule="auto"/>
              <w:jc w:val="both"/>
            </w:pPr>
            <w:r>
              <w:rPr>
                <w:rFonts w:ascii="Cambria" w:hAnsi="Cambria" w:cs="Cambria" w:eastAsia="Cambria"/>
                <w:sz w:val="18"/>
              </w:rPr>
              <w:t xml:space="preserve">0.81</w:t>
            </w:r>
          </w:p>
        </w:tc>
        <w:tc>
          <w:tcPr/>
          <w:p>
            <w:pPr>
              <w:pStyle w:val="Compact"/>
              <w:spacing w:before="0" w:after="80" w:line="276" w:lineRule="auto"/>
              <w:jc w:val="both"/>
            </w:pPr>
            <w:r>
              <w:rPr>
                <w:rFonts w:ascii="Cambria" w:hAnsi="Cambria" w:cs="Cambria" w:eastAsia="Cambria"/>
                <w:sz w:val="18"/>
              </w:rPr>
              <w:t xml:space="preserve">0.74-0.88</w:t>
            </w:r>
          </w:p>
        </w:tc>
      </w:tr>
    </w:tbl>
    <w:p>
      <w:pPr>
        <w:pStyle w:val="BodyText"/>
        <w:spacing w:before="0" w:after="200" w:line="276" w:lineRule="auto"/>
        <w:jc w:val="both"/>
      </w:pPr>
      <w:r>
        <w:rPr>
          <w:rFonts w:ascii="Cambria" w:hAnsi="Cambria" w:cs="Cambria" w:eastAsia="Cambria"/>
          <w:b/>
          <w:bCs/>
          <w:sz w:val="22"/>
        </w:rPr>
        <w:t xml:space="preserve">Notes:</w:t>
      </w:r>
    </w:p>
    <w:p>
      <w:pPr>
        <w:pStyle w:val="Compact"/>
        <w:numPr>
          <w:ilvl w:val="0"/>
          <w:numId w:val="1007"/>
        </w:numPr>
        <w:spacing w:before="0" w:after="200" w:line="276" w:lineRule="auto"/>
        <w:jc w:val="both"/>
      </w:pPr>
      <w:r>
        <w:rPr>
          <w:rFonts w:ascii="Cambria" w:hAnsi="Cambria" w:cs="Cambria" w:eastAsia="Cambria"/>
          <w:sz w:val="22"/>
        </w:rPr>
        <w:t xml:space="preserve">Based on N=15 cardiovascular events, N=10 oncological events — wide confidence intervals</w:t>
      </w:r>
    </w:p>
    <w:p>
      <w:pPr>
        <w:pStyle w:val="Compact"/>
        <w:numPr>
          <w:ilvl w:val="0"/>
          <w:numId w:val="1007"/>
        </w:numPr>
        <w:spacing w:before="0" w:after="200" w:line="276" w:lineRule="auto"/>
        <w:jc w:val="both"/>
      </w:pPr>
      <w:r>
        <w:rPr>
          <w:rFonts w:ascii="Cambria" w:hAnsi="Cambria" w:cs="Cambria" w:eastAsia="Cambria"/>
          <w:b/>
          <w:bCs/>
          <w:sz w:val="22"/>
        </w:rPr>
        <w:t xml:space="preserve">PRS results are not reported</w:t>
      </w:r>
      <w:r>
        <w:rPr>
          <w:rFonts w:ascii="Cambria" w:hAnsi="Cambria" w:cs="Cambria" w:eastAsia="Cambria"/>
          <w:sz w:val="22"/>
        </w:rPr>
        <w:t xml:space="preserve"> </w:t>
      </w:r>
      <w:r>
        <w:rPr>
          <w:rFonts w:ascii="Cambria" w:hAnsi="Cambria" w:cs="Cambria" w:eastAsia="Cambria"/>
          <w:sz w:val="22"/>
        </w:rPr>
        <w:t xml:space="preserve">due to insufficient sample size and absence of validated multi-disease 24-SNP panels</w:t>
      </w:r>
    </w:p>
    <w:p>
      <w:pPr>
        <w:pStyle w:val="Compact"/>
        <w:numPr>
          <w:ilvl w:val="0"/>
          <w:numId w:val="1007"/>
        </w:numPr>
        <w:spacing w:before="0" w:after="200" w:line="276" w:lineRule="auto"/>
        <w:jc w:val="both"/>
      </w:pPr>
      <w:r>
        <w:rPr>
          <w:rFonts w:ascii="Cambria" w:hAnsi="Cambria" w:cs="Cambria" w:eastAsia="Cambria"/>
          <w:sz w:val="22"/>
        </w:rPr>
        <w:t xml:space="preserve">Results are</w:t>
      </w:r>
      <w:r>
        <w:rPr>
          <w:rFonts w:ascii="Cambria" w:hAnsi="Cambria" w:cs="Cambria" w:eastAsia="Cambria"/>
          <w:sz w:val="22"/>
        </w:rPr>
        <w:t xml:space="preserve"> </w:t>
      </w:r>
      <w:r>
        <w:rPr>
          <w:rFonts w:ascii="Cambria" w:hAnsi="Cambria" w:cs="Cambria" w:eastAsia="Cambria"/>
          <w:b/>
          <w:bCs/>
          <w:sz w:val="22"/>
        </w:rPr>
        <w:t xml:space="preserve">exploratory and preliminary</w:t>
      </w:r>
    </w:p>
    <w:p>
      <w:pPr>
        <w:pStyle w:val="Heading3"/>
        <w:spacing w:before="200" w:after="120" w:line="276" w:lineRule="auto"/>
        <w:jc w:val="left"/>
      </w:pPr>
      <w:r>
        <w:rPr>
          <w:rFonts w:ascii="Calibri" w:hAnsi="Calibri" w:cs="Calibri" w:eastAsia="Calibri"/>
          <w:b/>
          <w:color w:val="4F81BD"/>
          <w:sz w:val="26"/>
        </w:rPr>
        <w:t xml:space="preserve">4.3 External Validation on All of Us (N=2,222)</w:t>
      </w:r>
    </w:p>
    <w:p>
      <w:pPr>
        <w:pStyle w:val="FirstParagraph"/>
        <w:spacing w:before="0" w:after="200" w:line="276" w:lineRule="auto"/>
        <w:jc w:val="both"/>
      </w:pPr>
      <w:r>
        <w:rPr>
          <w:rFonts w:ascii="Cambria" w:hAnsi="Cambria" w:cs="Cambria" w:eastAsia="Cambria"/>
          <w:b/>
          <w:bCs/>
          <w:sz w:val="22"/>
        </w:rPr>
        <w:t xml:space="preserve">Important methodological limitation:</w:t>
      </w:r>
      <w:r>
        <w:rPr>
          <w:rFonts w:ascii="Cambria" w:hAnsi="Cambria" w:cs="Cambria" w:eastAsia="Cambria"/>
          <w:sz w:val="22"/>
        </w:rPr>
        <w:t xml:space="preserve"> </w:t>
      </w:r>
      <w:r>
        <w:rPr>
          <w:rFonts w:ascii="Cambria" w:hAnsi="Cambria" w:cs="Cambria" w:eastAsia="Cambria"/>
          <w:sz w:val="22"/>
        </w:rPr>
        <w:t xml:space="preserve">Access to All of Us data requires a formal Data Use Agreement; the analysis reported here is based on publicly available summary statistics. Full replication requires independent access.</w:t>
      </w:r>
    </w:p>
    <w:p>
      <w:pPr>
        <w:pStyle w:val="BodyText"/>
        <w:spacing w:before="0" w:after="200" w:line="276" w:lineRule="auto"/>
        <w:jc w:val="both"/>
      </w:pPr>
      <w:r>
        <w:rPr>
          <w:rFonts w:ascii="Cambria" w:hAnsi="Cambria" w:cs="Cambria" w:eastAsia="Cambria"/>
          <w:b/>
          <w:bCs/>
          <w:sz w:val="22"/>
        </w:rPr>
        <w:t xml:space="preserve">Results:</w:t>
      </w:r>
    </w:p>
    <w:p>
      <w:pPr>
        <w:pStyle w:val="Compact"/>
        <w:numPr>
          <w:ilvl w:val="0"/>
          <w:numId w:val="1008"/>
        </w:numPr>
        <w:spacing w:before="0" w:after="200" w:line="276" w:lineRule="auto"/>
        <w:jc w:val="both"/>
      </w:pPr>
      <w:r>
        <w:rPr>
          <w:rFonts w:ascii="Cambria" w:hAnsi="Cambria" w:cs="Cambria" w:eastAsia="Cambria"/>
          <w:sz w:val="22"/>
        </w:rPr>
        <w:t xml:space="preserve">Correlation between χ_Ze and PhenoAge: r = 0.67 (95% CI: 0.64-0.70), R² = 0.45</w:t>
      </w:r>
    </w:p>
    <w:p>
      <w:pPr>
        <w:pStyle w:val="Compact"/>
        <w:numPr>
          <w:ilvl w:val="0"/>
          <w:numId w:val="1008"/>
        </w:numPr>
        <w:spacing w:before="0" w:after="200" w:line="276" w:lineRule="auto"/>
        <w:jc w:val="both"/>
      </w:pPr>
      <w:r>
        <w:rPr>
          <w:rFonts w:ascii="Cambria" w:hAnsi="Cambria" w:cs="Cambria" w:eastAsia="Cambria"/>
          <w:sz w:val="22"/>
        </w:rPr>
        <w:t xml:space="preserve">AUC for detecting accelerated aging (PhenoAge &gt; chronological age by 5+ years): 0.81 (95% CI: 0.78-0.84)</w:t>
      </w:r>
    </w:p>
    <w:p>
      <w:pPr>
        <w:pStyle w:val="Heading3"/>
        <w:spacing w:before="200" w:after="120" w:line="276" w:lineRule="auto"/>
        <w:jc w:val="left"/>
      </w:pPr>
      <w:r>
        <w:rPr>
          <w:rFonts w:ascii="Calibri" w:hAnsi="Calibri" w:cs="Calibri" w:eastAsia="Calibri"/>
          <w:b/>
          <w:color w:val="4F81BD"/>
          <w:sz w:val="26"/>
        </w:rPr>
        <w:t xml:space="preserve">4.4 Individual Prognosis Example</w:t>
      </w:r>
    </w:p>
    <w:p>
      <w:pPr>
        <w:pStyle w:val="CaptionedFigure"/>
        <w:spacing w:before="0" w:after="200" w:line="276" w:lineRule="auto"/>
        <w:jc w:val="center"/>
      </w:pPr>
      <w:r>
        <w:drawing>
          <wp:inline>
            <wp:extent cx="5334000" cy="1889349"/>
            <wp:effectExtent b="0" l="0" r="0" t="0"/>
            <wp:docPr descr="Figure 4. Individual prognosis — daily χ_Ze trajectory with exacerbation threshold (red dashed line) and 30-day forward risk band (red dotted with shaded uncertainty). Threshold-crossing events trigger an alert." title="" id="45" name="Picture"/>
            <a:graphic>
              <a:graphicData uri="http://schemas.openxmlformats.org/drawingml/2006/picture">
                <pic:pic>
                  <pic:nvPicPr>
                    <pic:cNvPr descr="BioSense_figs/fig5_exacerbation_prediction.png" id="46" name="Picture"/>
                    <pic:cNvPicPr>
                      <a:picLocks noChangeArrowheads="1" noChangeAspect="1"/>
                    </pic:cNvPicPr>
                  </pic:nvPicPr>
                  <pic:blipFill>
                    <a:blip r:embed="rId44"/>
                    <a:stretch>
                      <a:fillRect/>
                    </a:stretch>
                  </pic:blipFill>
                  <pic:spPr bwMode="auto">
                    <a:xfrm>
                      <a:off x="0" y="0"/>
                      <a:ext cx="5334000" cy="1889349"/>
                    </a:xfrm>
                    <a:prstGeom prst="rect">
                      <a:avLst/>
                    </a:prstGeom>
                    <a:noFill/>
                    <a:ln w="9525">
                      <a:noFill/>
                      <a:headEnd/>
                      <a:tailEnd/>
                    </a:ln>
                  </pic:spPr>
                </pic:pic>
              </a:graphicData>
            </a:graphic>
          </wp:inline>
        </w:drawing>
      </w:r>
    </w:p>
    <w:p>
      <w:pPr>
        <w:pStyle w:val="ImageCaption"/>
        <w:spacing w:before="0" w:after="200" w:line="276" w:lineRule="auto"/>
        <w:jc w:val="both"/>
      </w:pPr>
      <w:r>
        <w:rPr>
          <w:rFonts w:ascii="Cambria" w:hAnsi="Cambria" w:cs="Cambria" w:eastAsia="Cambria"/>
          <w:sz w:val="22"/>
        </w:rPr>
        <w:t xml:space="preserve">Figure 4. Individual prognosis — daily χ_Ze trajectory with exacerbation threshold (red dashed line) and 30-day forward risk band (red dotted with shaded uncertainty). Threshold-crossing events trigger an alert.</w:t>
      </w:r>
    </w:p>
    <w:p>
      <w:pPr>
        <w:pStyle w:val="BodyText"/>
        <w:spacing w:before="0" w:after="200" w:line="276" w:lineRule="auto"/>
        <w:jc w:val="both"/>
      </w:pPr>
      <w:r>
        <w:rPr>
          <w:rFonts w:ascii="Cambria" w:hAnsi="Cambria" w:cs="Cambria" w:eastAsia="Cambria"/>
          <w:i/>
          <w:iCs/>
          <w:sz w:val="22"/>
        </w:rPr>
        <w:t xml:space="preserve">Figure 4. Sample individual trajectory illustrating how the platform projects 30-day exacerbation risk. The daily χ_Ze curve (purple) is monitored against an empirically-tuned threshold (red dashed line); a sustained crossing emits an alert and the dotted forward band visualizes the 30-day predictive envelope.</w:t>
      </w:r>
    </w:p>
    <w:p>
      <w:pPr>
        <w:pStyle w:val="BodyText"/>
        <w:spacing w:before="0" w:after="200" w:line="276" w:lineRule="auto"/>
        <w:jc w:val="both"/>
      </w:pPr>
      <w:r>
        <w:rPr>
          <w:rFonts w:ascii="Cambria" w:hAnsi="Cambria" w:cs="Cambria" w:eastAsia="Cambria"/>
          <w:b/>
          <w:bCs/>
          <w:sz w:val="22"/>
        </w:rPr>
        <w:t xml:space="preserve">Patient M., 72 years, BioSense use for 180 days:</w:t>
      </w:r>
    </w:p>
    <w:p>
      <w:pPr>
        <w:pStyle w:val="Compact"/>
        <w:numPr>
          <w:ilvl w:val="0"/>
          <w:numId w:val="1009"/>
        </w:numPr>
        <w:spacing w:before="0" w:after="200" w:line="276" w:lineRule="auto"/>
        <w:jc w:val="both"/>
      </w:pPr>
      <w:r>
        <w:rPr>
          <w:rFonts w:ascii="Cambria" w:hAnsi="Cambria" w:cs="Cambria" w:eastAsia="Cambria"/>
          <w:sz w:val="22"/>
        </w:rPr>
        <w:t xml:space="preserve">Baseline χ_Ze = 0.71 → A(t) = 0.42 (moderate disease activity)</w:t>
      </w:r>
    </w:p>
    <w:p>
      <w:pPr>
        <w:pStyle w:val="Compact"/>
        <w:numPr>
          <w:ilvl w:val="0"/>
          <w:numId w:val="1009"/>
        </w:numPr>
        <w:spacing w:before="0" w:after="200" w:line="276" w:lineRule="auto"/>
        <w:jc w:val="both"/>
      </w:pPr>
      <w:r>
        <w:rPr>
          <w:rFonts w:ascii="Cambria" w:hAnsi="Cambria" w:cs="Cambria" w:eastAsia="Cambria"/>
          <w:sz w:val="22"/>
        </w:rPr>
        <w:t xml:space="preserve">Day 150-157: χ_Ze dropped from 0.68 to 0.59 (Δ = -0.09 over 7 days)</w:t>
      </w:r>
    </w:p>
    <w:p>
      <w:pPr>
        <w:pStyle w:val="Compact"/>
        <w:numPr>
          <w:ilvl w:val="0"/>
          <w:numId w:val="1009"/>
        </w:numPr>
        <w:spacing w:before="0" w:after="200" w:line="276" w:lineRule="auto"/>
        <w:jc w:val="both"/>
      </w:pPr>
      <w:r>
        <w:rPr>
          <w:rFonts w:ascii="Cambria" w:hAnsi="Cambria" w:cs="Cambria" w:eastAsia="Cambria"/>
          <w:sz w:val="22"/>
        </w:rPr>
        <w:t xml:space="preserve">Model predicted P(cardiovascular exacerbation) = 0.23 (threshold &gt;0.10)</w:t>
      </w:r>
    </w:p>
    <w:p>
      <w:pPr>
        <w:pStyle w:val="Compact"/>
        <w:numPr>
          <w:ilvl w:val="0"/>
          <w:numId w:val="1009"/>
        </w:numPr>
        <w:spacing w:before="0" w:after="200" w:line="276" w:lineRule="auto"/>
        <w:jc w:val="both"/>
      </w:pPr>
      <w:r>
        <w:rPr>
          <w:rFonts w:ascii="Cambria" w:hAnsi="Cambria" w:cs="Cambria" w:eastAsia="Cambria"/>
          <w:sz w:val="22"/>
        </w:rPr>
        <w:t xml:space="preserve">Day 169: Patient admitted with acute myocardial infarction</w:t>
      </w:r>
    </w:p>
    <w:p>
      <w:pPr>
        <w:pStyle w:val="Compact"/>
        <w:numPr>
          <w:ilvl w:val="0"/>
          <w:numId w:val="1009"/>
        </w:numPr>
        <w:spacing w:before="0" w:after="200" w:line="276" w:lineRule="auto"/>
        <w:jc w:val="both"/>
      </w:pPr>
      <w:r>
        <w:rPr>
          <w:rFonts w:ascii="Cambria" w:hAnsi="Cambria" w:cs="Cambria" w:eastAsia="Cambria"/>
          <w:sz w:val="22"/>
        </w:rPr>
        <w:t xml:space="preserve">Sensitivity (retrospective calibration): 0.83, specificity: 0.90</w:t>
      </w:r>
    </w:p>
    <w:p>
      <w:pPr>
        <w:pStyle w:val="FirstParagraph"/>
        <w:spacing w:before="0" w:after="200" w:line="276" w:lineRule="auto"/>
        <w:jc w:val="both"/>
      </w:pPr>
      <w:r>
        <w:rPr>
          <w:rFonts w:ascii="Cambria" w:hAnsi="Cambria" w:cs="Cambria" w:eastAsia="Cambria"/>
          <w:i/>
          <w:iCs/>
          <w:sz w:val="22"/>
        </w:rPr>
        <w:t xml:space="preserve">Note: This is a case illustration, not statistical evidence.</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5. Discussion</w:t>
      </w:r>
    </w:p>
    <w:p>
      <w:pPr>
        <w:pStyle w:val="Heading3"/>
        <w:spacing w:before="200" w:after="120" w:line="276" w:lineRule="auto"/>
        <w:jc w:val="left"/>
      </w:pPr>
      <w:r>
        <w:rPr>
          <w:rFonts w:ascii="Calibri" w:hAnsi="Calibri" w:cs="Calibri" w:eastAsia="Calibri"/>
          <w:b/>
          <w:color w:val="4F81BD"/>
          <w:sz w:val="26"/>
        </w:rPr>
        <w:t xml:space="preserve">5.1 Summary of Findings</w:t>
      </w:r>
    </w:p>
    <w:p>
      <w:pPr>
        <w:numPr>
          <w:ilvl w:val="0"/>
          <w:numId w:val="1010"/>
        </w:numPr>
        <w:spacing w:before="0" w:after="200" w:line="276" w:lineRule="auto"/>
        <w:jc w:val="both"/>
      </w:pPr>
      <w:r>
        <w:rPr>
          <w:rFonts w:ascii="Cambria" w:hAnsi="Cambria" w:cs="Cambria" w:eastAsia="Cambria"/>
          <w:b/>
          <w:bCs/>
          <w:sz w:val="22"/>
        </w:rPr>
        <w:t xml:space="preserve">Theoretical contribution:</w:t>
      </w:r>
      <w:r>
        <w:rPr>
          <w:rFonts w:ascii="Cambria" w:hAnsi="Cambria" w:cs="Cambria" w:eastAsia="Cambria"/>
          <w:sz w:val="22"/>
        </w:rPr>
        <w:t xml:space="preserve"> </w:t>
      </w:r>
      <w:r>
        <w:rPr>
          <w:rFonts w:ascii="Cambria" w:hAnsi="Cambria" w:cs="Cambria" w:eastAsia="Cambria"/>
          <w:sz w:val="22"/>
        </w:rPr>
        <w:t xml:space="preserve">We provide a complete mathematical derivation of v* = 0.45631 from first principles using predictive information theory (Bialek et al., 2001), the free-energy principle (Friston et al., 2010), and nonequilibrium thermodynamic models of aging (Wallace, 2015).</w:t>
      </w:r>
    </w:p>
    <w:p>
      <w:pPr>
        <w:numPr>
          <w:ilvl w:val="0"/>
          <w:numId w:val="1010"/>
        </w:numPr>
        <w:spacing w:before="0" w:after="200" w:line="276" w:lineRule="auto"/>
        <w:jc w:val="both"/>
      </w:pPr>
      <w:r>
        <w:rPr>
          <w:rFonts w:ascii="Cambria" w:hAnsi="Cambria" w:cs="Cambria" w:eastAsia="Cambria"/>
          <w:b/>
          <w:bCs/>
          <w:sz w:val="22"/>
        </w:rPr>
        <w:t xml:space="preserve">Empirical findings (preliminary):</w:t>
      </w:r>
      <w:r>
        <w:rPr>
          <w:rFonts w:ascii="Cambria" w:hAnsi="Cambria" w:cs="Cambria" w:eastAsia="Cambria"/>
          <w:sz w:val="22"/>
        </w:rPr>
        <w:t xml:space="preserve"> </w:t>
      </w:r>
      <w:r>
        <w:rPr>
          <w:rFonts w:ascii="Cambria" w:hAnsi="Cambria" w:cs="Cambria" w:eastAsia="Cambria"/>
          <w:sz w:val="22"/>
        </w:rPr>
        <w:t xml:space="preserve">χ_Ze shows promising associations with chronological age (r = -0.61, Cuban dataset, N=196) and exacerbation risk (AUC 0.79-0.85, pilot cohort N=150), but current sample sizes are insufficient for confirmatory conclusions.</w:t>
      </w:r>
    </w:p>
    <w:p>
      <w:pPr>
        <w:numPr>
          <w:ilvl w:val="0"/>
          <w:numId w:val="1010"/>
        </w:numPr>
        <w:spacing w:before="0" w:after="200" w:line="276" w:lineRule="auto"/>
        <w:jc w:val="both"/>
      </w:pPr>
      <w:r>
        <w:rPr>
          <w:rFonts w:ascii="Cambria" w:hAnsi="Cambria" w:cs="Cambria" w:eastAsia="Cambria"/>
          <w:b/>
          <w:bCs/>
          <w:sz w:val="22"/>
        </w:rPr>
        <w:t xml:space="preserve">Methodological contribution:</w:t>
      </w:r>
      <w:r>
        <w:rPr>
          <w:rFonts w:ascii="Cambria" w:hAnsi="Cambria" w:cs="Cambria" w:eastAsia="Cambria"/>
          <w:sz w:val="22"/>
        </w:rPr>
        <w:t xml:space="preserve"> </w:t>
      </w:r>
      <w:r>
        <w:rPr>
          <w:rFonts w:ascii="Cambria" w:hAnsi="Cambria" w:cs="Cambria" w:eastAsia="Cambria"/>
          <w:sz w:val="22"/>
        </w:rPr>
        <w:t xml:space="preserve">BioSense implements a privacy-preserving architecture (ε=2.0 differential privacy, k-anonymity k≥7) for continuous physiological monitoring, with raw biosignals never leaving the device.</w:t>
      </w:r>
    </w:p>
    <w:p>
      <w:pPr>
        <w:pStyle w:val="Heading3"/>
        <w:spacing w:before="200" w:after="120" w:line="276" w:lineRule="auto"/>
        <w:jc w:val="left"/>
      </w:pPr>
      <w:r>
        <w:rPr>
          <w:rFonts w:ascii="Calibri" w:hAnsi="Calibri" w:cs="Calibri" w:eastAsia="Calibri"/>
          <w:b/>
          <w:color w:val="4F81BD"/>
          <w:sz w:val="26"/>
        </w:rPr>
        <w:t xml:space="preserve">5.2 Relationship to Existing Wearable Aging Research</w:t>
      </w:r>
    </w:p>
    <w:p>
      <w:pPr>
        <w:pStyle w:val="FirstParagraph"/>
        <w:spacing w:before="0" w:after="200" w:line="276" w:lineRule="auto"/>
        <w:jc w:val="both"/>
      </w:pPr>
      <w:r>
        <w:rPr>
          <w:rFonts w:ascii="Cambria" w:hAnsi="Cambria" w:cs="Cambria" w:eastAsia="Cambria"/>
          <w:sz w:val="22"/>
        </w:rPr>
        <w:t xml:space="preserve">Recent large-scale studies have established the feasibility of wearable-based aging assessment:</w:t>
      </w:r>
    </w:p>
    <w:p>
      <w:pPr>
        <w:pStyle w:val="Compact"/>
        <w:numPr>
          <w:ilvl w:val="0"/>
          <w:numId w:val="1011"/>
        </w:numPr>
        <w:spacing w:before="0" w:after="200" w:line="276" w:lineRule="auto"/>
        <w:jc w:val="both"/>
      </w:pPr>
      <w:r>
        <w:rPr>
          <w:rFonts w:ascii="Cambria" w:hAnsi="Cambria" w:cs="Cambria" w:eastAsia="Cambria"/>
          <w:b/>
          <w:bCs/>
          <w:sz w:val="22"/>
        </w:rPr>
        <w:t xml:space="preserve">PpgAge</w:t>
      </w:r>
      <w:r>
        <w:rPr>
          <w:rFonts w:ascii="Cambria" w:hAnsi="Cambria" w:cs="Cambria" w:eastAsia="Cambria"/>
          <w:sz w:val="22"/>
        </w:rPr>
        <w:t xml:space="preserve"> </w:t>
      </w:r>
      <w:r>
        <w:rPr>
          <w:rFonts w:ascii="Cambria" w:hAnsi="Cambria" w:cs="Cambria" w:eastAsia="Cambria"/>
          <w:sz w:val="22"/>
        </w:rPr>
        <w:t xml:space="preserve">(Miller et al., 2025) uses deep learning on PPG waveforms (N=213,593) with MAE of 2.43 years and demonstrates associations with cardiovascular disease, diabetes, and dynamic responses to pregnancy and cardiac events.</w:t>
      </w:r>
    </w:p>
    <w:p>
      <w:pPr>
        <w:pStyle w:val="Compact"/>
        <w:numPr>
          <w:ilvl w:val="0"/>
          <w:numId w:val="1011"/>
        </w:numPr>
        <w:spacing w:before="0" w:after="200" w:line="276" w:lineRule="auto"/>
        <w:jc w:val="both"/>
      </w:pPr>
      <w:r>
        <w:rPr>
          <w:rFonts w:ascii="Cambria" w:hAnsi="Cambria" w:cs="Cambria" w:eastAsia="Cambria"/>
          <w:b/>
          <w:bCs/>
          <w:sz w:val="22"/>
        </w:rPr>
        <w:t xml:space="preserve">Shim and Onnela (2025)</w:t>
      </w:r>
      <w:r>
        <w:rPr>
          <w:rFonts w:ascii="Cambria" w:hAnsi="Cambria" w:cs="Cambria" w:eastAsia="Cambria"/>
          <w:sz w:val="22"/>
        </w:rPr>
        <w:t xml:space="preserve"> </w:t>
      </w:r>
      <w:r>
        <w:rPr>
          <w:rFonts w:ascii="Cambria" w:hAnsi="Cambria" w:cs="Cambria" w:eastAsia="Cambria"/>
          <w:sz w:val="22"/>
        </w:rPr>
        <w:t xml:space="preserve">analyze rest-activity rhythms in ~62,000 NHATS participants, showing links between circadian metrics and late-life function, cognition, and neuropsychiatric health.</w:t>
      </w:r>
    </w:p>
    <w:p>
      <w:pPr>
        <w:pStyle w:val="FirstParagraph"/>
        <w:spacing w:before="0" w:after="200" w:line="276" w:lineRule="auto"/>
        <w:jc w:val="both"/>
      </w:pPr>
      <w:r>
        <w:rPr>
          <w:rFonts w:ascii="Cambria" w:hAnsi="Cambria" w:cs="Cambria" w:eastAsia="Cambria"/>
          <w:sz w:val="22"/>
        </w:rPr>
        <w:t xml:space="preserve">BioSense differs in its</w:t>
      </w:r>
      <w:r>
        <w:rPr>
          <w:rFonts w:ascii="Cambria" w:hAnsi="Cambria" w:cs="Cambria" w:eastAsia="Cambria"/>
          <w:sz w:val="22"/>
        </w:rPr>
        <w:t xml:space="preserve"> </w:t>
      </w:r>
      <w:r>
        <w:rPr>
          <w:rFonts w:ascii="Cambria" w:hAnsi="Cambria" w:cs="Cambria" w:eastAsia="Cambria"/>
          <w:b/>
          <w:bCs/>
          <w:sz w:val="22"/>
        </w:rPr>
        <w:t xml:space="preserve">theoretical grounding</w:t>
      </w:r>
      <w:r>
        <w:rPr>
          <w:rFonts w:ascii="Cambria" w:hAnsi="Cambria" w:cs="Cambria" w:eastAsia="Cambria"/>
          <w:sz w:val="22"/>
        </w:rPr>
        <w:t xml:space="preserve"> </w:t>
      </w:r>
      <w:r>
        <w:rPr>
          <w:rFonts w:ascii="Cambria" w:hAnsi="Cambria" w:cs="Cambria" w:eastAsia="Cambria"/>
          <w:sz w:val="22"/>
        </w:rPr>
        <w:t xml:space="preserve">— explicit optimization of predictive information under metabolic constraints (Section 2.1) — rather than purely empirical fitting. However, this theoretical sophistication does not substitute for empirical validation at scale.</w:t>
      </w:r>
    </w:p>
    <w:p>
      <w:pPr>
        <w:pStyle w:val="Heading3"/>
        <w:spacing w:before="200" w:after="120" w:line="276" w:lineRule="auto"/>
        <w:jc w:val="left"/>
      </w:pPr>
      <w:r>
        <w:rPr>
          <w:rFonts w:ascii="Calibri" w:hAnsi="Calibri" w:cs="Calibri" w:eastAsia="Calibri"/>
          <w:b/>
          <w:color w:val="4F81BD"/>
          <w:sz w:val="26"/>
        </w:rPr>
        <w:t xml:space="preserve">5.3 Comparison with Theoretical Frameworks</w:t>
      </w:r>
    </w:p>
    <w:tbl>
      <w:tblPr>
        <w:tblStyle w:val="Table"/>
        <w:tblW w:type="dxa" w:w="936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before="0" w:after="80" w:line="276" w:lineRule="auto"/>
              <w:jc w:val="both"/>
            </w:pPr>
            <w:r>
              <w:rPr>
                <w:rFonts w:ascii="Cambria" w:hAnsi="Cambria" w:cs="Cambria" w:eastAsia="Cambria"/>
                <w:sz w:val="18"/>
              </w:rPr>
              <w:t xml:space="preserve">Framework</w:t>
            </w:r>
          </w:p>
        </w:tc>
        <w:tc>
          <w:tcPr/>
          <w:p>
            <w:pPr>
              <w:pStyle w:val="Compact"/>
              <w:spacing w:before="0" w:after="80" w:line="276" w:lineRule="auto"/>
              <w:jc w:val="both"/>
            </w:pPr>
            <w:r>
              <w:rPr>
                <w:rFonts w:ascii="Cambria" w:hAnsi="Cambria" w:cs="Cambria" w:eastAsia="Cambria"/>
                <w:sz w:val="18"/>
              </w:rPr>
              <w:t xml:space="preserve">Biological basis</w:t>
            </w:r>
          </w:p>
        </w:tc>
        <w:tc>
          <w:tcPr/>
          <w:p>
            <w:pPr>
              <w:pStyle w:val="Compact"/>
              <w:spacing w:before="0" w:after="80" w:line="276" w:lineRule="auto"/>
              <w:jc w:val="both"/>
            </w:pPr>
            <w:r>
              <w:rPr>
                <w:rFonts w:ascii="Cambria" w:hAnsi="Cambria" w:cs="Cambria" w:eastAsia="Cambria"/>
                <w:sz w:val="18"/>
              </w:rPr>
              <w:t xml:space="preserve">Mathematical formalism</w:t>
            </w:r>
          </w:p>
        </w:tc>
        <w:tc>
          <w:tcPr/>
          <w:p>
            <w:pPr>
              <w:pStyle w:val="Compact"/>
              <w:spacing w:before="0" w:after="80" w:line="276" w:lineRule="auto"/>
              <w:jc w:val="both"/>
            </w:pPr>
            <w:r>
              <w:rPr>
                <w:rFonts w:ascii="Cambria" w:hAnsi="Cambria" w:cs="Cambria" w:eastAsia="Cambria"/>
                <w:sz w:val="18"/>
              </w:rPr>
              <w:t xml:space="preserve">Link to wearables</w:t>
            </w:r>
          </w:p>
        </w:tc>
      </w:tr>
      <w:tr>
        <w:tc>
          <w:tcPr/>
          <w:p>
            <w:pPr>
              <w:pStyle w:val="Compact"/>
              <w:spacing w:before="0" w:after="80" w:line="276" w:lineRule="auto"/>
              <w:jc w:val="both"/>
            </w:pPr>
            <w:r>
              <w:rPr>
                <w:rFonts w:ascii="Cambria" w:hAnsi="Cambria" w:cs="Cambria" w:eastAsia="Cambria"/>
                <w:b/>
                <w:bCs/>
                <w:sz w:val="18"/>
              </w:rPr>
              <w:t xml:space="preserve">PpgAge</w:t>
            </w:r>
            <w:r>
              <w:rPr>
                <w:rFonts w:ascii="Cambria" w:hAnsi="Cambria" w:cs="Cambria" w:eastAsia="Cambria"/>
                <w:sz w:val="18"/>
              </w:rPr>
              <w:t xml:space="preserve"> </w:t>
            </w:r>
            <w:r>
              <w:rPr>
                <w:rFonts w:ascii="Cambria" w:hAnsi="Cambria" w:cs="Cambria" w:eastAsia="Cambria"/>
                <w:sz w:val="18"/>
              </w:rPr>
              <w:t xml:space="preserve">(Miller et al., 2025)</w:t>
            </w:r>
          </w:p>
        </w:tc>
        <w:tc>
          <w:tcPr/>
          <w:p>
            <w:pPr>
              <w:pStyle w:val="Compact"/>
              <w:spacing w:before="0" w:after="80" w:line="276" w:lineRule="auto"/>
              <w:jc w:val="both"/>
            </w:pPr>
            <w:r>
              <w:rPr>
                <w:rFonts w:ascii="Cambria" w:hAnsi="Cambria" w:cs="Cambria" w:eastAsia="Cambria"/>
                <w:sz w:val="18"/>
              </w:rPr>
              <w:t xml:space="preserve">Empirical</w:t>
            </w:r>
          </w:p>
        </w:tc>
        <w:tc>
          <w:tcPr/>
          <w:p>
            <w:pPr>
              <w:pStyle w:val="Compact"/>
              <w:spacing w:before="0" w:after="80" w:line="276" w:lineRule="auto"/>
              <w:jc w:val="both"/>
            </w:pPr>
            <w:r>
              <w:rPr>
                <w:rFonts w:ascii="Cambria" w:hAnsi="Cambria" w:cs="Cambria" w:eastAsia="Cambria"/>
                <w:sz w:val="18"/>
              </w:rPr>
              <w:t xml:space="preserve">Deep learning</w:t>
            </w:r>
          </w:p>
        </w:tc>
        <w:tc>
          <w:tcPr/>
          <w:p>
            <w:pPr>
              <w:pStyle w:val="Compact"/>
              <w:spacing w:before="0" w:after="80" w:line="276" w:lineRule="auto"/>
              <w:jc w:val="both"/>
            </w:pPr>
            <w:r>
              <w:rPr>
                <w:rFonts w:ascii="Cambria" w:hAnsi="Cambria" w:cs="Cambria" w:eastAsia="Cambria"/>
                <w:sz w:val="18"/>
              </w:rPr>
              <w:t xml:space="preserve">PPG waveforms</w:t>
            </w:r>
          </w:p>
        </w:tc>
      </w:tr>
      <w:tr>
        <w:tc>
          <w:tcPr/>
          <w:p>
            <w:pPr>
              <w:pStyle w:val="Compact"/>
              <w:spacing w:before="0" w:after="80" w:line="276" w:lineRule="auto"/>
              <w:jc w:val="both"/>
            </w:pPr>
            <w:r>
              <w:rPr>
                <w:rFonts w:ascii="Cambria" w:hAnsi="Cambria" w:cs="Cambria" w:eastAsia="Cambria"/>
                <w:b/>
                <w:bCs/>
                <w:sz w:val="18"/>
              </w:rPr>
              <w:t xml:space="preserve">CosinorAge</w:t>
            </w:r>
            <w:r>
              <w:rPr>
                <w:rFonts w:ascii="Cambria" w:hAnsi="Cambria" w:cs="Cambria" w:eastAsia="Cambria"/>
                <w:sz w:val="18"/>
              </w:rPr>
              <w:t xml:space="preserve"> </w:t>
            </w:r>
            <w:r>
              <w:rPr>
                <w:rFonts w:ascii="Cambria" w:hAnsi="Cambria" w:cs="Cambria" w:eastAsia="Cambria"/>
                <w:sz w:val="18"/>
              </w:rPr>
              <w:t xml:space="preserve">(Shim &amp; Onnela, 2025)</w:t>
            </w:r>
          </w:p>
        </w:tc>
        <w:tc>
          <w:tcPr/>
          <w:p>
            <w:pPr>
              <w:pStyle w:val="Compact"/>
              <w:spacing w:before="0" w:after="80" w:line="276" w:lineRule="auto"/>
              <w:jc w:val="both"/>
            </w:pPr>
            <w:r>
              <w:rPr>
                <w:rFonts w:ascii="Cambria" w:hAnsi="Cambria" w:cs="Cambria" w:eastAsia="Cambria"/>
                <w:sz w:val="18"/>
              </w:rPr>
              <w:t xml:space="preserve">Circadian rhythms</w:t>
            </w:r>
          </w:p>
        </w:tc>
        <w:tc>
          <w:tcPr/>
          <w:p>
            <w:pPr>
              <w:pStyle w:val="Compact"/>
              <w:spacing w:before="0" w:after="80" w:line="276" w:lineRule="auto"/>
              <w:jc w:val="both"/>
            </w:pPr>
            <w:r>
              <w:rPr>
                <w:rFonts w:ascii="Cambria" w:hAnsi="Cambria" w:cs="Cambria" w:eastAsia="Cambria"/>
                <w:sz w:val="18"/>
              </w:rPr>
              <w:t xml:space="preserve">Cosinor analysis</w:t>
            </w:r>
          </w:p>
        </w:tc>
        <w:tc>
          <w:tcPr/>
          <w:p>
            <w:pPr>
              <w:pStyle w:val="Compact"/>
              <w:spacing w:before="0" w:after="80" w:line="276" w:lineRule="auto"/>
              <w:jc w:val="both"/>
            </w:pPr>
            <w:r>
              <w:rPr>
                <w:rFonts w:ascii="Cambria" w:hAnsi="Cambria" w:cs="Cambria" w:eastAsia="Cambria"/>
                <w:sz w:val="18"/>
              </w:rPr>
              <w:t xml:space="preserve">Rest-activity</w:t>
            </w:r>
          </w:p>
        </w:tc>
      </w:tr>
      <w:tr>
        <w:tc>
          <w:tcPr/>
          <w:p>
            <w:pPr>
              <w:pStyle w:val="Compact"/>
              <w:spacing w:before="0" w:after="80" w:line="276" w:lineRule="auto"/>
              <w:jc w:val="both"/>
            </w:pPr>
            <w:r>
              <w:rPr>
                <w:rFonts w:ascii="Cambria" w:hAnsi="Cambria" w:cs="Cambria" w:eastAsia="Cambria"/>
                <w:b/>
                <w:bCs/>
                <w:sz w:val="18"/>
              </w:rPr>
              <w:t xml:space="preserve">Free-energy principle</w:t>
            </w:r>
            <w:r>
              <w:rPr>
                <w:rFonts w:ascii="Cambria" w:hAnsi="Cambria" w:cs="Cambria" w:eastAsia="Cambria"/>
                <w:sz w:val="18"/>
              </w:rPr>
              <w:t xml:space="preserve"> </w:t>
            </w:r>
            <w:r>
              <w:rPr>
                <w:rFonts w:ascii="Cambria" w:hAnsi="Cambria" w:cs="Cambria" w:eastAsia="Cambria"/>
                <w:sz w:val="18"/>
              </w:rPr>
              <w:t xml:space="preserve">(Friston et al., 2010)</w:t>
            </w:r>
          </w:p>
        </w:tc>
        <w:tc>
          <w:tcPr/>
          <w:p>
            <w:pPr>
              <w:pStyle w:val="Compact"/>
              <w:spacing w:before="0" w:after="80" w:line="276" w:lineRule="auto"/>
              <w:jc w:val="both"/>
            </w:pPr>
            <w:r>
              <w:rPr>
                <w:rFonts w:ascii="Cambria" w:hAnsi="Cambria" w:cs="Cambria" w:eastAsia="Cambria"/>
                <w:sz w:val="18"/>
              </w:rPr>
              <w:t xml:space="preserve">Variational free energy minimization</w:t>
            </w:r>
          </w:p>
        </w:tc>
        <w:tc>
          <w:tcPr/>
          <w:p>
            <w:pPr>
              <w:pStyle w:val="Compact"/>
              <w:spacing w:before="0" w:after="80" w:line="276" w:lineRule="auto"/>
              <w:jc w:val="both"/>
            </w:pPr>
            <w:r>
              <w:rPr>
                <w:rFonts w:ascii="Cambria" w:hAnsi="Cambria" w:cs="Cambria" w:eastAsia="Cambria"/>
                <w:sz w:val="18"/>
              </w:rPr>
              <w:t xml:space="preserve">Active inference</w:t>
            </w:r>
          </w:p>
        </w:tc>
        <w:tc>
          <w:tcPr/>
          <w:p>
            <w:pPr>
              <w:pStyle w:val="Compact"/>
              <w:spacing w:before="0" w:after="80" w:line="276" w:lineRule="auto"/>
              <w:jc w:val="both"/>
            </w:pPr>
            <w:r>
              <w:rPr>
                <w:rFonts w:ascii="Cambria" w:hAnsi="Cambria" w:cs="Cambria" w:eastAsia="Cambria"/>
                <w:sz w:val="18"/>
              </w:rPr>
              <w:t xml:space="preserve">Indirect</w:t>
            </w:r>
          </w:p>
        </w:tc>
      </w:tr>
      <w:tr>
        <w:tc>
          <w:tcPr/>
          <w:p>
            <w:pPr>
              <w:pStyle w:val="Compact"/>
              <w:spacing w:before="0" w:after="80" w:line="276" w:lineRule="auto"/>
              <w:jc w:val="both"/>
            </w:pPr>
            <w:r>
              <w:rPr>
                <w:rFonts w:ascii="Cambria" w:hAnsi="Cambria" w:cs="Cambria" w:eastAsia="Cambria"/>
                <w:b/>
                <w:bCs/>
                <w:sz w:val="18"/>
              </w:rPr>
              <w:t xml:space="preserve">BioSense / χ_Ze (this work)</w:t>
            </w:r>
          </w:p>
        </w:tc>
        <w:tc>
          <w:tcPr/>
          <w:p>
            <w:pPr>
              <w:pStyle w:val="Compact"/>
              <w:spacing w:before="0" w:after="80" w:line="276" w:lineRule="auto"/>
              <w:jc w:val="both"/>
            </w:pPr>
            <w:r>
              <w:rPr>
                <w:rFonts w:ascii="Cambria" w:hAnsi="Cambria" w:cs="Cambria" w:eastAsia="Cambria"/>
                <w:sz w:val="18"/>
              </w:rPr>
              <w:t xml:space="preserve">Predictive information + metabolic cost</w:t>
            </w:r>
          </w:p>
        </w:tc>
        <w:tc>
          <w:tcPr/>
          <w:p>
            <w:pPr>
              <w:pStyle w:val="Compact"/>
              <w:spacing w:before="0" w:after="80" w:line="276" w:lineRule="auto"/>
              <w:jc w:val="both"/>
            </w:pPr>
            <w:r>
              <w:rPr>
                <w:rFonts w:ascii="Cambria" w:hAnsi="Cambria" w:cs="Cambria" w:eastAsia="Cambria"/>
                <w:sz w:val="18"/>
              </w:rPr>
              <w:t xml:space="preserve">Variational principle with λ</w:t>
            </w:r>
          </w:p>
        </w:tc>
        <w:tc>
          <w:tcPr/>
          <w:p>
            <w:pPr>
              <w:pStyle w:val="Compact"/>
              <w:spacing w:before="0" w:after="80" w:line="276" w:lineRule="auto"/>
              <w:jc w:val="both"/>
            </w:pPr>
            <w:r>
              <w:rPr>
                <w:rFonts w:ascii="Cambria" w:hAnsi="Cambria" w:cs="Cambria" w:eastAsia="Cambria"/>
                <w:sz w:val="18"/>
              </w:rPr>
              <w:t xml:space="preserve">Direct, continuous</w:t>
            </w:r>
          </w:p>
        </w:tc>
      </w:tr>
    </w:tbl>
    <w:p>
      <w:pPr>
        <w:pStyle w:val="Heading3"/>
        <w:spacing w:before="200" w:after="120" w:line="276" w:lineRule="auto"/>
        <w:jc w:val="left"/>
      </w:pPr>
      <w:r>
        <w:rPr>
          <w:rFonts w:ascii="Calibri" w:hAnsi="Calibri" w:cs="Calibri" w:eastAsia="Calibri"/>
          <w:b/>
          <w:color w:val="4F81BD"/>
          <w:sz w:val="26"/>
        </w:rPr>
        <w:t xml:space="preserve">5.4 Limitations</w:t>
      </w:r>
    </w:p>
    <w:p>
      <w:pPr>
        <w:numPr>
          <w:ilvl w:val="0"/>
          <w:numId w:val="1012"/>
        </w:numPr>
        <w:spacing w:before="0" w:after="200" w:line="276" w:lineRule="auto"/>
        <w:jc w:val="both"/>
      </w:pPr>
      <w:r>
        <w:rPr>
          <w:rFonts w:ascii="Cambria" w:hAnsi="Cambria" w:cs="Cambria" w:eastAsia="Cambria"/>
          <w:b/>
          <w:bCs/>
          <w:sz w:val="22"/>
        </w:rPr>
        <w:t xml:space="preserve">Sample size (N=150)</w:t>
      </w:r>
      <w:r>
        <w:rPr>
          <w:rFonts w:ascii="Cambria" w:hAnsi="Cambria" w:cs="Cambria" w:eastAsia="Cambria"/>
          <w:sz w:val="22"/>
        </w:rPr>
        <w:t xml:space="preserve"> </w:t>
      </w:r>
      <w:r>
        <w:rPr>
          <w:rFonts w:ascii="Cambria" w:hAnsi="Cambria" w:cs="Cambria" w:eastAsia="Cambria"/>
          <w:sz w:val="22"/>
        </w:rPr>
        <w:t xml:space="preserve">is inadequate for confirmatory analysis. The declared α=0.00025 is aspirational; the current study is underpowered. Power analysis indicates N≥500 with ≥150 events is required.</w:t>
      </w:r>
    </w:p>
    <w:p>
      <w:pPr>
        <w:numPr>
          <w:ilvl w:val="0"/>
          <w:numId w:val="1012"/>
        </w:numPr>
        <w:spacing w:before="0" w:after="200" w:line="276" w:lineRule="auto"/>
        <w:jc w:val="both"/>
      </w:pPr>
      <w:r>
        <w:rPr>
          <w:rFonts w:ascii="Cambria" w:hAnsi="Cambria" w:cs="Cambria" w:eastAsia="Cambria"/>
          <w:b/>
          <w:bCs/>
          <w:sz w:val="22"/>
        </w:rPr>
        <w:t xml:space="preserve">PRS claims removed</w:t>
      </w:r>
      <w:r>
        <w:rPr>
          <w:rFonts w:ascii="Cambria" w:hAnsi="Cambria" w:cs="Cambria" w:eastAsia="Cambria"/>
          <w:sz w:val="22"/>
        </w:rPr>
        <w:t xml:space="preserve"> </w:t>
      </w:r>
      <w:r>
        <w:rPr>
          <w:rFonts w:ascii="Cambria" w:hAnsi="Cambria" w:cs="Cambria" w:eastAsia="Cambria"/>
          <w:sz w:val="22"/>
        </w:rPr>
        <w:t xml:space="preserve">— no validated multi-disease polygenic score exists for the claimed prediction. The 24-SNP panel originally proposed lacks independent validation.</w:t>
      </w:r>
    </w:p>
    <w:p>
      <w:pPr>
        <w:numPr>
          <w:ilvl w:val="0"/>
          <w:numId w:val="1012"/>
        </w:numPr>
        <w:spacing w:before="0" w:after="200" w:line="276" w:lineRule="auto"/>
        <w:jc w:val="both"/>
      </w:pPr>
      <w:r>
        <w:rPr>
          <w:rFonts w:ascii="Cambria" w:hAnsi="Cambria" w:cs="Cambria" w:eastAsia="Cambria"/>
          <w:b/>
          <w:bCs/>
          <w:sz w:val="22"/>
        </w:rPr>
        <w:t xml:space="preserve">All of Us analysis</w:t>
      </w:r>
      <w:r>
        <w:rPr>
          <w:rFonts w:ascii="Cambria" w:hAnsi="Cambria" w:cs="Cambria" w:eastAsia="Cambria"/>
          <w:sz w:val="22"/>
        </w:rPr>
        <w:t xml:space="preserve"> </w:t>
      </w:r>
      <w:r>
        <w:rPr>
          <w:rFonts w:ascii="Cambria" w:hAnsi="Cambria" w:cs="Cambria" w:eastAsia="Cambria"/>
          <w:sz w:val="22"/>
        </w:rPr>
        <w:t xml:space="preserve">requires independent replication with formal data access (Data Use Agreement ID to be provided in final version).</w:t>
      </w:r>
    </w:p>
    <w:p>
      <w:pPr>
        <w:numPr>
          <w:ilvl w:val="0"/>
          <w:numId w:val="1012"/>
        </w:numPr>
        <w:spacing w:before="0" w:after="200" w:line="276" w:lineRule="auto"/>
        <w:jc w:val="both"/>
      </w:pPr>
      <w:r>
        <w:rPr>
          <w:rFonts w:ascii="Cambria" w:hAnsi="Cambria" w:cs="Cambria" w:eastAsia="Cambria"/>
          <w:b/>
          <w:bCs/>
          <w:sz w:val="22"/>
        </w:rPr>
        <w:t xml:space="preserve">Ze Theory</w:t>
      </w:r>
      <w:r>
        <w:rPr>
          <w:rFonts w:ascii="Cambria" w:hAnsi="Cambria" w:cs="Cambria" w:eastAsia="Cambria"/>
          <w:sz w:val="22"/>
        </w:rPr>
        <w:t xml:space="preserve"> </w:t>
      </w:r>
      <w:r>
        <w:rPr>
          <w:rFonts w:ascii="Cambria" w:hAnsi="Cambria" w:cs="Cambria" w:eastAsia="Cambria"/>
          <w:sz w:val="22"/>
        </w:rPr>
        <w:t xml:space="preserve">is published in a non-peer-reviewed journal (</w:t>
      </w:r>
      <w:r>
        <w:rPr>
          <w:rFonts w:ascii="Cambria" w:hAnsi="Cambria" w:cs="Cambria" w:eastAsia="Cambria"/>
          <w:i/>
          <w:iCs/>
          <w:sz w:val="22"/>
        </w:rPr>
        <w:t xml:space="preserve">Longevity Horizon</w:t>
      </w:r>
      <w:r>
        <w:rPr>
          <w:rFonts w:ascii="Cambria" w:hAnsi="Cambria" w:cs="Cambria" w:eastAsia="Cambria"/>
          <w:sz w:val="22"/>
        </w:rPr>
        <w:t xml:space="preserve">); the mathematical derivation in Section 2.1 is presented as a</w:t>
      </w:r>
      <w:r>
        <w:rPr>
          <w:rFonts w:ascii="Cambria" w:hAnsi="Cambria" w:cs="Cambria" w:eastAsia="Cambria"/>
          <w:sz w:val="22"/>
        </w:rPr>
        <w:t xml:space="preserve"> </w:t>
      </w:r>
      <w:r>
        <w:rPr>
          <w:rFonts w:ascii="Cambria" w:hAnsi="Cambria" w:cs="Cambria" w:eastAsia="Cambria"/>
          <w:b/>
          <w:bCs/>
          <w:sz w:val="22"/>
        </w:rPr>
        <w:t xml:space="preserve">proposed formalization</w:t>
      </w:r>
      <w:r>
        <w:rPr>
          <w:rFonts w:ascii="Cambria" w:hAnsi="Cambria" w:cs="Cambria" w:eastAsia="Cambria"/>
          <w:sz w:val="22"/>
        </w:rPr>
        <w:t xml:space="preserve">, not as established consensus.</w:t>
      </w:r>
    </w:p>
    <w:p>
      <w:pPr>
        <w:numPr>
          <w:ilvl w:val="0"/>
          <w:numId w:val="1012"/>
        </w:numPr>
        <w:spacing w:before="0" w:after="200" w:line="276" w:lineRule="auto"/>
        <w:jc w:val="both"/>
      </w:pPr>
      <w:r>
        <w:rPr>
          <w:rFonts w:ascii="Cambria" w:hAnsi="Cambria" w:cs="Cambria" w:eastAsia="Cambria"/>
          <w:b/>
          <w:bCs/>
          <w:sz w:val="22"/>
        </w:rPr>
        <w:t xml:space="preserve">Cuban EEG Database</w:t>
      </w:r>
      <w:r>
        <w:rPr>
          <w:rFonts w:ascii="Cambria" w:hAnsi="Cambria" w:cs="Cambria" w:eastAsia="Cambria"/>
          <w:sz w:val="22"/>
        </w:rPr>
        <w:t xml:space="preserve"> </w:t>
      </w:r>
      <w:r>
        <w:rPr>
          <w:rFonts w:ascii="Cambria" w:hAnsi="Cambria" w:cs="Cambria" w:eastAsia="Cambria"/>
          <w:sz w:val="22"/>
        </w:rPr>
        <w:t xml:space="preserve">requires full citation; the authors will provide complete dataset documentation in revision.</w:t>
      </w:r>
    </w:p>
    <w:p>
      <w:pPr>
        <w:pStyle w:val="Heading3"/>
        <w:spacing w:before="200" w:after="120" w:line="276" w:lineRule="auto"/>
        <w:jc w:val="left"/>
      </w:pPr>
      <w:r>
        <w:rPr>
          <w:rFonts w:ascii="Calibri" w:hAnsi="Calibri" w:cs="Calibri" w:eastAsia="Calibri"/>
          <w:b/>
          <w:color w:val="4F81BD"/>
          <w:sz w:val="26"/>
        </w:rPr>
        <w:t xml:space="preserve">5.5 Falsifiable Predictions</w:t>
      </w:r>
    </w:p>
    <w:p>
      <w:pPr>
        <w:pStyle w:val="FirstParagraph"/>
        <w:spacing w:before="0" w:after="200" w:line="276" w:lineRule="auto"/>
        <w:jc w:val="both"/>
      </w:pPr>
      <w:r>
        <w:rPr>
          <w:rFonts w:ascii="Cambria" w:hAnsi="Cambria" w:cs="Cambria" w:eastAsia="Cambria"/>
          <w:b/>
          <w:bCs/>
          <w:sz w:val="22"/>
        </w:rPr>
        <w:t xml:space="preserve">FP-1 (Clinical).</w:t>
      </w:r>
      <w:r>
        <w:rPr>
          <w:rFonts w:ascii="Cambria" w:hAnsi="Cambria" w:cs="Cambria" w:eastAsia="Cambria"/>
          <w:sz w:val="22"/>
        </w:rPr>
        <w:t xml:space="preserve"> </w:t>
      </w:r>
      <w:r>
        <w:rPr>
          <w:rFonts w:ascii="Cambria" w:hAnsi="Cambria" w:cs="Cambria" w:eastAsia="Cambria"/>
          <w:sz w:val="22"/>
        </w:rPr>
        <w:t xml:space="preserve">In a prospective study with N≥500 (adequately powered for α=0.00025), the positive predictive value of a &gt;0.10 exacerbation risk prediction will exceed 0.40 at specificity &gt;0.90.</w:t>
      </w:r>
      <w:r>
        <w:rPr>
          <w:rFonts w:ascii="Cambria" w:hAnsi="Cambria" w:cs="Cambria" w:eastAsia="Cambria"/>
          <w:sz w:val="22"/>
        </w:rPr>
        <w:t xml:space="preserve"> </w:t>
      </w:r>
      <w:r>
        <w:rPr>
          <w:rFonts w:ascii="Cambria" w:hAnsi="Cambria" w:cs="Cambria" w:eastAsia="Cambria"/>
          <w:b/>
          <w:bCs/>
          <w:sz w:val="22"/>
        </w:rPr>
        <w:t xml:space="preserve">Falsification threshold:</w:t>
      </w:r>
      <w:r>
        <w:rPr>
          <w:rFonts w:ascii="Cambria" w:hAnsi="Cambria" w:cs="Cambria" w:eastAsia="Cambria"/>
          <w:sz w:val="22"/>
        </w:rPr>
        <w:t xml:space="preserve"> </w:t>
      </w:r>
      <w:r>
        <w:rPr>
          <w:rFonts w:ascii="Cambria" w:hAnsi="Cambria" w:cs="Cambria" w:eastAsia="Cambria"/>
          <w:sz w:val="22"/>
        </w:rPr>
        <w:t xml:space="preserve">PPV &lt; 0.25.</w:t>
      </w:r>
    </w:p>
    <w:p>
      <w:pPr>
        <w:pStyle w:val="BodyText"/>
        <w:spacing w:before="0" w:after="200" w:line="276" w:lineRule="auto"/>
        <w:jc w:val="both"/>
      </w:pPr>
      <w:r>
        <w:rPr>
          <w:rFonts w:ascii="Cambria" w:hAnsi="Cambria" w:cs="Cambria" w:eastAsia="Cambria"/>
          <w:b/>
          <w:bCs/>
          <w:sz w:val="22"/>
        </w:rPr>
        <w:t xml:space="preserve">FP-2 (Methodological).</w:t>
      </w:r>
      <w:r>
        <w:rPr>
          <w:rFonts w:ascii="Cambria" w:hAnsi="Cambria" w:cs="Cambria" w:eastAsia="Cambria"/>
          <w:sz w:val="22"/>
        </w:rPr>
        <w:t xml:space="preserve"> </w:t>
      </w:r>
      <w:r>
        <w:rPr>
          <w:rFonts w:ascii="Cambria" w:hAnsi="Cambria" w:cs="Cambria" w:eastAsia="Cambria"/>
          <w:sz w:val="22"/>
        </w:rPr>
        <w:t xml:space="preserve">The theoretical derivation of v* = 0.45631 (Section 2.1) will withstand independent mathematical verification.</w:t>
      </w:r>
      <w:r>
        <w:rPr>
          <w:rFonts w:ascii="Cambria" w:hAnsi="Cambria" w:cs="Cambria" w:eastAsia="Cambria"/>
          <w:sz w:val="22"/>
        </w:rPr>
        <w:t xml:space="preserve"> </w:t>
      </w:r>
      <w:r>
        <w:rPr>
          <w:rFonts w:ascii="Cambria" w:hAnsi="Cambria" w:cs="Cambria" w:eastAsia="Cambria"/>
          <w:b/>
          <w:bCs/>
          <w:sz w:val="22"/>
        </w:rPr>
        <w:t xml:space="preserve">Falsification threshold:</w:t>
      </w:r>
      <w:r>
        <w:rPr>
          <w:rFonts w:ascii="Cambria" w:hAnsi="Cambria" w:cs="Cambria" w:eastAsia="Cambria"/>
          <w:sz w:val="22"/>
        </w:rPr>
        <w:t xml:space="preserve"> </w:t>
      </w:r>
      <w:r>
        <w:rPr>
          <w:rFonts w:ascii="Cambria" w:hAnsi="Cambria" w:cs="Cambria" w:eastAsia="Cambria"/>
          <w:sz w:val="22"/>
        </w:rPr>
        <w:t xml:space="preserve">Identification of a logical or mathematical error in the derivation.</w:t>
      </w:r>
    </w:p>
    <w:p>
      <w:pPr>
        <w:pStyle w:val="BodyText"/>
        <w:spacing w:before="0" w:after="200" w:line="276" w:lineRule="auto"/>
        <w:jc w:val="both"/>
      </w:pPr>
      <w:r>
        <w:rPr>
          <w:rFonts w:ascii="Cambria" w:hAnsi="Cambria" w:cs="Cambria" w:eastAsia="Cambria"/>
          <w:b/>
          <w:bCs/>
          <w:sz w:val="22"/>
        </w:rPr>
        <w:t xml:space="preserve">FP-3 (Comparative).</w:t>
      </w:r>
      <w:r>
        <w:rPr>
          <w:rFonts w:ascii="Cambria" w:hAnsi="Cambria" w:cs="Cambria" w:eastAsia="Cambria"/>
          <w:sz w:val="22"/>
        </w:rPr>
        <w:t xml:space="preserve"> </w:t>
      </w:r>
      <w:r>
        <w:rPr>
          <w:rFonts w:ascii="Cambria" w:hAnsi="Cambria" w:cs="Cambria" w:eastAsia="Cambria"/>
          <w:sz w:val="22"/>
        </w:rPr>
        <w:t xml:space="preserve">χ_Ze will demonstrate non-inferiority to established wearable aging clocks (PpgAge, Miller et al., 2025; or CosinorAge, Shim &amp; Onnela, 2025) for mortality prediction (ΔAUC ≥ -0.05) on an independent held-out cohort.</w:t>
      </w:r>
      <w:r>
        <w:rPr>
          <w:rFonts w:ascii="Cambria" w:hAnsi="Cambria" w:cs="Cambria" w:eastAsia="Cambria"/>
          <w:sz w:val="22"/>
        </w:rPr>
        <w:t xml:space="preserve"> </w:t>
      </w:r>
      <w:r>
        <w:rPr>
          <w:rFonts w:ascii="Cambria" w:hAnsi="Cambria" w:cs="Cambria" w:eastAsia="Cambria"/>
          <w:b/>
          <w:bCs/>
          <w:sz w:val="22"/>
        </w:rPr>
        <w:t xml:space="preserve">Falsification threshold:</w:t>
      </w:r>
      <w:r>
        <w:rPr>
          <w:rFonts w:ascii="Cambria" w:hAnsi="Cambria" w:cs="Cambria" w:eastAsia="Cambria"/>
          <w:sz w:val="22"/>
        </w:rPr>
        <w:t xml:space="preserve"> </w:t>
      </w:r>
      <w:r>
        <w:rPr>
          <w:rFonts w:ascii="Cambria" w:hAnsi="Cambria" w:cs="Cambria" w:eastAsia="Cambria"/>
          <w:sz w:val="22"/>
        </w:rPr>
        <w:t xml:space="preserve">ΔAUC &lt; -0.10.</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6. Ethical Issues and Global Data Collection</w:t>
      </w:r>
    </w:p>
    <w:p>
      <w:pPr>
        <w:pStyle w:val="Heading3"/>
        <w:spacing w:before="200" w:after="120" w:line="276" w:lineRule="auto"/>
        <w:jc w:val="left"/>
      </w:pPr>
      <w:r>
        <w:rPr>
          <w:rFonts w:ascii="Calibri" w:hAnsi="Calibri" w:cs="Calibri" w:eastAsia="Calibri"/>
          <w:b/>
          <w:color w:val="4F81BD"/>
          <w:sz w:val="26"/>
        </w:rPr>
        <w:t xml:space="preserve">6.1 Principles</w:t>
      </w:r>
    </w:p>
    <w:p>
      <w:pPr>
        <w:pStyle w:val="FirstParagraph"/>
        <w:spacing w:before="0" w:after="200" w:line="276" w:lineRule="auto"/>
        <w:jc w:val="both"/>
      </w:pPr>
      <w:r>
        <w:rPr>
          <w:rFonts w:ascii="Cambria" w:hAnsi="Cambria" w:cs="Cambria" w:eastAsia="Cambria"/>
          <w:sz w:val="22"/>
        </w:rPr>
        <w:t xml:space="preserve">BioSense is part of a global ethically sound data collection system (FCLC) built on:</w:t>
      </w:r>
    </w:p>
    <w:p>
      <w:pPr>
        <w:pStyle w:val="Compact"/>
        <w:numPr>
          <w:ilvl w:val="0"/>
          <w:numId w:val="1013"/>
        </w:numPr>
        <w:spacing w:before="0" w:after="200" w:line="276" w:lineRule="auto"/>
        <w:jc w:val="both"/>
      </w:pPr>
      <w:r>
        <w:rPr>
          <w:rFonts w:ascii="Cambria" w:hAnsi="Cambria" w:cs="Cambria" w:eastAsia="Cambria"/>
          <w:sz w:val="22"/>
        </w:rPr>
        <w:t xml:space="preserve">Dynamic informed consent (renewable at any time)</w:t>
      </w:r>
    </w:p>
    <w:p>
      <w:pPr>
        <w:pStyle w:val="Compact"/>
        <w:numPr>
          <w:ilvl w:val="0"/>
          <w:numId w:val="1013"/>
        </w:numPr>
        <w:spacing w:before="0" w:after="200" w:line="276" w:lineRule="auto"/>
        <w:jc w:val="both"/>
      </w:pPr>
      <w:r>
        <w:rPr>
          <w:rFonts w:ascii="Cambria" w:hAnsi="Cambria" w:cs="Cambria" w:eastAsia="Cambria"/>
          <w:sz w:val="22"/>
        </w:rPr>
        <w:t xml:space="preserve">Data minimization (only χ_Ze transmitted; raw signals never leave device)</w:t>
      </w:r>
    </w:p>
    <w:p>
      <w:pPr>
        <w:pStyle w:val="Compact"/>
        <w:numPr>
          <w:ilvl w:val="0"/>
          <w:numId w:val="1013"/>
        </w:numPr>
        <w:spacing w:before="0" w:after="200" w:line="276" w:lineRule="auto"/>
        <w:jc w:val="both"/>
      </w:pPr>
      <w:r>
        <w:rPr>
          <w:rFonts w:ascii="Cambria" w:hAnsi="Cambria" w:cs="Cambria" w:eastAsia="Cambria"/>
          <w:sz w:val="22"/>
        </w:rPr>
        <w:t xml:space="preserve">Differential privacy (ε=2.0, k-anonymity k≥7) following Vallabhaneni et al. (2026)</w:t>
      </w:r>
    </w:p>
    <w:p>
      <w:pPr>
        <w:pStyle w:val="Compact"/>
        <w:numPr>
          <w:ilvl w:val="0"/>
          <w:numId w:val="1013"/>
        </w:numPr>
        <w:spacing w:before="0" w:after="200" w:line="276" w:lineRule="auto"/>
        <w:jc w:val="both"/>
      </w:pPr>
      <w:r>
        <w:rPr>
          <w:rFonts w:ascii="Cambria" w:hAnsi="Cambria" w:cs="Cambria" w:eastAsia="Cambria"/>
          <w:sz w:val="22"/>
        </w:rPr>
        <w:t xml:space="preserve">Right not to know (user may decline individual prognosis)</w:t>
      </w:r>
    </w:p>
    <w:p>
      <w:pPr>
        <w:pStyle w:val="Compact"/>
        <w:numPr>
          <w:ilvl w:val="0"/>
          <w:numId w:val="1013"/>
        </w:numPr>
        <w:spacing w:before="0" w:after="200" w:line="276" w:lineRule="auto"/>
        <w:jc w:val="both"/>
      </w:pPr>
      <w:r>
        <w:rPr>
          <w:rFonts w:ascii="Cambria" w:hAnsi="Cambria" w:cs="Cambria" w:eastAsia="Cambria"/>
          <w:sz w:val="22"/>
        </w:rPr>
        <w:t xml:space="preserve">Prohibition of discrimination (insurers and employers cannot access individual-level χ_Ze)</w:t>
      </w:r>
    </w:p>
    <w:p>
      <w:pPr>
        <w:pStyle w:val="Heading3"/>
        <w:spacing w:before="200" w:after="120" w:line="276" w:lineRule="auto"/>
        <w:jc w:val="left"/>
      </w:pPr>
      <w:r>
        <w:rPr>
          <w:rFonts w:ascii="Calibri" w:hAnsi="Calibri" w:cs="Calibri" w:eastAsia="Calibri"/>
          <w:b/>
          <w:color w:val="4F81BD"/>
          <w:sz w:val="26"/>
        </w:rPr>
        <w:t xml:space="preserve">6.2 Access Levels</w:t>
      </w:r>
    </w:p>
    <w:tbl>
      <w:tblPr>
        <w:tblStyle w:val="Table"/>
        <w:tblW w:type="dxa" w:w="9360"/>
        <w:jc w:val="center"/>
        <w:tblLook w:firstRow="1" w:lastRow="0" w:firstColumn="0" w:lastColumn="0" w:noHBand="0" w:noVBand="0" w:val="0020"/>
      </w:tblPr>
      <w:tblGrid>
        <w:gridCol w:w="2640"/>
        <w:gridCol w:w="2640"/>
        <w:gridCol w:w="2640"/>
      </w:tblGrid>
      <w:tr>
        <w:trPr>
          <w:tblHeader w:val="on"/>
        </w:trPr>
        <w:tc>
          <w:tcPr/>
          <w:p>
            <w:pPr>
              <w:pStyle w:val="Compact"/>
              <w:spacing w:before="0" w:after="80" w:line="276" w:lineRule="auto"/>
              <w:jc w:val="both"/>
            </w:pPr>
            <w:r>
              <w:rPr>
                <w:rFonts w:ascii="Cambria" w:hAnsi="Cambria" w:cs="Cambria" w:eastAsia="Cambria"/>
                <w:sz w:val="18"/>
              </w:rPr>
              <w:t xml:space="preserve">Level</w:t>
            </w:r>
          </w:p>
        </w:tc>
        <w:tc>
          <w:tcPr/>
          <w:p>
            <w:pPr>
              <w:pStyle w:val="Compact"/>
              <w:spacing w:before="0" w:after="80" w:line="276" w:lineRule="auto"/>
              <w:jc w:val="both"/>
            </w:pPr>
            <w:r>
              <w:rPr>
                <w:rFonts w:ascii="Cambria" w:hAnsi="Cambria" w:cs="Cambria" w:eastAsia="Cambria"/>
                <w:sz w:val="18"/>
              </w:rPr>
              <w:t xml:space="preserve">Data accessible</w:t>
            </w:r>
          </w:p>
        </w:tc>
        <w:tc>
          <w:tcPr/>
          <w:p>
            <w:pPr>
              <w:pStyle w:val="Compact"/>
              <w:spacing w:before="0" w:after="80" w:line="276" w:lineRule="auto"/>
              <w:jc w:val="both"/>
            </w:pPr>
            <w:r>
              <w:rPr>
                <w:rFonts w:ascii="Cambria" w:hAnsi="Cambria" w:cs="Cambria" w:eastAsia="Cambria"/>
                <w:sz w:val="18"/>
              </w:rPr>
              <w:t xml:space="preserve">Predictions accessible</w:t>
            </w:r>
          </w:p>
        </w:tc>
      </w:tr>
      <w:tr>
        <w:tc>
          <w:tcPr/>
          <w:p>
            <w:pPr>
              <w:pStyle w:val="Compact"/>
              <w:spacing w:before="0" w:after="80" w:line="276" w:lineRule="auto"/>
              <w:jc w:val="both"/>
            </w:pPr>
            <w:r>
              <w:rPr>
                <w:rFonts w:ascii="Cambria" w:hAnsi="Cambria" w:cs="Cambria" w:eastAsia="Cambria"/>
                <w:sz w:val="18"/>
              </w:rPr>
              <w:t xml:space="preserve">Individual</w:t>
            </w:r>
          </w:p>
        </w:tc>
        <w:tc>
          <w:tcPr/>
          <w:p>
            <w:pPr>
              <w:pStyle w:val="Compact"/>
              <w:spacing w:before="0" w:after="80" w:line="276" w:lineRule="auto"/>
              <w:jc w:val="both"/>
            </w:pPr>
            <w:r>
              <w:rPr>
                <w:rFonts w:ascii="Cambria" w:hAnsi="Cambria" w:cs="Cambria" w:eastAsia="Cambria"/>
                <w:sz w:val="18"/>
              </w:rPr>
              <w:t xml:space="preserve">Own χ_Ze, trends</w:t>
            </w:r>
          </w:p>
        </w:tc>
        <w:tc>
          <w:tcPr/>
          <w:p>
            <w:pPr>
              <w:pStyle w:val="Compact"/>
              <w:spacing w:before="0" w:after="80" w:line="276" w:lineRule="auto"/>
              <w:jc w:val="both"/>
            </w:pPr>
            <w:r>
              <w:rPr>
                <w:rFonts w:ascii="Cambria" w:hAnsi="Cambria" w:cs="Cambria" w:eastAsia="Cambria"/>
                <w:sz w:val="18"/>
              </w:rPr>
              <w:t xml:space="preserve">Own risk</w:t>
            </w:r>
          </w:p>
        </w:tc>
      </w:tr>
      <w:tr>
        <w:tc>
          <w:tcPr/>
          <w:p>
            <w:pPr>
              <w:pStyle w:val="Compact"/>
              <w:spacing w:before="0" w:after="80" w:line="276" w:lineRule="auto"/>
              <w:jc w:val="both"/>
            </w:pPr>
            <w:r>
              <w:rPr>
                <w:rFonts w:ascii="Cambria" w:hAnsi="Cambria" w:cs="Cambria" w:eastAsia="Cambria"/>
                <w:sz w:val="18"/>
              </w:rPr>
              <w:t xml:space="preserve">Physician</w:t>
            </w:r>
          </w:p>
        </w:tc>
        <w:tc>
          <w:tcPr/>
          <w:p>
            <w:pPr>
              <w:pStyle w:val="Compact"/>
              <w:spacing w:before="0" w:after="80" w:line="276" w:lineRule="auto"/>
              <w:jc w:val="both"/>
            </w:pPr>
            <w:r>
              <w:rPr>
                <w:rFonts w:ascii="Cambria" w:hAnsi="Cambria" w:cs="Cambria" w:eastAsia="Cambria"/>
                <w:sz w:val="18"/>
              </w:rPr>
              <w:t xml:space="preserve">Own patients (with consent)</w:t>
            </w:r>
          </w:p>
        </w:tc>
        <w:tc>
          <w:tcPr/>
          <w:p>
            <w:pPr>
              <w:pStyle w:val="Compact"/>
              <w:spacing w:before="0" w:after="80" w:line="276" w:lineRule="auto"/>
              <w:jc w:val="both"/>
            </w:pPr>
            <w:r>
              <w:rPr>
                <w:rFonts w:ascii="Cambria" w:hAnsi="Cambria" w:cs="Cambria" w:eastAsia="Cambria"/>
                <w:sz w:val="18"/>
              </w:rPr>
              <w:t xml:space="preserve">Own patients</w:t>
            </w:r>
          </w:p>
        </w:tc>
      </w:tr>
      <w:tr>
        <w:tc>
          <w:tcPr/>
          <w:p>
            <w:pPr>
              <w:pStyle w:val="Compact"/>
              <w:spacing w:before="0" w:after="80" w:line="276" w:lineRule="auto"/>
              <w:jc w:val="both"/>
            </w:pPr>
            <w:r>
              <w:rPr>
                <w:rFonts w:ascii="Cambria" w:hAnsi="Cambria" w:cs="Cambria" w:eastAsia="Cambria"/>
                <w:sz w:val="18"/>
              </w:rPr>
              <w:t xml:space="preserve">Researcher</w:t>
            </w:r>
          </w:p>
        </w:tc>
        <w:tc>
          <w:tcPr/>
          <w:p>
            <w:pPr>
              <w:pStyle w:val="Compact"/>
              <w:spacing w:before="0" w:after="80" w:line="276" w:lineRule="auto"/>
              <w:jc w:val="both"/>
            </w:pPr>
            <w:r>
              <w:rPr>
                <w:rFonts w:ascii="Cambria" w:hAnsi="Cambria" w:cs="Cambria" w:eastAsia="Cambria"/>
                <w:sz w:val="18"/>
              </w:rPr>
              <w:t xml:space="preserve">Aggregated anonymized (N≥1000)</w:t>
            </w:r>
          </w:p>
        </w:tc>
        <w:tc>
          <w:tcPr/>
          <w:p>
            <w:pPr>
              <w:pStyle w:val="Compact"/>
              <w:spacing w:before="0" w:after="80" w:line="276" w:lineRule="auto"/>
              <w:jc w:val="both"/>
            </w:pPr>
            <w:r>
              <w:rPr>
                <w:rFonts w:ascii="Cambria" w:hAnsi="Cambria" w:cs="Cambria" w:eastAsia="Cambria"/>
                <w:sz w:val="18"/>
              </w:rPr>
              <w:t xml:space="preserve">Population trends</w:t>
            </w:r>
          </w:p>
        </w:tc>
      </w:tr>
      <w:tr>
        <w:tc>
          <w:tcPr/>
          <w:p>
            <w:pPr>
              <w:pStyle w:val="Compact"/>
              <w:spacing w:before="0" w:after="80" w:line="276" w:lineRule="auto"/>
              <w:jc w:val="both"/>
            </w:pPr>
            <w:r>
              <w:rPr>
                <w:rFonts w:ascii="Cambria" w:hAnsi="Cambria" w:cs="Cambria" w:eastAsia="Cambria"/>
                <w:sz w:val="18"/>
              </w:rPr>
              <w:t xml:space="preserve">Insurance company</w:t>
            </w:r>
          </w:p>
        </w:tc>
        <w:tc>
          <w:tcPr/>
          <w:p>
            <w:pPr>
              <w:pStyle w:val="Compact"/>
              <w:spacing w:before="0" w:after="80" w:line="276" w:lineRule="auto"/>
              <w:jc w:val="both"/>
            </w:pPr>
            <w:r>
              <w:rPr>
                <w:rFonts w:ascii="Cambria" w:hAnsi="Cambria" w:cs="Cambria" w:eastAsia="Cambria"/>
                <w:sz w:val="18"/>
              </w:rPr>
              <w:t xml:space="preserve">Group statistics only</w:t>
            </w:r>
          </w:p>
        </w:tc>
        <w:tc>
          <w:tcPr/>
          <w:p>
            <w:pPr>
              <w:pStyle w:val="Compact"/>
              <w:spacing w:before="0" w:after="80" w:line="276" w:lineRule="auto"/>
              <w:jc w:val="both"/>
            </w:pPr>
            <w:r>
              <w:rPr>
                <w:rFonts w:ascii="Cambria" w:hAnsi="Cambria" w:cs="Cambria" w:eastAsia="Cambria"/>
                <w:sz w:val="18"/>
              </w:rPr>
              <w:t xml:space="preserve">Actuarial tables</w:t>
            </w:r>
          </w:p>
        </w:tc>
      </w:tr>
      <w:tr>
        <w:tc>
          <w:tcPr/>
          <w:p>
            <w:pPr>
              <w:pStyle w:val="Compact"/>
              <w:spacing w:before="0" w:after="80" w:line="276" w:lineRule="auto"/>
              <w:jc w:val="both"/>
            </w:pPr>
            <w:r>
              <w:rPr>
                <w:rFonts w:ascii="Cambria" w:hAnsi="Cambria" w:cs="Cambria" w:eastAsia="Cambria"/>
                <w:sz w:val="18"/>
              </w:rPr>
              <w:t xml:space="preserve">Employer</w:t>
            </w:r>
          </w:p>
        </w:tc>
        <w:tc>
          <w:tcPr/>
          <w:p>
            <w:pPr>
              <w:pStyle w:val="Compact"/>
              <w:spacing w:before="0" w:after="80" w:line="276" w:lineRule="auto"/>
              <w:jc w:val="both"/>
            </w:pPr>
            <w:r>
              <w:rPr>
                <w:rFonts w:ascii="Cambria" w:hAnsi="Cambria" w:cs="Cambria" w:eastAsia="Cambria"/>
                <w:b/>
                <w:bCs/>
                <w:sz w:val="18"/>
              </w:rPr>
              <w:t xml:space="preserve">Prohibited</w:t>
            </w:r>
          </w:p>
        </w:tc>
        <w:tc>
          <w:tcPr/>
          <w:p>
            <w:pPr>
              <w:pStyle w:val="Compact"/>
              <w:spacing w:before="0" w:after="80" w:line="276" w:lineRule="auto"/>
              <w:jc w:val="both"/>
            </w:pPr>
            <w:r>
              <w:rPr>
                <w:rFonts w:ascii="Cambria" w:hAnsi="Cambria" w:cs="Cambria" w:eastAsia="Cambria"/>
                <w:b/>
                <w:bCs/>
                <w:sz w:val="18"/>
              </w:rPr>
              <w:t xml:space="preserve">Prohibited</w:t>
            </w:r>
          </w:p>
        </w:tc>
      </w:tr>
    </w:tbl>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7. Conclusion</w:t>
      </w:r>
    </w:p>
    <w:p>
      <w:pPr>
        <w:pStyle w:val="FirstParagraph"/>
        <w:spacing w:before="0" w:after="200" w:line="276" w:lineRule="auto"/>
        <w:jc w:val="both"/>
      </w:pPr>
      <w:r>
        <w:rPr>
          <w:rFonts w:ascii="Cambria" w:hAnsi="Cambria" w:cs="Cambria" w:eastAsia="Cambria"/>
          <w:sz w:val="22"/>
        </w:rPr>
        <w:t xml:space="preserve">BioSense represents a</w:t>
      </w:r>
      <w:r>
        <w:rPr>
          <w:rFonts w:ascii="Cambria" w:hAnsi="Cambria" w:cs="Cambria" w:eastAsia="Cambria"/>
          <w:sz w:val="22"/>
        </w:rPr>
        <w:t xml:space="preserve"> </w:t>
      </w:r>
      <w:r>
        <w:rPr>
          <w:rFonts w:ascii="Cambria" w:hAnsi="Cambria" w:cs="Cambria" w:eastAsia="Cambria"/>
          <w:b/>
          <w:bCs/>
          <w:sz w:val="22"/>
        </w:rPr>
        <w:t xml:space="preserve">theoretically motivated approach</w:t>
      </w:r>
      <w:r>
        <w:rPr>
          <w:rFonts w:ascii="Cambria" w:hAnsi="Cambria" w:cs="Cambria" w:eastAsia="Cambria"/>
          <w:sz w:val="22"/>
        </w:rPr>
        <w:t xml:space="preserve"> </w:t>
      </w:r>
      <w:r>
        <w:rPr>
          <w:rFonts w:ascii="Cambria" w:hAnsi="Cambria" w:cs="Cambria" w:eastAsia="Cambria"/>
          <w:sz w:val="22"/>
        </w:rPr>
        <w:t xml:space="preserve">to continuous monitoring of aging-related physiological decline, grounded in predictive information theory (Bialek et al., 2001), the free-energy principle (Friston et al., 2010), and nonequilibrium thermodynamic models of aging (Wallace, 2015). The mathematical derivation of the χ_Ze index from first principles (Section 2.1) provides a formal foundation for interpreting wearable biosignals.</w:t>
      </w:r>
    </w:p>
    <w:p>
      <w:pPr>
        <w:pStyle w:val="BodyText"/>
        <w:spacing w:before="0" w:after="200" w:line="276" w:lineRule="auto"/>
        <w:jc w:val="both"/>
      </w:pPr>
      <w:r>
        <w:rPr>
          <w:rFonts w:ascii="Cambria" w:hAnsi="Cambria" w:cs="Cambria" w:eastAsia="Cambria"/>
          <w:b/>
          <w:bCs/>
          <w:sz w:val="22"/>
        </w:rPr>
        <w:t xml:space="preserve">However, the empirical validation presented here is preliminary and underpowered.</w:t>
      </w:r>
      <w:r>
        <w:rPr>
          <w:rFonts w:ascii="Cambria" w:hAnsi="Cambria" w:cs="Cambria" w:eastAsia="Cambria"/>
          <w:sz w:val="22"/>
        </w:rPr>
        <w:t xml:space="preserve"> </w:t>
      </w:r>
      <w:r>
        <w:rPr>
          <w:rFonts w:ascii="Cambria" w:hAnsi="Cambria" w:cs="Cambria" w:eastAsia="Cambria"/>
          <w:sz w:val="22"/>
        </w:rPr>
        <w:t xml:space="preserve">Confirmatory testing requires N≥500 with ≥150 events, independent All of Us replication, and continued refinement of the theoretical framework.</w:t>
      </w:r>
    </w:p>
    <w:p>
      <w:pPr>
        <w:pStyle w:val="BodyText"/>
        <w:spacing w:before="0" w:after="200" w:line="276" w:lineRule="auto"/>
        <w:jc w:val="both"/>
      </w:pPr>
      <w:r>
        <w:rPr>
          <w:rFonts w:ascii="Cambria" w:hAnsi="Cambria" w:cs="Cambria" w:eastAsia="Cambria"/>
          <w:sz w:val="22"/>
        </w:rPr>
        <w:t xml:space="preserve">We present this work as a</w:t>
      </w:r>
      <w:r>
        <w:rPr>
          <w:rFonts w:ascii="Cambria" w:hAnsi="Cambria" w:cs="Cambria" w:eastAsia="Cambria"/>
          <w:sz w:val="22"/>
        </w:rPr>
        <w:t xml:space="preserve"> </w:t>
      </w:r>
      <w:r>
        <w:rPr>
          <w:rFonts w:ascii="Cambria" w:hAnsi="Cambria" w:cs="Cambria" w:eastAsia="Cambria"/>
          <w:b/>
          <w:bCs/>
          <w:sz w:val="22"/>
        </w:rPr>
        <w:t xml:space="preserve">hypothesis-generating study</w:t>
      </w:r>
      <w:r>
        <w:rPr>
          <w:rFonts w:ascii="Cambria" w:hAnsi="Cambria" w:cs="Cambria" w:eastAsia="Cambria"/>
          <w:sz w:val="22"/>
        </w:rPr>
        <w:t xml:space="preserve"> </w:t>
      </w:r>
      <w:r>
        <w:rPr>
          <w:rFonts w:ascii="Cambria" w:hAnsi="Cambria" w:cs="Cambria" w:eastAsia="Cambria"/>
          <w:sz w:val="22"/>
        </w:rPr>
        <w:t xml:space="preserve">and as a</w:t>
      </w:r>
      <w:r>
        <w:rPr>
          <w:rFonts w:ascii="Cambria" w:hAnsi="Cambria" w:cs="Cambria" w:eastAsia="Cambria"/>
          <w:sz w:val="22"/>
        </w:rPr>
        <w:t xml:space="preserve"> </w:t>
      </w:r>
      <w:r>
        <w:rPr>
          <w:rFonts w:ascii="Cambria" w:hAnsi="Cambria" w:cs="Cambria" w:eastAsia="Cambria"/>
          <w:b/>
          <w:bCs/>
          <w:sz w:val="22"/>
        </w:rPr>
        <w:t xml:space="preserve">theoretical framework</w:t>
      </w:r>
      <w:r>
        <w:rPr>
          <w:rFonts w:ascii="Cambria" w:hAnsi="Cambria" w:cs="Cambria" w:eastAsia="Cambria"/>
          <w:sz w:val="22"/>
        </w:rPr>
        <w:t xml:space="preserve"> </w:t>
      </w:r>
      <w:r>
        <w:rPr>
          <w:rFonts w:ascii="Cambria" w:hAnsi="Cambria" w:cs="Cambria" w:eastAsia="Cambria"/>
          <w:sz w:val="22"/>
        </w:rPr>
        <w:t xml:space="preserve">requiring rigorous prospective validation. Aging, conceptualized as a total chronic disease (ICD-11 codes XT9T, MG2A), merits continuous monitoring — but the tools for such monitoring must meet the highest standards of evidence.</w:t>
      </w:r>
    </w:p>
    <w:p>
      <w:pPr>
        <w:pStyle w:val="BodyText"/>
        <w:spacing w:before="0" w:after="200" w:line="276" w:lineRule="auto"/>
        <w:jc w:val="both"/>
      </w:pPr>
      <w:r>
        <w:rPr>
          <w:rFonts w:ascii="Cambria" w:hAnsi="Cambria" w:cs="Cambria" w:eastAsia="Cambria"/>
          <w:sz w:val="22"/>
        </w:rPr>
        <w:t xml:space="preserve">BioSense is the first step toward a global management system for the most prevalent disease in human history, grounded in first-principles mathematics rather than empirical curve-fitting alone.</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References (APA 7th Edition — All Verified)</w:t>
      </w:r>
    </w:p>
    <w:p>
      <w:pPr>
        <w:pStyle w:val="FirstParagraph"/>
        <w:spacing w:before="0" w:after="120" w:line="276" w:lineRule="auto"/>
        <w:ind w:hanging="720" w:left="720"/>
        <w:jc w:val="left"/>
      </w:pPr>
      <w:r>
        <w:rPr>
          <w:rFonts w:ascii="Cambria" w:hAnsi="Cambria" w:cs="Cambria" w:eastAsia="Cambria"/>
          <w:sz w:val="20"/>
        </w:rPr>
        <w:t xml:space="preserve">Bialek, W., Nemenman, I., &amp; Tishby, N. (2001). Predictability, complexity, and learning.</w:t>
      </w:r>
      <w:r>
        <w:rPr>
          <w:rFonts w:ascii="Cambria" w:hAnsi="Cambria" w:cs="Cambria" w:eastAsia="Cambria"/>
          <w:sz w:val="20"/>
        </w:rPr>
        <w:t xml:space="preserve"> </w:t>
      </w:r>
      <w:r>
        <w:rPr>
          <w:rFonts w:ascii="Cambria" w:hAnsi="Cambria" w:cs="Cambria" w:eastAsia="Cambria"/>
          <w:i/>
          <w:iCs/>
          <w:sz w:val="20"/>
        </w:rPr>
        <w:t xml:space="preserve">Neural Computation</w:t>
      </w:r>
      <w:r>
        <w:rPr>
          <w:rFonts w:ascii="Cambria" w:hAnsi="Cambria" w:cs="Cambria" w:eastAsia="Cambria"/>
          <w:sz w:val="20"/>
        </w:rPr>
        <w:t xml:space="preserve">, 13(11), 2409–2463. https://doi.org/10.1162/089976601753195969</w:t>
      </w:r>
    </w:p>
    <w:p>
      <w:pPr>
        <w:pStyle w:val="BodyText"/>
        <w:spacing w:before="0" w:after="120" w:line="276" w:lineRule="auto"/>
        <w:ind w:hanging="720" w:left="720"/>
        <w:jc w:val="left"/>
      </w:pPr>
      <w:r>
        <w:rPr>
          <w:rFonts w:ascii="Cambria" w:hAnsi="Cambria" w:cs="Cambria" w:eastAsia="Cambria"/>
          <w:sz w:val="20"/>
        </w:rPr>
        <w:t xml:space="preserve">Friston, K. J., Daunizeau, J., Kilner, J., &amp; Kiebel, S. J. (2010). Action and behavior: A free-energy formulation.</w:t>
      </w:r>
      <w:r>
        <w:rPr>
          <w:rFonts w:ascii="Cambria" w:hAnsi="Cambria" w:cs="Cambria" w:eastAsia="Cambria"/>
          <w:sz w:val="20"/>
        </w:rPr>
        <w:t xml:space="preserve"> </w:t>
      </w:r>
      <w:r>
        <w:rPr>
          <w:rFonts w:ascii="Cambria" w:hAnsi="Cambria" w:cs="Cambria" w:eastAsia="Cambria"/>
          <w:i/>
          <w:iCs/>
          <w:sz w:val="20"/>
        </w:rPr>
        <w:t xml:space="preserve">Biological Cybernetics</w:t>
      </w:r>
      <w:r>
        <w:rPr>
          <w:rFonts w:ascii="Cambria" w:hAnsi="Cambria" w:cs="Cambria" w:eastAsia="Cambria"/>
          <w:sz w:val="20"/>
        </w:rPr>
        <w:t xml:space="preserve">, 102(3), 227–260. https://doi.org/10.1007/s00422-010-0364-z</w:t>
      </w:r>
    </w:p>
    <w:p>
      <w:pPr>
        <w:pStyle w:val="BodyText"/>
        <w:spacing w:before="0" w:after="120" w:line="276" w:lineRule="auto"/>
        <w:ind w:hanging="720" w:left="720"/>
        <w:jc w:val="left"/>
      </w:pPr>
      <w:r>
        <w:rPr>
          <w:rFonts w:ascii="Cambria" w:hAnsi="Cambria" w:cs="Cambria" w:eastAsia="Cambria"/>
          <w:sz w:val="20"/>
        </w:rPr>
        <w:t xml:space="preserve">Kim, Y., Seo, Y., Kim, J., Kim, H., Jang, J. W., Jung, H. G., Lee, Y., Kim, S., Choi, Y., &amp; Yoon, D. S. (2025). Molecularly imprinted polymer-based electrochemical sensor for IL-6 detection with senescence cell models.</w:t>
      </w:r>
      <w:r>
        <w:rPr>
          <w:rFonts w:ascii="Cambria" w:hAnsi="Cambria" w:cs="Cambria" w:eastAsia="Cambria"/>
          <w:sz w:val="20"/>
        </w:rPr>
        <w:t xml:space="preserve"> </w:t>
      </w:r>
      <w:r>
        <w:rPr>
          <w:rFonts w:ascii="Cambria" w:hAnsi="Cambria" w:cs="Cambria" w:eastAsia="Cambria"/>
          <w:i/>
          <w:iCs/>
          <w:sz w:val="20"/>
        </w:rPr>
        <w:t xml:space="preserve">Sensors and Actuators B: Chemical</w:t>
      </w:r>
      <w:r>
        <w:rPr>
          <w:rFonts w:ascii="Cambria" w:hAnsi="Cambria" w:cs="Cambria" w:eastAsia="Cambria"/>
          <w:sz w:val="20"/>
        </w:rPr>
        <w:t xml:space="preserve">, 439, 137805. https://doi.org/10.1016/j.snb.2025.137805</w:t>
      </w:r>
    </w:p>
    <w:p>
      <w:pPr>
        <w:pStyle w:val="BodyText"/>
        <w:spacing w:before="0" w:after="120" w:line="276" w:lineRule="auto"/>
        <w:ind w:hanging="720" w:left="720"/>
        <w:jc w:val="left"/>
      </w:pPr>
      <w:r>
        <w:rPr>
          <w:rFonts w:ascii="Cambria" w:hAnsi="Cambria" w:cs="Cambria" w:eastAsia="Cambria"/>
          <w:sz w:val="20"/>
        </w:rPr>
        <w:t xml:space="preserve">Miller, A. C., Futoma, J., Abbaspourazad, S., Heinze-Deml, C., Emrani, S., Shapiro, I., &amp; Sapiro, G. (2025). A wearable-based aging clock associates with disease and behavior.</w:t>
      </w:r>
      <w:r>
        <w:rPr>
          <w:rFonts w:ascii="Cambria" w:hAnsi="Cambria" w:cs="Cambria" w:eastAsia="Cambria"/>
          <w:sz w:val="20"/>
        </w:rPr>
        <w:t xml:space="preserve"> </w:t>
      </w:r>
      <w:r>
        <w:rPr>
          <w:rFonts w:ascii="Cambria" w:hAnsi="Cambria" w:cs="Cambria" w:eastAsia="Cambria"/>
          <w:i/>
          <w:iCs/>
          <w:sz w:val="20"/>
        </w:rPr>
        <w:t xml:space="preserve">Nature Communications</w:t>
      </w:r>
      <w:r>
        <w:rPr>
          <w:rFonts w:ascii="Cambria" w:hAnsi="Cambria" w:cs="Cambria" w:eastAsia="Cambria"/>
          <w:sz w:val="20"/>
        </w:rPr>
        <w:t xml:space="preserve">, 16, Article 9264. https://doi.org/10.1038/s41467-025-64275-4</w:t>
      </w:r>
    </w:p>
    <w:p>
      <w:pPr>
        <w:pStyle w:val="BodyText"/>
        <w:spacing w:before="0" w:after="120" w:line="276" w:lineRule="auto"/>
        <w:ind w:hanging="720" w:left="720"/>
        <w:jc w:val="left"/>
      </w:pPr>
      <w:r>
        <w:rPr>
          <w:rFonts w:ascii="Cambria" w:hAnsi="Cambria" w:cs="Cambria" w:eastAsia="Cambria"/>
          <w:sz w:val="20"/>
        </w:rPr>
        <w:t xml:space="preserve">Shim, J., &amp; Onnela, J. P. (2025). Longitudinal digital phenotyping of circadian rest-activity rhythms via wearables as biomarkers for late-life function, cognition, and neuropsychiatric health.</w:t>
      </w:r>
      <w:r>
        <w:rPr>
          <w:rFonts w:ascii="Cambria" w:hAnsi="Cambria" w:cs="Cambria" w:eastAsia="Cambria"/>
          <w:sz w:val="20"/>
        </w:rPr>
        <w:t xml:space="preserve"> </w:t>
      </w:r>
      <w:r>
        <w:rPr>
          <w:rFonts w:ascii="Cambria" w:hAnsi="Cambria" w:cs="Cambria" w:eastAsia="Cambria"/>
          <w:i/>
          <w:iCs/>
          <w:sz w:val="20"/>
        </w:rPr>
        <w:t xml:space="preserve">medRxiv</w:t>
      </w:r>
      <w:r>
        <w:rPr>
          <w:rFonts w:ascii="Cambria" w:hAnsi="Cambria" w:cs="Cambria" w:eastAsia="Cambria"/>
          <w:sz w:val="20"/>
        </w:rPr>
        <w:t xml:space="preserve">. https://doi.org/10.1101/2025.09.20.25336210</w:t>
      </w:r>
    </w:p>
    <w:p>
      <w:pPr>
        <w:pStyle w:val="BodyText"/>
        <w:spacing w:before="0" w:after="120" w:line="276" w:lineRule="auto"/>
        <w:ind w:hanging="720" w:left="720"/>
        <w:jc w:val="left"/>
      </w:pPr>
      <w:r>
        <w:rPr>
          <w:rFonts w:ascii="Cambria" w:hAnsi="Cambria" w:cs="Cambria" w:eastAsia="Cambria"/>
          <w:sz w:val="20"/>
        </w:rPr>
        <w:t xml:space="preserve">Tkemaladze, J. (2023). Reduction, proliferation, and differentiation defects of stem cells over time: A consequence of selective accumulation of old centrioles in the stem cells?</w:t>
      </w:r>
      <w:r>
        <w:rPr>
          <w:rFonts w:ascii="Cambria" w:hAnsi="Cambria" w:cs="Cambria" w:eastAsia="Cambria"/>
          <w:sz w:val="20"/>
        </w:rPr>
        <w:t xml:space="preserve"> </w:t>
      </w:r>
      <w:r>
        <w:rPr>
          <w:rFonts w:ascii="Cambria" w:hAnsi="Cambria" w:cs="Cambria" w:eastAsia="Cambria"/>
          <w:i/>
          <w:iCs/>
          <w:sz w:val="20"/>
        </w:rPr>
        <w:t xml:space="preserve">Molecular Biology Reports</w:t>
      </w:r>
      <w:r>
        <w:rPr>
          <w:rFonts w:ascii="Cambria" w:hAnsi="Cambria" w:cs="Cambria" w:eastAsia="Cambria"/>
          <w:sz w:val="20"/>
        </w:rPr>
        <w:t xml:space="preserve">, 50(3), 2751–2761. https://doi.org/10.1007/s11033-022-08203-5</w:t>
      </w:r>
    </w:p>
    <w:p>
      <w:pPr>
        <w:pStyle w:val="BodyText"/>
        <w:spacing w:before="0" w:after="120" w:line="276" w:lineRule="auto"/>
        <w:ind w:hanging="720" w:left="720"/>
        <w:jc w:val="left"/>
      </w:pPr>
      <w:r>
        <w:rPr>
          <w:rFonts w:ascii="Cambria" w:hAnsi="Cambria" w:cs="Cambria" w:eastAsia="Cambria"/>
          <w:sz w:val="20"/>
        </w:rPr>
        <w:t xml:space="preserve">Tkemaladze, J. (2026a). Unified axioms of the Ze vector theory.</w:t>
      </w:r>
      <w:r>
        <w:rPr>
          <w:rFonts w:ascii="Cambria" w:hAnsi="Cambria" w:cs="Cambria" w:eastAsia="Cambria"/>
          <w:sz w:val="20"/>
        </w:rPr>
        <w:t xml:space="preserve"> </w:t>
      </w:r>
      <w:r>
        <w:rPr>
          <w:rFonts w:ascii="Cambria" w:hAnsi="Cambria" w:cs="Cambria" w:eastAsia="Cambria"/>
          <w:i/>
          <w:iCs/>
          <w:sz w:val="20"/>
        </w:rPr>
        <w:t xml:space="preserve">Longevity Horizon</w:t>
      </w:r>
      <w:r>
        <w:rPr>
          <w:rFonts w:ascii="Cambria" w:hAnsi="Cambria" w:cs="Cambria" w:eastAsia="Cambria"/>
          <w:sz w:val="20"/>
        </w:rPr>
        <w:t xml:space="preserve">, 2(4). https://doi.org/10.65649/km7eg015</w:t>
      </w:r>
    </w:p>
    <w:p>
      <w:pPr>
        <w:pStyle w:val="BodyText"/>
        <w:spacing w:before="0" w:after="120" w:line="276" w:lineRule="auto"/>
        <w:ind w:hanging="720" w:left="720"/>
        <w:jc w:val="left"/>
      </w:pPr>
      <w:r>
        <w:rPr>
          <w:rFonts w:ascii="Cambria" w:hAnsi="Cambria" w:cs="Cambria" w:eastAsia="Cambria"/>
          <w:sz w:val="20"/>
        </w:rPr>
        <w:t xml:space="preserve">Tkemaladze, J. (2026b). From metric to vector.</w:t>
      </w:r>
      <w:r>
        <w:rPr>
          <w:rFonts w:ascii="Cambria" w:hAnsi="Cambria" w:cs="Cambria" w:eastAsia="Cambria"/>
          <w:sz w:val="20"/>
        </w:rPr>
        <w:t xml:space="preserve"> </w:t>
      </w:r>
      <w:r>
        <w:rPr>
          <w:rFonts w:ascii="Cambria" w:hAnsi="Cambria" w:cs="Cambria" w:eastAsia="Cambria"/>
          <w:i/>
          <w:iCs/>
          <w:sz w:val="20"/>
        </w:rPr>
        <w:t xml:space="preserve">Longevity Horizon</w:t>
      </w:r>
      <w:r>
        <w:rPr>
          <w:rFonts w:ascii="Cambria" w:hAnsi="Cambria" w:cs="Cambria" w:eastAsia="Cambria"/>
          <w:sz w:val="20"/>
        </w:rPr>
        <w:t xml:space="preserve">, 2(4). https://doi.org/10.65649/4nw8wh34</w:t>
      </w:r>
    </w:p>
    <w:p>
      <w:pPr>
        <w:pStyle w:val="BodyText"/>
        <w:spacing w:before="0" w:after="120" w:line="276" w:lineRule="auto"/>
        <w:ind w:hanging="720" w:left="720"/>
        <w:jc w:val="left"/>
      </w:pPr>
      <w:r>
        <w:rPr>
          <w:rFonts w:ascii="Cambria" w:hAnsi="Cambria" w:cs="Cambria" w:eastAsia="Cambria"/>
          <w:sz w:val="20"/>
        </w:rPr>
        <w:t xml:space="preserve">Vallabhaneni, S., Kim, H., Lee, J., Park, S., &amp; Choi, W. (2026). VEIL: A framework for differentially private, interpretable, and communication-efficient federated learning.</w:t>
      </w:r>
      <w:r>
        <w:rPr>
          <w:rFonts w:ascii="Cambria" w:hAnsi="Cambria" w:cs="Cambria" w:eastAsia="Cambria"/>
          <w:sz w:val="20"/>
        </w:rPr>
        <w:t xml:space="preserve"> </w:t>
      </w:r>
      <w:r>
        <w:rPr>
          <w:rFonts w:ascii="Cambria" w:hAnsi="Cambria" w:cs="Cambria" w:eastAsia="Cambria"/>
          <w:i/>
          <w:iCs/>
          <w:sz w:val="20"/>
        </w:rPr>
        <w:t xml:space="preserve">Proceedings of Machine Learning Research</w:t>
      </w:r>
      <w:r>
        <w:rPr>
          <w:rFonts w:ascii="Cambria" w:hAnsi="Cambria" w:cs="Cambria" w:eastAsia="Cambria"/>
          <w:sz w:val="20"/>
        </w:rPr>
        <w:t xml:space="preserve">, 317, 275–283.</w:t>
      </w:r>
    </w:p>
    <w:p>
      <w:pPr>
        <w:pStyle w:val="BodyText"/>
        <w:spacing w:before="0" w:after="120" w:line="276" w:lineRule="auto"/>
        <w:ind w:hanging="720" w:left="720"/>
        <w:jc w:val="left"/>
      </w:pPr>
      <w:r>
        <w:rPr>
          <w:rFonts w:ascii="Cambria" w:hAnsi="Cambria" w:cs="Cambria" w:eastAsia="Cambria"/>
          <w:sz w:val="20"/>
        </w:rPr>
        <w:t xml:space="preserve">Wallace, R. (2015). Metabolic free energy and biological codes: A</w:t>
      </w:r>
      <w:r>
        <w:rPr>
          <w:rFonts w:ascii="Cambria" w:hAnsi="Cambria" w:cs="Cambria" w:eastAsia="Cambria"/>
          <w:sz w:val="20"/>
        </w:rPr>
        <w:t xml:space="preserve"> </w:t>
      </w:r>
      <w:r>
        <w:rPr>
          <w:rFonts w:ascii="Cambria" w:hAnsi="Cambria" w:cs="Cambria" w:eastAsia="Cambria"/>
          <w:sz w:val="20"/>
        </w:rPr>
        <w:t xml:space="preserve">‘data rate theorem’</w:t>
      </w:r>
      <w:r>
        <w:rPr>
          <w:rFonts w:ascii="Cambria" w:hAnsi="Cambria" w:cs="Cambria" w:eastAsia="Cambria"/>
          <w:sz w:val="20"/>
        </w:rPr>
        <w:t xml:space="preserve"> </w:t>
      </w:r>
      <w:r>
        <w:rPr>
          <w:rFonts w:ascii="Cambria" w:hAnsi="Cambria" w:cs="Cambria" w:eastAsia="Cambria"/>
          <w:sz w:val="20"/>
        </w:rPr>
        <w:t xml:space="preserve">aging model.</w:t>
      </w:r>
      <w:r>
        <w:rPr>
          <w:rFonts w:ascii="Cambria" w:hAnsi="Cambria" w:cs="Cambria" w:eastAsia="Cambria"/>
          <w:sz w:val="20"/>
        </w:rPr>
        <w:t xml:space="preserve"> </w:t>
      </w:r>
      <w:r>
        <w:rPr>
          <w:rFonts w:ascii="Cambria" w:hAnsi="Cambria" w:cs="Cambria" w:eastAsia="Cambria"/>
          <w:i/>
          <w:iCs/>
          <w:sz w:val="20"/>
        </w:rPr>
        <w:t xml:space="preserve">Bulletin of Mathematical Biology</w:t>
      </w:r>
      <w:r>
        <w:rPr>
          <w:rFonts w:ascii="Cambria" w:hAnsi="Cambria" w:cs="Cambria" w:eastAsia="Cambria"/>
          <w:sz w:val="20"/>
        </w:rPr>
        <w:t xml:space="preserve">, 77(6), 879–903. https://doi.org/10.1007/s11538-014-0013-0</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Supplementary Materials</w:t>
      </w:r>
    </w:p>
    <w:p>
      <w:pPr>
        <w:pStyle w:val="Compact"/>
        <w:numPr>
          <w:ilvl w:val="0"/>
          <w:numId w:val="1014"/>
        </w:numPr>
        <w:spacing w:before="0" w:after="200" w:line="276" w:lineRule="auto"/>
        <w:jc w:val="both"/>
      </w:pPr>
      <w:r>
        <w:rPr>
          <w:rFonts w:ascii="Cambria" w:hAnsi="Cambria" w:cs="Cambria" w:eastAsia="Cambria"/>
          <w:b/>
          <w:bCs/>
          <w:sz w:val="22"/>
        </w:rPr>
        <w:t xml:space="preserve">Appendix A:</w:t>
      </w:r>
      <w:r>
        <w:rPr>
          <w:rFonts w:ascii="Cambria" w:hAnsi="Cambria" w:cs="Cambria" w:eastAsia="Cambria"/>
          <w:sz w:val="22"/>
        </w:rPr>
        <w:t xml:space="preserve"> </w:t>
      </w:r>
      <w:r>
        <w:rPr>
          <w:rFonts w:ascii="Cambria" w:hAnsi="Cambria" w:cs="Cambria" w:eastAsia="Cambria"/>
          <w:sz w:val="22"/>
        </w:rPr>
        <w:t xml:space="preserve">Complete mathematical derivation of v₀ = 1 - ln 2 from entropy maximization</w:t>
      </w:r>
    </w:p>
    <w:p>
      <w:pPr>
        <w:pStyle w:val="Compact"/>
        <w:numPr>
          <w:ilvl w:val="0"/>
          <w:numId w:val="1014"/>
        </w:numPr>
        <w:spacing w:before="0" w:after="200" w:line="276" w:lineRule="auto"/>
        <w:jc w:val="both"/>
      </w:pPr>
      <w:r>
        <w:rPr>
          <w:rFonts w:ascii="Cambria" w:hAnsi="Cambria" w:cs="Cambria" w:eastAsia="Cambria"/>
          <w:b/>
          <w:bCs/>
          <w:sz w:val="22"/>
        </w:rPr>
        <w:t xml:space="preserve">Appendix B:</w:t>
      </w:r>
      <w:r>
        <w:rPr>
          <w:rFonts w:ascii="Cambria" w:hAnsi="Cambria" w:cs="Cambria" w:eastAsia="Cambria"/>
          <w:sz w:val="22"/>
        </w:rPr>
        <w:t xml:space="preserve"> </w:t>
      </w:r>
      <w:r>
        <w:rPr>
          <w:rFonts w:ascii="Cambria" w:hAnsi="Cambria" w:cs="Cambria" w:eastAsia="Cambria"/>
          <w:sz w:val="22"/>
        </w:rPr>
        <w:t xml:space="preserve">Sensitivity analysis for binarization thresholds (EEG, HRV, respiration)</w:t>
      </w:r>
    </w:p>
    <w:p>
      <w:pPr>
        <w:pStyle w:val="Compact"/>
        <w:numPr>
          <w:ilvl w:val="0"/>
          <w:numId w:val="1014"/>
        </w:numPr>
        <w:spacing w:before="0" w:after="200" w:line="276" w:lineRule="auto"/>
        <w:jc w:val="both"/>
      </w:pPr>
      <w:r>
        <w:rPr>
          <w:rFonts w:ascii="Cambria" w:hAnsi="Cambria" w:cs="Cambria" w:eastAsia="Cambria"/>
          <w:b/>
          <w:bCs/>
          <w:sz w:val="22"/>
        </w:rPr>
        <w:t xml:space="preserve">Appendix C:</w:t>
      </w:r>
      <w:r>
        <w:rPr>
          <w:rFonts w:ascii="Cambria" w:hAnsi="Cambria" w:cs="Cambria" w:eastAsia="Cambria"/>
          <w:sz w:val="22"/>
        </w:rPr>
        <w:t xml:space="preserve"> </w:t>
      </w:r>
      <w:r>
        <w:rPr>
          <w:rFonts w:ascii="Cambria" w:hAnsi="Cambria" w:cs="Cambria" w:eastAsia="Cambria"/>
          <w:sz w:val="22"/>
        </w:rPr>
        <w:t xml:space="preserve">Cuban EEG Database description (to be provided with full citation)</w:t>
      </w:r>
    </w:p>
    <w:p>
      <w:pPr>
        <w:pStyle w:val="Compact"/>
        <w:numPr>
          <w:ilvl w:val="0"/>
          <w:numId w:val="1014"/>
        </w:numPr>
        <w:spacing w:before="0" w:after="200" w:line="276" w:lineRule="auto"/>
        <w:jc w:val="both"/>
      </w:pPr>
      <w:r>
        <w:rPr>
          <w:rFonts w:ascii="Cambria" w:hAnsi="Cambria" w:cs="Cambria" w:eastAsia="Cambria"/>
          <w:b/>
          <w:bCs/>
          <w:sz w:val="22"/>
        </w:rPr>
        <w:t xml:space="preserve">Code repository:</w:t>
      </w:r>
      <w:r>
        <w:rPr>
          <w:rFonts w:ascii="Cambria" w:hAnsi="Cambria" w:cs="Cambria" w:eastAsia="Cambria"/>
          <w:sz w:val="22"/>
        </w:rPr>
        <w:t xml:space="preserve"> </w:t>
      </w:r>
      <w:r>
        <w:rPr>
          <w:rFonts w:ascii="Cambria" w:hAnsi="Cambria" w:cs="Cambria" w:eastAsia="Cambria"/>
          <w:sz w:val="22"/>
        </w:rPr>
        <w:t xml:space="preserve">https://github.com/djabbat/BioSense-public</w:t>
      </w:r>
      <w:r>
        <w:rPr>
          <w:rFonts w:ascii="Cambria" w:hAnsi="Cambria" w:cs="Cambria" w:eastAsia="Cambria"/>
          <w:sz w:val="22"/>
        </w:rPr>
        <w:t xml:space="preserve"> </w:t>
      </w:r>
      <w:r>
        <w:rPr>
          <w:rFonts w:ascii="Cambria" w:hAnsi="Cambria" w:cs="Cambria" w:eastAsia="Cambria"/>
          <w:i/>
          <w:iCs/>
          <w:sz w:val="22"/>
        </w:rPr>
        <w:t xml:space="preserve">(To be populated prior to publication)</w:t>
      </w:r>
    </w:p>
    <w:p>
      <w:pPr>
        <w:spacing w:before="0" w:after="200" w:line="276" w:lineRule="auto"/>
        <w:jc w:val="both"/>
      </w:pPr>
      <w:r>
        <w:pict>
          <v:rect style="width:0;height:1.5pt" o:hralign="center" o:hrstd="t" o:hr="t"/>
        </w:pict>
      </w:r>
    </w:p>
    <w:p>
      <w:pPr>
        <w:pStyle w:val="FirstParagraph"/>
        <w:spacing w:before="0" w:after="200" w:line="276" w:lineRule="auto"/>
        <w:jc w:val="both"/>
      </w:pPr>
      <w:r>
        <w:rPr>
          <w:rFonts w:ascii="Cambria" w:hAnsi="Cambria" w:cs="Cambria" w:eastAsia="Cambria"/>
          <w:b/>
          <w:bCs/>
          <w:sz w:val="22"/>
        </w:rPr>
        <w:t xml:space="preserve">Acknowledgements:</w:t>
      </w:r>
      <w:r>
        <w:rPr>
          <w:rFonts w:ascii="Cambria" w:hAnsi="Cambria" w:cs="Cambria" w:eastAsia="Cambria"/>
          <w:sz w:val="22"/>
        </w:rPr>
        <w:t xml:space="preserve"> </w:t>
      </w:r>
      <w:r>
        <w:rPr>
          <w:rFonts w:ascii="Cambria" w:hAnsi="Cambria" w:cs="Cambria" w:eastAsia="Cambria"/>
          <w:sz w:val="22"/>
        </w:rPr>
        <w:t xml:space="preserve">The author thanks the open-access data sharing initiatives that made this validation possible: Cuban Human Normative EEG Database; All of Us Research Program; National Health and Aging Trends Study (NHATS). The author also acknowledges the theoretical contributions of W. Bialek, K. Friston, R. Wallace, and the PpgAge research team.</w:t>
      </w:r>
    </w:p>
    <w:p>
      <w:pPr>
        <w:pStyle w:val="BodyText"/>
        <w:spacing w:before="0" w:after="200" w:line="276" w:lineRule="auto"/>
        <w:jc w:val="both"/>
      </w:pPr>
      <w:r>
        <w:rPr>
          <w:rFonts w:ascii="Cambria" w:hAnsi="Cambria" w:cs="Cambria" w:eastAsia="Cambria"/>
          <w:b/>
          <w:bCs/>
          <w:sz w:val="22"/>
        </w:rPr>
        <w:t xml:space="preserve">Conflict of Interest Disclosure:</w:t>
      </w:r>
      <w:r>
        <w:rPr>
          <w:rFonts w:ascii="Cambria" w:hAnsi="Cambria" w:cs="Cambria" w:eastAsia="Cambria"/>
          <w:sz w:val="22"/>
        </w:rPr>
        <w:t xml:space="preserve"> </w:t>
      </w:r>
      <w:r>
        <w:rPr>
          <w:rFonts w:ascii="Cambria" w:hAnsi="Cambria" w:cs="Cambria" w:eastAsia="Cambria"/>
          <w:sz w:val="22"/>
        </w:rPr>
        <w:t xml:space="preserve">The author is founder of the Georgia Longevity Alliance and inventor of the Ze Vectors Theory framework. BioSense is a prototype platform; no commercial products are currently marketed. The author has no financial relationships with wearable device manufacturers.</w:t>
      </w:r>
    </w:p>
    <w:p>
      <w:pPr>
        <w:pStyle w:val="BodyText"/>
        <w:spacing w:before="0" w:after="200" w:line="276" w:lineRule="auto"/>
        <w:jc w:val="both"/>
      </w:pPr>
      <w:r>
        <w:rPr>
          <w:rFonts w:ascii="Cambria" w:hAnsi="Cambria" w:cs="Cambria" w:eastAsia="Cambria"/>
          <w:b/>
          <w:bCs/>
          <w:sz w:val="22"/>
        </w:rPr>
        <w:t xml:space="preserve">Data Availability Statement:</w:t>
      </w:r>
      <w:r>
        <w:rPr>
          <w:rFonts w:ascii="Cambria" w:hAnsi="Cambria" w:cs="Cambria" w:eastAsia="Cambria"/>
          <w:sz w:val="22"/>
        </w:rPr>
        <w:t xml:space="preserve"> </w:t>
      </w:r>
      <w:r>
        <w:rPr>
          <w:rFonts w:ascii="Cambria" w:hAnsi="Cambria" w:cs="Cambria" w:eastAsia="Cambria"/>
          <w:sz w:val="22"/>
        </w:rPr>
        <w:t xml:space="preserve">The prospective cohort data (N=150) are available from the corresponding author upon reasonable request and subject to institutional review board approval. All of Us data are accessible via the Researcher Workbench (Data Use Agreement required). Cuban EEG Database access information is provided in Appendix C.</w:t>
      </w:r>
    </w:p>
    <w:p>
      <w:pPr>
        <w:spacing w:before="0" w:after="200" w:line="276" w:lineRule="auto"/>
        <w:jc w:val="both"/>
      </w:pPr>
      <w:r>
        <w:pict>
          <v:rect style="width:0;height:1.5pt" o:hralign="center" o:hrstd="t" o:hr="t"/>
        </w:pic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31" Type="http://schemas.openxmlformats.org/officeDocument/2006/relationships/image" Target="media/rId31.png"/><Relationship Id="rId16" Type="http://schemas.openxmlformats.org/officeDocument/2006/relationships/image" Target="media/rId16.png"/><Relationship Id="rId35" Type="http://schemas.openxmlformats.org/officeDocument/2006/relationships/image" Target="media/rId35.png"/><Relationship Id="rId44" Type="http://schemas.openxmlformats.org/officeDocument/2006/relationships/image" Target="media/rId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2026-04-27T21:40:16Z</dcterms:created>
  <dcterms:modified xsi:type="dcterms:W3CDTF">2026-04-27T21:40:16Z</dcterms:modified>
</cp:coreProperties>
</file>

<file path=docProps/custom.xml><?xml version="1.0" encoding="utf-8"?>
<Properties xmlns="http://schemas.openxmlformats.org/officeDocument/2006/custom-properties" xmlns:vt="http://schemas.openxmlformats.org/officeDocument/2006/docPropsVTypes"/>
</file>