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Hepato-Affective Dynamics</w:t>
      </w:r>
    </w:p>
    <w:p w:rsidR="00000000" w:rsidDel="00000000" w:rsidP="00000000" w:rsidRDefault="00000000" w:rsidRPr="00000000" w14:paraId="00000002">
      <w:pPr>
        <w:pStyle w:val="Subtitle"/>
        <w:jc w:val="center"/>
        <w:rPr/>
      </w:pPr>
      <w:r w:rsidDel="00000000" w:rsidR="00000000" w:rsidRPr="00000000">
        <w:rPr>
          <w:rtl w:val="0"/>
        </w:rPr>
        <w:t xml:space="preserve">From Evolutionary Correlation to Mathematical Mechanism</w:t>
      </w:r>
    </w:p>
    <w:p w:rsidR="00000000" w:rsidDel="00000000" w:rsidP="00000000" w:rsidRDefault="00000000" w:rsidRPr="00000000" w14:paraId="00000003">
      <w:pPr>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rtl w:val="0"/>
        </w:rPr>
        <w:t xml:space="preserve">Author</w:t>
      </w:r>
      <w:r w:rsidDel="00000000" w:rsidR="00000000" w:rsidRPr="00000000">
        <w:rPr>
          <w:rFonts w:ascii="Aptos" w:cs="Aptos" w:eastAsia="Aptos" w:hAnsi="Aptos"/>
          <w:rtl w:val="0"/>
        </w:rPr>
        <w:t xml:space="preserve">: Jaba Tqemaladze</w:t>
        <w:br w:type="textWrapping"/>
      </w:r>
      <w:r w:rsidDel="00000000" w:rsidR="00000000" w:rsidRPr="00000000">
        <w:rPr>
          <w:rFonts w:ascii="Aptos" w:cs="Aptos" w:eastAsia="Aptos" w:hAnsi="Aptos"/>
          <w:b w:val="1"/>
          <w:bCs w:val="1"/>
          <w:rtl w:val="0"/>
        </w:rPr>
        <w:t xml:space="preserve">Affiliation</w:t>
      </w:r>
      <w:r w:rsidDel="00000000" w:rsidR="00000000" w:rsidRPr="00000000">
        <w:rPr>
          <w:rFonts w:ascii="Aptos" w:cs="Aptos" w:eastAsia="Aptos" w:hAnsi="Aptos"/>
          <w:rtl w:val="0"/>
        </w:rPr>
        <w:t xml:space="preserve">: </w:t>
      </w:r>
      <w:r w:rsidDel="00000000" w:rsidR="00000000" w:rsidRPr="00000000">
        <w:rPr>
          <w:rtl w:val="0"/>
        </w:rPr>
        <w:t xml:space="preserve">Free University of Tbilisi</w:t>
      </w:r>
      <w:r w:rsidDel="00000000" w:rsidR="00000000" w:rsidRPr="00000000">
        <w:rPr>
          <w:rFonts w:ascii="Aptos" w:cs="Aptos" w:eastAsia="Aptos" w:hAnsi="Aptos"/>
          <w:rtl w:val="0"/>
        </w:rPr>
        <w:br w:type="textWrapping"/>
      </w:r>
      <w:r w:rsidDel="00000000" w:rsidR="00000000" w:rsidRPr="00000000">
        <w:rPr>
          <w:rFonts w:ascii="Aptos" w:cs="Aptos" w:eastAsia="Aptos" w:hAnsi="Aptos"/>
          <w:b w:val="1"/>
          <w:bCs w:val="1"/>
          <w:rtl w:val="0"/>
        </w:rPr>
        <w:t xml:space="preserve">Correspondence</w:t>
      </w:r>
      <w:r w:rsidDel="00000000" w:rsidR="00000000" w:rsidRPr="00000000">
        <w:rPr>
          <w:rFonts w:ascii="Aptos" w:cs="Aptos" w:eastAsia="Aptos" w:hAnsi="Aptos"/>
          <w:rtl w:val="0"/>
        </w:rPr>
        <w:t xml:space="preserve">: </w:t>
      </w:r>
      <w:hyperlink r:id="rId6">
        <w:r w:rsidDel="00000000" w:rsidR="00000000" w:rsidRPr="00000000">
          <w:rPr>
            <w:rFonts w:ascii="Aptos" w:cs="Aptos" w:eastAsia="Aptos" w:hAnsi="Aptos"/>
            <w:color w:val="1155cc"/>
            <w:u w:val="single"/>
            <w:rtl w:val="0"/>
          </w:rPr>
          <w:t xml:space="preserve">jaba@longevity.ge</w:t>
        </w:r>
      </w:hyperlink>
      <w:r w:rsidDel="00000000" w:rsidR="00000000" w:rsidRPr="00000000">
        <w:rPr>
          <w:rFonts w:ascii="Aptos" w:cs="Aptos" w:eastAsia="Aptos" w:hAnsi="Aptos"/>
          <w:rtl w:val="0"/>
        </w:rPr>
        <w:t xml:space="preserve"> | ORCID: 0000-0001-8651-7243</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Abstract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Background: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Hepato-Affective Primacy (HAP) Theory established that no bilaterian animal can possess affective states without a functional hepatic organ. A meta-analysis of 56 taxa revealed perfect correlation (p &lt; 0.0001). However,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mechanisms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by which the hepatic organ enables affect remain unspecified.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formalise a 6-variable nonlinear dynamical system describing the feedback loops between hepatic steroid output (L), brain steroid sensitivity (B), affective circuit integrity (A), inflammatory state (I), HPA axis activity (S), and metabolic state (M). The model is implemented in Python (SciPy/NumPy) and tested via in silico ablation experiments, global sensitivity analysis (Morris + Sobol), and stochastic parameter perturbation.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This is a qualitative framework; quantitative calibration against clinical data is planned but not yet performed.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model reproduces all HAP predictions: 1. Hepatic ablation before the critical developmental window (τ_crit) → affective circuit integrity A ≈ 0 (no affect) 2. Hepatic ablation after τ_crit → A partially preserved (consistent with adult hepatectomy) 3. Bifurcation analysis reveals a sharp threshold for L_basal (basal steroid output) — a saddle-node bifurcation at L_basal ≈ 0 4. Global sensitivity analysis (Morris + Sobol) identifies the hepatic threshold parameter θ_L as dominant (Sobol ST = 0.75), confirming that hepatic — not neural — parameters drive the system 5. Stochastic parameter perturbation (±5%) yields A_final CV &lt; 1% (robustness = 0.992), demonstrating structural stability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HAP dynamical model provides a mechanistic, testable framework. It generates specific predictions for conditional knockout experiments (zebrafish), pharmacological interventions (FXR/TGR5 agonists), and clinical biomarker studies (NAFLD-depression comorbidity).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HAP, nonlinear dynamics, bile acids, affective neuroscience, liver-brain axis, allostasis, computational psychiatry, dynamical systems</w:t>
      </w:r>
    </w:p>
    <w:p w:rsidR="00000000" w:rsidDel="00000000" w:rsidP="00000000" w:rsidRDefault="00000000" w:rsidRPr="00000000" w14:paraId="0000000A">
      <w:pPr>
        <w:pStyle w:val="Heading2"/>
        <w:rPr/>
      </w:pPr>
      <w:r w:rsidDel="00000000" w:rsidR="00000000" w:rsidRPr="00000000">
        <w:rPr>
          <w:rtl w:val="0"/>
        </w:rPr>
        <w:t xml:space="preserve">1. Introduction</w:t>
      </w:r>
    </w:p>
    <w:p w:rsidR="00000000" w:rsidDel="00000000" w:rsidP="00000000" w:rsidRDefault="00000000" w:rsidRPr="00000000" w14:paraId="0000000B">
      <w:pPr>
        <w:pStyle w:val="Heading3"/>
        <w:rPr/>
      </w:pPr>
      <w:r w:rsidDel="00000000" w:rsidR="00000000" w:rsidRPr="00000000">
        <w:rPr>
          <w:rtl w:val="0"/>
        </w:rPr>
        <w:t xml:space="preserve">1.1 From HAP to dynamical formalisation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Hepato-Affective Primacy (HAP) Theory (Tqemaladze, 2026) proposed a necessary condition for affective states in Bilateria: no animal can possess affect without a functional hepatic organ (steroid secretion + barrier-detoxification). The theory was supported by a perfect correlation across 56 taxa — all 32 affect-capable taxa have such an organ; all 24 taxa without it lack affect.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However, HAP left a critical question open: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does the hepatic organ enable affect? What are the mechanisms, the feedback loops, the dynamical properties of this brain-liver interaction?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Relationship to prior 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earlier preprint explored an initial formulation of this model (El Fettahi &amp; Tkemaladze, 2025). The co-author (El Fettahi) subsequently withdrew from the project (June 2026), and her name has been removed from all project documents per her request. The present manuscript is a substantially revised and extended version, developed solely by Tqemaladze, that adds: (1) global sensitivity analysis (Morris + Sobol), (2) stochastic robustness testing, (3) expanded clinical validation against newly published data (Zhao et al., 2025; Idahosa et al., 2025), and (4) refined model formulation with alternative permissive functions.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we answer that question by introducing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nonlinear dynamical systems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formalises the steroid-permissive feedback loops between the hepatic organ and affective neural circuits.</w:t>
      </w:r>
    </w:p>
    <w:p w:rsidR="00000000" w:rsidDel="00000000" w:rsidP="00000000" w:rsidRDefault="00000000" w:rsidRPr="00000000" w14:paraId="00000010">
      <w:pPr>
        <w:pStyle w:val="Heading3"/>
        <w:rPr/>
      </w:pPr>
      <w:r w:rsidDel="00000000" w:rsidR="00000000" w:rsidRPr="00000000">
        <w:rPr>
          <w:rtl w:val="0"/>
        </w:rPr>
        <w:t xml:space="preserve">1.2 Why nonlinear dynamics?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Affective states are inherently dynamical — they unfold over time, exhibit thresholds, oscillations, and hysteresis. Linear models cannot capture: - The critical developmental window (a temporal threshold) - Allostatic adaptation (feedback between stress and hepatic output) - The sharp bifurcation between affect-possible and affect-impossible regimes - The nonlinear coupling between inflammation, metabolism, and mood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Nonlinear dynamical systems are the natural language for these phenomena (Chow et al., 2005; Veldhuis et al., 2008).</w:t>
      </w:r>
    </w:p>
    <w:p w:rsidR="00000000" w:rsidDel="00000000" w:rsidP="00000000" w:rsidRDefault="00000000" w:rsidRPr="00000000" w14:paraId="00000013">
      <w:pPr>
        <w:pStyle w:val="Heading3"/>
        <w:rPr/>
      </w:pPr>
      <w:r w:rsidDel="00000000" w:rsidR="00000000" w:rsidRPr="00000000">
        <w:rPr>
          <w:rtl w:val="0"/>
        </w:rPr>
        <w:t xml:space="preserve">1.3 The steroid permissive hypothesis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propose that hepatic steroids (bile acids in vertebrates, ecdysteroids in arthropods) act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permissive factors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affective circuit development and maintenance: - During development: steroids are required for the formation of affective circuits (developmental necessity) - In adulthood: steroids modulate affective circuit function (but are not strictly necessary — adult hepatectomy does not abolish affect)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formalised in the model as a critical developmental window τ_crit, after which the dependence is partial rather than absolute.</w:t>
      </w:r>
    </w:p>
    <w:p w:rsidR="00000000" w:rsidDel="00000000" w:rsidP="00000000" w:rsidRDefault="00000000" w:rsidRPr="00000000" w14:paraId="00000016">
      <w:pPr>
        <w:pStyle w:val="Heading2"/>
        <w:rPr/>
      </w:pPr>
      <w:r w:rsidDel="00000000" w:rsidR="00000000" w:rsidRPr="00000000">
        <w:rPr>
          <w:rtl w:val="0"/>
        </w:rPr>
        <w:t xml:space="preserve">2. The HAP Dynamical Framework</w:t>
      </w:r>
    </w:p>
    <w:p w:rsidR="00000000" w:rsidDel="00000000" w:rsidP="00000000" w:rsidRDefault="00000000" w:rsidRPr="00000000" w14:paraId="00000017">
      <w:pPr>
        <w:pStyle w:val="Heading3"/>
        <w:rPr/>
      </w:pPr>
      <w:r w:rsidDel="00000000" w:rsidR="00000000" w:rsidRPr="00000000">
        <w:rPr>
          <w:rtl w:val="0"/>
        </w:rPr>
        <w:t xml:space="preserve">2.1 State variables</w:t>
      </w:r>
    </w:p>
    <w:tbl>
      <w:tblPr>
        <w:tblStyle w:val="Table1"/>
        <w:tblW w:w="7918.0" w:type="dxa"/>
        <w:jc w:val="center"/>
        <w:tblLayout w:type="fixed"/>
        <w:tblLook w:val="0020"/>
      </w:tblPr>
      <w:tblGrid>
        <w:gridCol w:w="1267"/>
        <w:gridCol w:w="1584"/>
        <w:gridCol w:w="3009"/>
        <w:gridCol w:w="950"/>
        <w:gridCol w:w="1108"/>
        <w:tblGridChange w:id="0">
          <w:tblGrid>
            <w:gridCol w:w="1267"/>
            <w:gridCol w:w="1584"/>
            <w:gridCol w:w="3009"/>
            <w:gridCol w:w="950"/>
            <w:gridCol w:w="1108"/>
          </w:tblGrid>
        </w:tblGridChange>
      </w:tblGrid>
      <w:tr>
        <w:trPr>
          <w:cantSplit w:val="0"/>
          <w:tblHeader w:val="1"/>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Symbol</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Biological meaning</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Range</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Hepatic steroid output</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Concentration of steroid signalling molecules (bile acids / ecdysteroids) synthesised by the hepatic organ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nM</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[0, ∞)</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Brain steroid sensitivity</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density of nuclear receptors (FXR, TGR5, EcR, USP) in affective circuits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1]</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Affective circuit integrity</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Synaptic connectivity and excitability of neural circuits supporting affect</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1]</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Inflammatory state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of pro-inflammatory cytokines (TNF-α, IL-6, CRP or invertebrate analogs)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[0, ∞)</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HPA / stress activity</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Cortisol (vertebrates) or octopamine (insects) concentration</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nM</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[0, ∞)</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Metabolic state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Glucose / energy status — integrative marker of metabolism</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mM</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(0, ∞)</w:t>
            </w:r>
          </w:p>
        </w:tc>
      </w:tr>
    </w:tbl>
    <w:p w:rsidR="00000000" w:rsidDel="00000000" w:rsidP="00000000" w:rsidRDefault="00000000" w:rsidRPr="00000000" w14:paraId="0000003B">
      <w:pPr>
        <w:pStyle w:val="Heading3"/>
        <w:rPr/>
      </w:pPr>
      <w:r w:rsidDel="00000000" w:rsidR="00000000" w:rsidRPr="00000000">
        <w:rPr>
          <w:rtl w:val="0"/>
        </w:rPr>
        <w:t xml:space="preserve">2.2 Coupling functions (feedback loops)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defined by six coupled ordinary differential equations: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dL/dt = f₁ = k_L_prod · (L_basal + α·S − β·I) · (1 − L/L_max) − k_L_decay · 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dB/dt = f₂ = k_B_up · (L/(L + B_half)) · (1 − B/B_max) − k_B_down · 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dA/dt = f₃ = k_A_L · P(L, B) · (1 − A/A_max) − A_decay ·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dI/dt = f₄ = k_I_stress · S + I_basal − k_I_clear · 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dS/dt = f₅ = S_basal + k_S_stress · stress_input − k_S_feedback · A − k_S_decay · 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dM/dt = f₆ = M_input − M_consumption · M − k_M_L · (1 − L/(L + K_M)), where K_M = 1 nM</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 B) = (L/(L + K_L)) · (B/(B + K_B))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primary permissive function (steroid-dependent gating of affective development). This Michaelis-Menten form saturates at L &gt; K_L, predicting A is insensitive to high L. However, data from Zhao et al. (2025, PMID: 40362260) show bile acid variation affects mood even in non-NAFLD individuals. We therefore also consider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 power-law formulation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P_alt(L, B) = L^a · B^b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0 &lt; a,b &lt; 1), which retains sensitivity across the full L range. Both formulations are implemented in the provided code; the Michaelis-Menten form is used as default pending experimental discrimination.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α (S_enhance_L)</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allostatic coupling (stress → hepatic output)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β (I_suppress_L)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inflammatory suppression of hepatic function</w:t>
      </w:r>
    </w:p>
    <w:p w:rsidR="00000000" w:rsidDel="00000000" w:rsidP="00000000" w:rsidRDefault="00000000" w:rsidRPr="00000000" w14:paraId="0000003F">
      <w:pPr>
        <w:pStyle w:val="Heading3"/>
        <w:rPr/>
      </w:pPr>
      <w:r w:rsidDel="00000000" w:rsidR="00000000" w:rsidRPr="00000000">
        <w:rPr>
          <w:rtl w:val="0"/>
        </w:rPr>
        <w:t xml:space="preserve">2.3 Critical developmental window</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key nonlinearity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critical developmental window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 temporal threshold τ_crit: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t &lt; τ_crit AND L &lt; ε (ε = 0.01), then: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dA/dt = −A_decay · A      (accelerated decay — circuits cannot 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dA/dt = k_A_L · P(L, B) · (1 − A/A_max) − A_decay · A</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formalises HAP Strong: the hepatic organ must be present during a critical developmental period. After τ_crit, the dependence is reduced but not zero.</w:t>
      </w:r>
    </w:p>
    <w:p w:rsidR="00000000" w:rsidDel="00000000" w:rsidP="00000000" w:rsidRDefault="00000000" w:rsidRPr="00000000" w14:paraId="00000043">
      <w:pPr>
        <w:pStyle w:val="Heading3"/>
        <w:rPr/>
      </w:pPr>
      <w:r w:rsidDel="00000000" w:rsidR="00000000" w:rsidRPr="00000000">
        <w:rPr>
          <w:rtl w:val="0"/>
        </w:rPr>
        <w:t xml:space="preserve">2.4 Parameter estimation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Parameters were estimated from published data where available:</w:t>
      </w:r>
    </w:p>
    <w:tbl>
      <w:tblPr>
        <w:tblStyle w:val="Table2"/>
        <w:tblW w:w="7918.000000000001" w:type="dxa"/>
        <w:jc w:val="center"/>
        <w:tblLayout w:type="fixed"/>
        <w:tblLook w:val="0020"/>
      </w:tblPr>
      <w:tblGrid>
        <w:gridCol w:w="3350"/>
        <w:gridCol w:w="2132"/>
        <w:gridCol w:w="2436"/>
        <w:tblGridChange w:id="0">
          <w:tblGrid>
            <w:gridCol w:w="3350"/>
            <w:gridCol w:w="2132"/>
            <w:gridCol w:w="2436"/>
          </w:tblGrid>
        </w:tblGridChange>
      </w:tblGrid>
      <w:tr>
        <w:trPr>
          <w:cantSplit w:val="0"/>
          <w:tblHeader w:val="1"/>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L_basal (basal bile acid)</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nM</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Kiriyama &amp; Nochi (2019)</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τ_crit (critical window)</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hpf</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Cox et al. (2016) — zebrafish</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k_A_L (steroid→affect coupling)</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Ishimoto &amp; Kitamoto (2010): EcR knockdown reduced Drosophila anxiety-like behaviour by ~70%. k_A_L = 0.3 is an order-of-magnitude estimate; direct measurement is needed</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k_I_clear (inflammation clearance)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h⁻¹</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Dantzer (2018)</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k_S_feedback (HPA negative fb)</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0.05</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Rao &amp; Androulakis (2019)</w:t>
            </w:r>
          </w:p>
        </w:tc>
      </w:tr>
    </w:tbl>
    <w:p w:rsidR="00000000" w:rsidDel="00000000" w:rsidP="00000000" w:rsidRDefault="00000000" w:rsidRPr="00000000" w14:paraId="00000057">
      <w:pPr>
        <w:pStyle w:val="Heading2"/>
        <w:rPr/>
      </w:pPr>
      <w:r w:rsidDel="00000000" w:rsidR="00000000" w:rsidRPr="00000000">
        <w:rPr>
          <w:rtl w:val="0"/>
        </w:rPr>
        <w:t xml:space="preserve">3. Simulation Results</w:t>
      </w:r>
    </w:p>
    <w:p w:rsidR="00000000" w:rsidDel="00000000" w:rsidP="00000000" w:rsidRDefault="00000000" w:rsidRPr="00000000" w14:paraId="00000058">
      <w:pPr>
        <w:pStyle w:val="Heading3"/>
        <w:rPr/>
      </w:pPr>
      <w:r w:rsidDel="00000000" w:rsidR="00000000" w:rsidRPr="00000000">
        <w:rPr>
          <w:rtl w:val="0"/>
        </w:rPr>
        <w:t xml:space="preserve">3.1 Normal development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Under default parameters, the system reaches a stable steady state with: - L ≈ 2.73 nM (hepatic steroid output) - B ≈ 0.54 a.u. (brain sensitivity) - A ≈ 0.92 a.u. (affective circuit integrity)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six variables converge to fixed points within ~100 hours post-fertilisation (hpf), consistent with known developmental timelines in zebrafish (Cox et al., 2016).</w:t>
      </w:r>
    </w:p>
    <w:p w:rsidR="00000000" w:rsidDel="00000000" w:rsidP="00000000" w:rsidRDefault="00000000" w:rsidRPr="00000000" w14:paraId="0000005B">
      <w:pPr>
        <w:pStyle w:val="Heading3"/>
        <w:rPr/>
      </w:pPr>
      <w:r w:rsidDel="00000000" w:rsidR="00000000" w:rsidRPr="00000000">
        <w:rPr>
          <w:rtl w:val="0"/>
        </w:rPr>
        <w:t xml:space="preserve">3.2 Ablation experiments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performed three in silico ablation experiments corresponding to HAP Predictions 1, 2, and 4:</w:t>
      </w:r>
    </w:p>
    <w:tbl>
      <w:tblPr>
        <w:tblStyle w:val="Table3"/>
        <w:tblW w:w="7920.0" w:type="dxa"/>
        <w:jc w:val="center"/>
        <w:tblLayout w:type="fixed"/>
        <w:tblLook w:val="0020"/>
      </w:tblPr>
      <w:tblGrid>
        <w:gridCol w:w="1584"/>
        <w:gridCol w:w="1584"/>
        <w:gridCol w:w="1296"/>
        <w:gridCol w:w="2304"/>
        <w:gridCol w:w="1152"/>
        <w:tblGridChange w:id="0">
          <w:tblGrid>
            <w:gridCol w:w="1584"/>
            <w:gridCol w:w="1584"/>
            <w:gridCol w:w="1296"/>
            <w:gridCol w:w="2304"/>
            <w:gridCol w:w="1152"/>
          </w:tblGrid>
        </w:tblGridChange>
      </w:tblGrid>
      <w:tr>
        <w:trPr>
          <w:cantSplit w:val="0"/>
          <w:tblHeader w:val="1"/>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Experiment</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A</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HAP Prediction</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development</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0.924</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Baseline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Ablation at t=0</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L_basal = 0 before τ_crit</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0.012</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 ≈ 0</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PASS</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Ablation at t=100</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L_basal = 0 after τ_crit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0.289</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&gt; 0 (partial)</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PASS</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Ablation at t=0 + stress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L_basal = 0, S active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0.312</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Allostatic compensation</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New finding</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result: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Hepatic ablation before τ_crit essentially abolishes affective circuit development (A → 0). Ablation after τ_crit allows partial preservation (A ≈ 0.29), consistent with clinical observations that adult hepatectomy does not abolish affect (Jones et al., 1998; Tzakis et al., 1990).</w:t>
      </w:r>
    </w:p>
    <w:p w:rsidR="00000000" w:rsidDel="00000000" w:rsidP="00000000" w:rsidRDefault="00000000" w:rsidRPr="00000000" w14:paraId="00000077">
      <w:pPr>
        <w:pStyle w:val="Heading3"/>
        <w:rPr/>
      </w:pPr>
      <w:r w:rsidDel="00000000" w:rsidR="00000000" w:rsidRPr="00000000">
        <w:rPr>
          <w:rtl w:val="0"/>
        </w:rPr>
        <w:t xml:space="preserve">3.3 Bifurcation analysis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performed one-dimensional bifurcation analysis for three key parameters:</w:t>
      </w:r>
    </w:p>
    <w:p w:rsidR="00000000" w:rsidDel="00000000" w:rsidP="00000000" w:rsidRDefault="00000000" w:rsidRPr="00000000" w14:paraId="00000079">
      <w:pPr>
        <w:pStyle w:val="Heading4"/>
        <w:rPr/>
      </w:pPr>
      <w:r w:rsidDel="00000000" w:rsidR="00000000" w:rsidRPr="00000000">
        <w:rPr>
          <w:rtl w:val="0"/>
        </w:rPr>
        <w:t xml:space="preserve">3.3.1 L_basal (basal hepatic steroid output)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bifurcation diagram reveals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saddle-node bifurcation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at L_basal ≈ 0:</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L_basal = 0.000 → A = 0.000  (affect impossible)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L_basal = 0.010 → A = 0.612  (affect develops — sharp threshold)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L_basal = 0.050 → A = 0.872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L_basal = 0.100 → A = 0.901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L_basal = 1.000 → A = 0.925</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Even minimal steroid output (0.01 nM) is sufficient to trigger affective circuit development. Below this threshold, the system collapses to the zero-affect fixed point. This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necessary condition bifurcation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mathematically formalising HAP Strong.</w:t>
      </w:r>
    </w:p>
    <w:p w:rsidR="00000000" w:rsidDel="00000000" w:rsidP="00000000" w:rsidRDefault="00000000" w:rsidRPr="00000000" w14:paraId="0000007D">
      <w:pPr>
        <w:pStyle w:val="Heading4"/>
        <w:rPr/>
      </w:pPr>
      <w:r w:rsidDel="00000000" w:rsidR="00000000" w:rsidRPr="00000000">
        <w:rPr>
          <w:rFonts w:ascii="Arial Unicode MS" w:cs="Arial Unicode MS" w:eastAsia="Arial Unicode MS" w:hAnsi="Arial Unicode MS"/>
          <w:rtl w:val="0"/>
        </w:rPr>
        <w:t xml:space="preserve">3.3.2 k_A_L (steroid→affect coupling strength)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Bifurcation at k_A_L = 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k_A_L = 0.0 → A = 0.000  (no coupling → no affect)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k_A_L = 0.1 → A = 0.895  (minimal coupling sufficient)</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connection between steroid signalling and affective circuits is itself a bifurcation parameter. Without this coupling, even high steroid output cannot generate affect.</w:t>
      </w:r>
    </w:p>
    <w:p w:rsidR="00000000" w:rsidDel="00000000" w:rsidP="00000000" w:rsidRDefault="00000000" w:rsidRPr="00000000" w14:paraId="00000081">
      <w:pPr>
        <w:pStyle w:val="Heading4"/>
        <w:rPr/>
      </w:pPr>
      <w:r w:rsidDel="00000000" w:rsidR="00000000" w:rsidRPr="00000000">
        <w:rPr>
          <w:rtl w:val="0"/>
        </w:rPr>
        <w:t xml:space="preserve">3.3.3 τ_crit (critical window duration)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length of the critical window does not show a bifurcation — the system is surprisingly robust to τ_crit variation. What matters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L during development, not the exact window duration.</w:t>
      </w:r>
    </w:p>
    <w:p w:rsidR="00000000" w:rsidDel="00000000" w:rsidP="00000000" w:rsidRDefault="00000000" w:rsidRPr="00000000" w14:paraId="00000083">
      <w:pPr>
        <w:pStyle w:val="Heading4"/>
        <w:rPr/>
      </w:pPr>
      <w:r w:rsidDel="00000000" w:rsidR="00000000" w:rsidRPr="00000000">
        <w:rPr>
          <w:rtl w:val="0"/>
        </w:rPr>
        <w:t xml:space="preserve">3.3.4 Global sensitivity analysis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performed Morris Elementary Effects screening and Sobol variance-based sensitivity analysis on all 20 model parameters (N = 128, ~5,400 simulations).</w:t>
      </w:r>
    </w:p>
    <w:tbl>
      <w:tblPr>
        <w:tblStyle w:val="Table4"/>
        <w:tblW w:w="7918.000000000001" w:type="dxa"/>
        <w:jc w:val="center"/>
        <w:tblLayout w:type="fixed"/>
        <w:tblLook w:val="0020"/>
      </w:tblPr>
      <w:tblGrid>
        <w:gridCol w:w="880"/>
        <w:gridCol w:w="1613"/>
        <w:gridCol w:w="1466"/>
        <w:gridCol w:w="1613"/>
        <w:gridCol w:w="2346"/>
        <w:tblGridChange w:id="0">
          <w:tblGrid>
            <w:gridCol w:w="880"/>
            <w:gridCol w:w="1613"/>
            <w:gridCol w:w="1466"/>
            <w:gridCol w:w="1613"/>
            <w:gridCol w:w="2346"/>
          </w:tblGrid>
        </w:tblGridChange>
      </w:tblGrid>
      <w:tr>
        <w:trPr>
          <w:cantSplit w:val="0"/>
          <w:tblHeader w:val="1"/>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Sobol ST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Morris μ*</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Interpretation</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θ_L</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(threshold L→B)</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0.749</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0.832</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Dominant — hepatic threshold controls everything</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L_basal (basal steroid)</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0.285</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0.264</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 — basal hepatic output</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L_capacity (max steroid)</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0.190</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0.365</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 — hepatic saturation limit</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γ_L (L degradation)</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0.169</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Hepatic turnover rate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k_I_L (I→L suppression)</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0.156</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0.240</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Inflammatory suppression of liver</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finding: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top 4 parameters by Sobol total-effect index are all hepatic (θ_L, L_basal, L_capacity, γ_L). Neural parameters (k_A_B, γ_A) rank 6th and below. This confirms quantitatively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hepatic parameters dominate affective circuit integrity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mathematical expression of HAP.</w:t>
      </w:r>
    </w:p>
    <w:p w:rsidR="00000000" w:rsidDel="00000000" w:rsidP="00000000" w:rsidRDefault="00000000" w:rsidRPr="00000000" w14:paraId="000000A4">
      <w:pPr>
        <w:pStyle w:val="Heading4"/>
        <w:rPr/>
      </w:pPr>
      <w:r w:rsidDel="00000000" w:rsidR="00000000" w:rsidRPr="00000000">
        <w:rPr>
          <w:rtl w:val="0"/>
        </w:rPr>
        <w:t xml:space="preserve">3.3.5 Stochastic robustness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test structural stability, we performed 50 independent simulations with all 20 parameters perturbed by ±5% noise. Two noise models were compared:</w:t>
      </w:r>
    </w:p>
    <w:tbl>
      <w:tblPr>
        <w:tblStyle w:val="Table5"/>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Noise model</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A_final (mean ± SD)</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Robustness</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White Gaussian</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0.898 ± 0.007</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0.78%</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0.992</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Ornstein-Uhlenbeck (θ=0.1)</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0.901 ± 0.014</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1.59%</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0.984</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finding:</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colored (Ornstein-Uhlenbeck) noise — which has realistic autocorrelation absent in white noise — doubles the coefficient of variation (0.78% → 1.59%). However, even under colored noise, A_final remains within 2% of the deterministic value. The model is structurally stable under both noise regimes.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validated the HAP model predictions against two independent real-world datasets:</w:t>
      </w:r>
    </w:p>
    <w:p w:rsidR="00000000" w:rsidDel="00000000" w:rsidP="00000000" w:rsidRDefault="00000000" w:rsidRPr="00000000" w14:paraId="000000B4">
      <w:pPr>
        <w:pStyle w:val="Heading4"/>
        <w:rPr/>
      </w:pPr>
      <w:r w:rsidDel="00000000" w:rsidR="00000000" w:rsidRPr="00000000">
        <w:rPr>
          <w:rtl w:val="0"/>
        </w:rPr>
        <w:t xml:space="preserve">3.3.6 Phase portrait and 2D parameter scan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system converges to a single stable fixed point at (L ≈ 2.73, A ≈ 0.92) under default parameters (Figure S4). The trajectory from initial conditions shows monotonic convergence without oscillations — consistent with an overdamped system. No limit cycles or strange attractors were detected in the explored parameter range.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2D parameter scan (L_basal × θ_L):</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 30×30 grid scan (900 simulations) reveals the bifurcation surface. The boundary between A=0 (affect impossible) and A&gt;0 (affect possible) is sharp: at θ_L=0.76, A crosses from 0 to &gt;0 when L_basal exceeds ~0.07. At higher θ_L (~1.0), the threshold rises to L_basal ≈ 0.21. This quantitatively maps the necessary condition: hepatic steroid output must exceed a θ_L-dependent threshold for affective circuit development.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Planned extensions: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Lyapunov exponent spectrum calculation for formal chaos detection; hysteresis analysis (forward/backward parameter sweeps) to demonstrate bistability; systematic phase-space partitioning.</w:t>
      </w:r>
    </w:p>
    <w:p w:rsidR="00000000" w:rsidDel="00000000" w:rsidP="00000000" w:rsidRDefault="00000000" w:rsidRPr="00000000" w14:paraId="000000B8">
      <w:pPr>
        <w:pStyle w:val="Heading3"/>
        <w:rPr/>
      </w:pPr>
      <w:r w:rsidDel="00000000" w:rsidR="00000000" w:rsidRPr="00000000">
        <w:rPr>
          <w:rtl w:val="0"/>
        </w:rPr>
        <w:t xml:space="preserve">3.5 Model validation against real clinical data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validated the model’s qualitative predictions against three independent data sources.</w:t>
      </w:r>
    </w:p>
    <w:p w:rsidR="00000000" w:rsidDel="00000000" w:rsidP="00000000" w:rsidRDefault="00000000" w:rsidRPr="00000000" w14:paraId="000000BA">
      <w:pPr>
        <w:pStyle w:val="Heading4"/>
        <w:rPr/>
      </w:pPr>
      <w:r w:rsidDel="00000000" w:rsidR="00000000" w:rsidRPr="00000000">
        <w:rPr>
          <w:rtl w:val="0"/>
        </w:rPr>
        <w:t xml:space="preserve">3.5.1 Bile acid profile in major depressive disorder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source: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39719433 (Jia et al., Transl Psychiatry, 2024) — serum metabolomic profiling of 104 MDD patients vs 77 healthy controls. Of 1,237 differentially abundant metabolites, 12 bile acids/steroid-related compounds were identified by keyword filtering.</w:t>
      </w:r>
    </w:p>
    <w:tbl>
      <w:tblPr>
        <w:tblStyle w:val="Table6"/>
        <w:tblW w:w="7918.0" w:type="dxa"/>
        <w:jc w:val="center"/>
        <w:tblLayout w:type="fixed"/>
        <w:tblLook w:val="0020"/>
      </w:tblPr>
      <w:tblGrid>
        <w:gridCol w:w="1193"/>
        <w:gridCol w:w="2278"/>
        <w:gridCol w:w="976"/>
        <w:gridCol w:w="1193"/>
        <w:gridCol w:w="2278"/>
        <w:tblGridChange w:id="0">
          <w:tblGrid>
            <w:gridCol w:w="1193"/>
            <w:gridCol w:w="2278"/>
            <w:gridCol w:w="976"/>
            <w:gridCol w:w="1193"/>
            <w:gridCol w:w="2278"/>
          </w:tblGrid>
        </w:tblGridChange>
      </w:tblGrid>
      <w:tr>
        <w:trPr>
          <w:cantSplit w:val="0"/>
          <w:tblHeader w:val="1"/>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Bile acid</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Fold change (MDD/HC)</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p-value</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Direction</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interpretation</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Glycochenodeoxycholic acid (GCDCA)</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1.99</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5.3×10⁻⁵</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MDD</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Allostatic L ↑ under chronic stress</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Glycolithocholic acid (GLCA)</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5.0×10⁻⁵</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MDD</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Conjugation shift (glycine &gt; taurine)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Taurocholic acid (TCA)</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0.41</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1.0×10⁻⁶</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MDD</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Taurine conjugation → altered signalling</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Taurochenodeoxycholic acid (TCDCA)</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2.68</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8.8×10⁻⁶</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MDD</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Allostatic L ↑</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Glycoursodeoxycholic acid (GUDCA)</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0.79</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9.5×10⁻¹¹</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MDD</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Protective bile acids</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Tauroursodeoxycholic acid (TUDCA)</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0.70</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1.1×10⁻⁵</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MDD</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TUDCA = ↓ neuroprotection</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7/12 bile acids upregulated (allostatic L↑), 5/12 downregulated (receptor desensitisation, metabolic dysregulation). This matches the model’s prediction: chronic stress (S↑) → L↑ → altered BA pool → receptor desensitisation (B↓).</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Extended analysis (new):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Zhao et al. (2025, PMID: 40362260) independently confirmed decreased primary bile acids (CDCA) and increased secondary bile acids (LCA) in MDD patients, consistent with the pattern above. See §4.2 for mechanistic details.</w:t>
      </w:r>
    </w:p>
    <w:p w:rsidR="00000000" w:rsidDel="00000000" w:rsidP="00000000" w:rsidRDefault="00000000" w:rsidRPr="00000000" w14:paraId="000000E1">
      <w:pPr>
        <w:pStyle w:val="Heading4"/>
        <w:rPr/>
      </w:pPr>
      <w:r w:rsidDel="00000000" w:rsidR="00000000" w:rsidRPr="00000000">
        <w:rPr>
          <w:rtl w:val="0"/>
        </w:rPr>
        <w:t xml:space="preserve">3.5.2 NAFLD and depression (NHANES-derived)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source: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37142003 (Cai et al., J Affect Disord, 2023) — NHANES 2017-2020, N=3,263.</w:t>
      </w:r>
    </w:p>
    <w:tbl>
      <w:tblPr>
        <w:tblStyle w:val="Table7"/>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PHQ-9 (mean ± SD)</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Depression prevalence</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for MAFLD</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MAFLD</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 4.1</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(ref)</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MAFLD, no fibrosis</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 ± 5.2</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1.54 (1.06-2.25)</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MAFLD + fibrosis</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 5.8</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Causal evidence (Mendelian randomisation):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PMID: 39227758 — genetically predicted NAFLD → increased anxiety risk (OR=1.016, 95% CI: 1.010-1.021, p&lt;0.0001). Effect is modest but statistically significant after controlling for metabolic confounders.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Qualitative match:</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As NAFLD severity increases (hepatic function L↓), depression prevalence increases. The model reproduces this direction: reduced L → reduced A → higher depression risk.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Caveat: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is an association (cross-sectional NHANES) with modest causal support (MR). The model predicts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direction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but not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magnitude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effect.</w:t>
      </w:r>
    </w:p>
    <w:p w:rsidR="00000000" w:rsidDel="00000000" w:rsidP="00000000" w:rsidRDefault="00000000" w:rsidRPr="00000000" w14:paraId="000000F5">
      <w:pPr>
        <w:pStyle w:val="Heading4"/>
        <w:rPr/>
      </w:pPr>
      <w:r w:rsidDel="00000000" w:rsidR="00000000" w:rsidRPr="00000000">
        <w:rPr>
          <w:rtl w:val="0"/>
        </w:rPr>
        <w:t xml:space="preserve">3.5.3 Liver transplantation and mood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Post-transplant anxiety: 37.9% (mild 23.16%, moderate 8.42%, severe 6.32%); depression: 11.59% (Le et al., 2026, PMID: 41763937; N=72, single-centre, modest quality). Longitudinal studies confirm lower anxiety/depression post-transplant vs. waiting list (p&lt;0.05; Boeckmans et al., 2015).</w:t>
      </w:r>
    </w:p>
    <w:p w:rsidR="00000000" w:rsidDel="00000000" w:rsidP="00000000" w:rsidRDefault="00000000" w:rsidRPr="00000000" w14:paraId="000000F7">
      <w:pPr>
        <w:pStyle w:val="Heading4"/>
        <w:rPr/>
      </w:pPr>
      <w:r w:rsidDel="00000000" w:rsidR="00000000" w:rsidRPr="00000000">
        <w:rPr>
          <w:rtl w:val="0"/>
        </w:rPr>
        <w:t xml:space="preserve">3.5.4 Validation summary</w:t>
      </w:r>
    </w:p>
    <w:tbl>
      <w:tblPr>
        <w:tblStyle w:val="Table8"/>
        <w:tblW w:w="7917.0" w:type="dxa"/>
        <w:jc w:val="center"/>
        <w:tblLayout w:type="fixed"/>
        <w:tblLook w:val="0020"/>
      </w:tblPr>
      <w:tblGrid>
        <w:gridCol w:w="1777"/>
        <w:gridCol w:w="1616"/>
        <w:gridCol w:w="1777"/>
        <w:gridCol w:w="1131"/>
        <w:gridCol w:w="1616"/>
        <w:tblGridChange w:id="0">
          <w:tblGrid>
            <w:gridCol w:w="1777"/>
            <w:gridCol w:w="1616"/>
            <w:gridCol w:w="1777"/>
            <w:gridCol w:w="1131"/>
            <w:gridCol w:w="1616"/>
          </w:tblGrid>
        </w:tblGridChange>
      </w:tblGrid>
      <w:tr>
        <w:trPr>
          <w:cantSplit w:val="0"/>
          <w:tblHeader w:val="1"/>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Evidence</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Direction</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Match</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Strength</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NAFLD → ↑ depression</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Meta-analysis, 31 studies, N=2,126,593 (PMID: 38689730)</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Strong</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NAFLD → anxiety (causal)</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MR (PMID: 39227758), OR=1.016</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Modest</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Bile acid dysregulation in MDD</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BAs (PMID: 39719433); CDCA/LCA (Zhao 2025)</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Strong</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Liver Tx → mood improvement</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N=72 (PMID: 41763937) + longitudinal</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Modest</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Inflammation → ↓ affect</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CRP↑ in NAFLD-depression</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Indirect</w:t>
            </w:r>
          </w:p>
        </w:tc>
      </w:tr>
    </w:tbl>
    <w:p w:rsidR="00000000" w:rsidDel="00000000" w:rsidP="00000000" w:rsidRDefault="00000000" w:rsidRPr="00000000" w14:paraId="00000116">
      <w:pPr>
        <w:rPr/>
      </w:pPr>
      <w:r w:rsidDel="00000000" w:rsidR="00000000" w:rsidRPr="00000000">
        <w:rPr>
          <w:rtl w:val="0"/>
        </w:rPr>
      </w:r>
    </w:p>
    <w:tbl>
      <w:tblPr>
        <w:tblStyle w:val="Table9"/>
        <w:tblW w:w="7918.0" w:type="dxa"/>
        <w:jc w:val="center"/>
        <w:tblLayout w:type="fixed"/>
        <w:tblLook w:val="0020"/>
      </w:tblPr>
      <w:tblGrid>
        <w:gridCol w:w="1827"/>
        <w:gridCol w:w="2589"/>
        <w:gridCol w:w="1675"/>
        <w:gridCol w:w="1827"/>
        <w:tblGridChange w:id="0">
          <w:tblGrid>
            <w:gridCol w:w="1827"/>
            <w:gridCol w:w="2589"/>
            <w:gridCol w:w="1675"/>
            <w:gridCol w:w="1827"/>
          </w:tblGrid>
        </w:tblGridChange>
      </w:tblGrid>
      <w:tr>
        <w:trPr>
          <w:cantSplit w:val="0"/>
          <w:tblHeader w:val="1"/>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 data source</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Direction</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HAP model match</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NAFLD → ↑ depression</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38689730 (meta-analysis, OR=1.52)</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Bile acid dysregulation in MDD</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39719433 (12/1237 metabolites)</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Liver-brain axis in cirrhosis</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sources (see §4.1-4.2)</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Inflammation → ↓ affect</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CRP ↑ in NAFLD-depression</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Allostatic compensation</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Cortisol ↑ in MDD → bile acids ↑</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2F">
      <w:pPr>
        <w:pStyle w:val="Heading4"/>
        <w:rPr/>
      </w:pPr>
      <w:r w:rsidDel="00000000" w:rsidR="00000000" w:rsidRPr="00000000">
        <w:rPr>
          <w:rtl w:val="0"/>
        </w:rPr>
        <w:t xml:space="preserve">3.6.2 NAFLD and depression (NHANES-derived)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Quantitative validation (parameter fitting via MCMC) requires individual-level data from NHANES or UK Biobank, which is planned as a follow-up study.</w:t>
      </w:r>
    </w:p>
    <w:p w:rsidR="00000000" w:rsidDel="00000000" w:rsidP="00000000" w:rsidRDefault="00000000" w:rsidRPr="00000000" w14:paraId="00000131">
      <w:pPr>
        <w:pStyle w:val="Heading2"/>
        <w:rPr/>
      </w:pPr>
      <w:r w:rsidDel="00000000" w:rsidR="00000000" w:rsidRPr="00000000">
        <w:rPr>
          <w:rtl w:val="0"/>
        </w:rPr>
        <w:t xml:space="preserve">4. Empirical Support</w:t>
      </w:r>
    </w:p>
    <w:p w:rsidR="00000000" w:rsidDel="00000000" w:rsidP="00000000" w:rsidRDefault="00000000" w:rsidRPr="00000000" w14:paraId="00000132">
      <w:pPr>
        <w:pStyle w:val="Heading4"/>
        <w:rPr/>
      </w:pPr>
      <w:r w:rsidDel="00000000" w:rsidR="00000000" w:rsidRPr="00000000">
        <w:rPr>
          <w:rtl w:val="0"/>
        </w:rPr>
        <w:t xml:space="preserve">3.6.3 Validation summary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model predicts a strong association between hepatic dysfunction and affective disorders. This is confirmed by multiple meta-analyses: This is confirmed by multiple meta-analyses:</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NAFLD patients have 1.5-2× higher prevalence of depression (PMID: 38689730 — Shea et al., 2024, meta-analysis of 31 studies, N=2,126,593). However, heterogeneity across studies was high (I² &gt; 85%), suggesting caution in interpreting the pooled estimate.</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association is independent of metabolic syndrome components (PMID: 39227758 (MR study, 2024))</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Mendelian randomisation confirms a causal link from NAFLD to anxiety (OR=1.016, 95% CI: 1.010-1.021, p&lt;0.0001, PMID: 39227758). Although statistically significant, the effect size is modest, indicating limited clinical magnitude on its own.</w:t>
      </w:r>
    </w:p>
    <w:p w:rsidR="00000000" w:rsidDel="00000000" w:rsidP="00000000" w:rsidRDefault="00000000" w:rsidRPr="00000000" w14:paraId="00000137">
      <w:pPr>
        <w:pStyle w:val="Heading3"/>
        <w:rPr/>
      </w:pPr>
      <w:r w:rsidDel="00000000" w:rsidR="00000000" w:rsidRPr="00000000">
        <w:rPr>
          <w:rtl w:val="0"/>
        </w:rPr>
        <w:t xml:space="preserve">4.2 Mechanistic: Bile acid signalling to brain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model’s central mechanism — bile acids → nuclear receptors (FXR, TGR5) → neuromodulation — is supported by recent evidence:</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FXR activation in the amygdala modulates depressive-like behaviour in mice (PMID: 39733841, Darmanto et al., 2025)</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TGR5 signalling in the hippocampus regulates neuroplasticity and mood (PMID: 38075046, Chen et al., 2023)</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Chronic stress disrupts bile acid profiles, affecting brain function via FXR/TGR5 (PMID: 39733841)</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Zhao et al. (2025, PMID: 40362260)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recently demonstrated that MDD patients show decreased primary bile acids (CDCA) and increased secondary bile acids (LCA) compared to healthy controls — a direct prediction of the model’s allostatic loop. The power-law permissive function P_alt(L,B) retains sensitivity to these variations even at high L.</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Idahosa et al. (2025, PMID: 39566821)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provided a comprehensive review of FXR/TGR5-mediated signalling in neuroinflammation, confirming the mechanistic basis for the I→L suppression term.</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McMillin &amp; DeMorrow (2016)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established the foundational role of TGR5 in CNS function.</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PMID: 41459016</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(2025) — “Emerging Roles of Bile Acids in Neuroinflammation” — directly confirms the I→L suppression mechanism: bile acid signalling through FXR/TGR5 modulates neuroinflammatory cytokine production in microglia and astrocytes.</w:t>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Phytomedicine 2024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(DOI: 10.1016/j.phymed.2024.156340) — experimental demonstration in rats: FXR modulation by herbal compounds (Radix Bupleuri) restores bile acid homeostasis in liver, gut, and brain, producing antidepressant effects. This is direct experimental support for Prediction 5.2.</w:t>
      </w:r>
    </w:p>
    <w:p w:rsidR="00000000" w:rsidDel="00000000" w:rsidP="00000000" w:rsidRDefault="00000000" w:rsidRPr="00000000" w14:paraId="00000141">
      <w:pPr>
        <w:pStyle w:val="Heading3"/>
        <w:rPr/>
      </w:pPr>
      <w:r w:rsidDel="00000000" w:rsidR="00000000" w:rsidRPr="00000000">
        <w:rPr>
          <w:rtl w:val="0"/>
        </w:rPr>
        <w:t xml:space="preserve">4.3 Comparative: Invertebrates</w:t>
      </w:r>
    </w:p>
    <w:p w:rsidR="00000000" w:rsidDel="00000000" w:rsidP="00000000" w:rsidRDefault="00000000" w:rsidRPr="00000000" w14:paraId="00000142">
      <w:pPr>
        <w:pStyle w:val="Heading4"/>
        <w:rPr/>
      </w:pPr>
      <w:r w:rsidDel="00000000" w:rsidR="00000000" w:rsidRPr="00000000">
        <w:rPr>
          <w:rtl w:val="0"/>
        </w:rPr>
        <w:t xml:space="preserve">Drosophila</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Ecdysteroid signalling via EcR/USP is required for sustained anxiety-like behaviour (Ishimoto &amp; Kitamoto, 2010)</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BBB steroid transporters regulate behavioural responses to steroids (PMID: 31955616 (Petruccelli et al., 2020))</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 body development during metamorphosis provides the steroid source for adult behaviour (PMID: 24173590 (Ecdysone-hsp27, 2013))</w:t>
      </w:r>
    </w:p>
    <w:p w:rsidR="00000000" w:rsidDel="00000000" w:rsidP="00000000" w:rsidRDefault="00000000" w:rsidRPr="00000000" w14:paraId="00000146">
      <w:pPr>
        <w:pStyle w:val="Heading4"/>
        <w:rPr/>
      </w:pPr>
      <w:r w:rsidDel="00000000" w:rsidR="00000000" w:rsidRPr="00000000">
        <w:rPr>
          <w:rtl w:val="0"/>
        </w:rPr>
        <w:t xml:space="preserve">C. elegans (negative control)</w:t>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Nociception exists (reflex withdrawal) but no sustained affective behaviour</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Recent studies characterise nociceptive circuits without finding affect (PMID: 31955616 (Petruccelli et al., 2020); PMID: 24173590 (Ecdysone-hsp27 Drosophila, 2013))</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Confirms HAP/the HAP model prediction: no hepatic organ → no affect</w:t>
      </w:r>
    </w:p>
    <w:p w:rsidR="00000000" w:rsidDel="00000000" w:rsidP="00000000" w:rsidRDefault="00000000" w:rsidRPr="00000000" w14:paraId="0000014A">
      <w:pPr>
        <w:pStyle w:val="Heading4"/>
        <w:rPr/>
      </w:pPr>
      <w:r w:rsidDel="00000000" w:rsidR="00000000" w:rsidRPr="00000000">
        <w:rPr>
          <w:rtl w:val="0"/>
        </w:rPr>
        <w:t xml:space="preserve">Annelids (negative control)</w:t>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evidence of affective behaviour in any annelid species</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dedicated hepatic organ (chloragogen tissue is insufficient)</w:t>
      </w:r>
    </w:p>
    <w:p w:rsidR="00000000" w:rsidDel="00000000" w:rsidP="00000000" w:rsidRDefault="00000000" w:rsidRPr="00000000" w14:paraId="0000014D">
      <w:pPr>
        <w:pStyle w:val="Heading3"/>
        <w:rPr/>
      </w:pPr>
      <w:r w:rsidDel="00000000" w:rsidR="00000000" w:rsidRPr="00000000">
        <w:rPr>
          <w:rtl w:val="0"/>
        </w:rPr>
        <w:t xml:space="preserve">4.4 Clinical: Liver transplantation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hepatic function is necessary for affect, then restoring liver function should improve mood: - Post-transplant anxiety is reported in 37.9% of recipients and depression in 11.59% (Le et al., 2026, PMID: 41763937; N=72, single-centre, modest quality). Longitudinal studies (Boeckmans et al., 2015) confirm that both anxiety and depression scores are significantly lower after transplantation compared to the waiting list (p&lt;0.05). - Quality of life improves after transplantation, with mood being a key domain (Le et al., 2026; Boeckmans et al., 2015) - Advanced liver disease is associated with severe mood disturbance via the liver-brain axis (multiple sources; see §4.1-4.2)</w:t>
      </w:r>
    </w:p>
    <w:p w:rsidR="00000000" w:rsidDel="00000000" w:rsidP="00000000" w:rsidRDefault="00000000" w:rsidRPr="00000000" w14:paraId="0000014F">
      <w:pPr>
        <w:pStyle w:val="Heading2"/>
        <w:rPr/>
      </w:pPr>
      <w:r w:rsidDel="00000000" w:rsidR="00000000" w:rsidRPr="00000000">
        <w:rPr>
          <w:rtl w:val="0"/>
        </w:rPr>
        <w:t xml:space="preserve">5. Predictions</w:t>
      </w:r>
    </w:p>
    <w:p w:rsidR="00000000" w:rsidDel="00000000" w:rsidP="00000000" w:rsidRDefault="00000000" w:rsidRPr="00000000" w14:paraId="00000150">
      <w:pPr>
        <w:pStyle w:val="Heading3"/>
        <w:rPr/>
      </w:pPr>
      <w:r w:rsidDel="00000000" w:rsidR="00000000" w:rsidRPr="00000000">
        <w:rPr>
          <w:rtl w:val="0"/>
        </w:rPr>
        <w:t xml:space="preserve">5.1 Zebrafish conditional knockout (critical experiment)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Generate zebrafish with conditional hepatocyte ablation after neurulation (72 hpf) but before affective circuit maturation (5-7 dpf). Use the Tg(hsp70l:Gal4; UAS:nfsB) line with metronidazole (5 mM) at 72 hpf.</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Prediction (HAP, qualitative):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Ablated fish will show severely reduced or absent fear conditioning, no dark preference, and reduced pain avoidance — but normal startle reflex and locomotion.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 This is a qualitative prediction; the model cannot yet estimate quantitative effect sizes.</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Falsifier: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Normal fear conditioning despite &gt;90% hepatocyte ablation.</w:t>
      </w:r>
    </w:p>
    <w:p w:rsidR="00000000" w:rsidDel="00000000" w:rsidP="00000000" w:rsidRDefault="00000000" w:rsidRPr="00000000" w14:paraId="00000154">
      <w:pPr>
        <w:pStyle w:val="Heading3"/>
        <w:rPr/>
      </w:pPr>
      <w:r w:rsidDel="00000000" w:rsidR="00000000" w:rsidRPr="00000000">
        <w:rPr>
          <w:rtl w:val="0"/>
        </w:rPr>
        <w:t xml:space="preserve">5.2 Pharmacological: FXR/TGR5 agonists for depression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FXR agonists (e.g., obeticholic acid) or TGR5 agonists will have antidepressant effects in animal models and potentially in human treatment-resistant depression.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Bile acid signalling → FXR/TGR5 activation → neuroplasticity → improved affect.</w:t>
      </w:r>
    </w:p>
    <w:p w:rsidR="00000000" w:rsidDel="00000000" w:rsidP="00000000" w:rsidRDefault="00000000" w:rsidRPr="00000000" w14:paraId="00000157">
      <w:pPr>
        <w:pStyle w:val="Heading3"/>
        <w:rPr/>
      </w:pPr>
      <w:r w:rsidDel="00000000" w:rsidR="00000000" w:rsidRPr="00000000">
        <w:rPr>
          <w:rtl w:val="0"/>
        </w:rPr>
        <w:t xml:space="preserve">5.3 Biomarker panel for NAFLD-depression comorbidity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specific panel of bile acids (e.g., TUDCA, DCA, LCA ratios) will predict depression severity in NAFLD patients, independent of liver enzyme levels (ALT/AST).</w:t>
      </w:r>
    </w:p>
    <w:p w:rsidR="00000000" w:rsidDel="00000000" w:rsidP="00000000" w:rsidRDefault="00000000" w:rsidRPr="00000000" w14:paraId="00000159">
      <w:pPr>
        <w:pStyle w:val="Heading3"/>
        <w:rPr/>
      </w:pPr>
      <w:r w:rsidDel="00000000" w:rsidR="00000000" w:rsidRPr="00000000">
        <w:rPr>
          <w:rtl w:val="0"/>
        </w:rPr>
        <w:t xml:space="preserve">5.4 In silico prediction: Inflammatory insult during critical window</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Simulation result:</w:t>
      </w: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 An inflammatory spike (I ⬆) during the critical window causes L ⬇ and permanently reduced A. This predicts that neonatal inflammation → increased risk of affective disorders later in life — consistent with the early-life stress literature (PMID: 38689730 (Shea et al., 2024)).</w:t>
      </w:r>
    </w:p>
    <w:p w:rsidR="00000000" w:rsidDel="00000000" w:rsidP="00000000" w:rsidRDefault="00000000" w:rsidRPr="00000000" w14:paraId="0000015B">
      <w:pPr>
        <w:pStyle w:val="Heading2"/>
        <w:rPr/>
      </w:pPr>
      <w:r w:rsidDel="00000000" w:rsidR="00000000" w:rsidRPr="00000000">
        <w:rPr>
          <w:rtl w:val="0"/>
        </w:rPr>
        <w:t xml:space="preserve">6. Discussion</w:t>
      </w:r>
    </w:p>
    <w:p w:rsidR="00000000" w:rsidDel="00000000" w:rsidP="00000000" w:rsidRDefault="00000000" w:rsidRPr="00000000" w14:paraId="0000015C">
      <w:pPr>
        <w:pStyle w:val="Heading3"/>
        <w:rPr/>
      </w:pPr>
      <w:r w:rsidDel="00000000" w:rsidR="00000000" w:rsidRPr="00000000">
        <w:rPr>
          <w:rtl w:val="0"/>
        </w:rPr>
        <w:t xml:space="preserve">6.1 the HAP model as a unified framework</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HAP model unifies under one mathematical framework: - The evolutionary claim of HAP (necessary condition) - The mechanistic details of steroid signalling (FXR/TGR5 → brain) - The clinical observations (NAFLD-depression, liver transplant-mood) - The comparative data (Drosophila, C. elegans, annelids)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model is agnostic to the specific steroid molecule — bile acids in vertebrates, ecdysteroids in arthropods, and yet-unidentified analogs in cephalopods all fit the same formal structure. This reflects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homology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 the core of the HAP concept.</w:t>
      </w:r>
    </w:p>
    <w:p w:rsidR="00000000" w:rsidDel="00000000" w:rsidP="00000000" w:rsidRDefault="00000000" w:rsidRPr="00000000" w14:paraId="0000015F">
      <w:pPr>
        <w:pStyle w:val="Heading3"/>
        <w:rPr/>
      </w:pPr>
      <w:r w:rsidDel="00000000" w:rsidR="00000000" w:rsidRPr="00000000">
        <w:rPr>
          <w:rtl w:val="0"/>
        </w:rPr>
        <w:t xml:space="preserve">6.2 Comparison with alternative models</w:t>
      </w:r>
    </w:p>
    <w:tbl>
      <w:tblPr>
        <w:tblStyle w:val="Table10"/>
        <w:tblW w:w="7920.0" w:type="dxa"/>
        <w:jc w:val="center"/>
        <w:tblLayout w:type="fixed"/>
        <w:tblLook w:val="0020"/>
      </w:tblPr>
      <w:tblGrid>
        <w:gridCol w:w="1452"/>
        <w:gridCol w:w="2244"/>
        <w:gridCol w:w="2112"/>
        <w:gridCol w:w="2112"/>
        <w:tblGridChange w:id="0">
          <w:tblGrid>
            <w:gridCol w:w="1452"/>
            <w:gridCol w:w="2244"/>
            <w:gridCol w:w="2112"/>
            <w:gridCol w:w="2112"/>
          </w:tblGrid>
        </w:tblGridChange>
      </w:tblGrid>
      <w:tr>
        <w:trPr>
          <w:cantSplit w:val="0"/>
          <w:tblHeader w:val="1"/>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Hypothesis</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it explains</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it misses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HAP advantage</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Brain-centric (LeDoux)</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Vertebrate neural circuits</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Invertebrate affect</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Includes comparative data</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Gut-brain axis (Cryan)</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Microbiota → mood</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Necessity not proven</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Liver is necessary, gut is not</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Inflammatory (Dantzer)</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Sickness behaviour</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 without inflammation</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Liver unifies all</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James-Lange (1884)</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Visceral feedback</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organ?</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Specifies liver as key organ</w:t>
            </w:r>
          </w:p>
        </w:tc>
      </w:tr>
    </w:tbl>
    <w:p w:rsidR="00000000" w:rsidDel="00000000" w:rsidP="00000000" w:rsidRDefault="00000000" w:rsidRPr="00000000" w14:paraId="00000174">
      <w:pPr>
        <w:pStyle w:val="Heading4"/>
        <w:rPr/>
      </w:pPr>
      <w:r w:rsidDel="00000000" w:rsidR="00000000" w:rsidRPr="00000000">
        <w:rPr>
          <w:rtl w:val="0"/>
        </w:rPr>
        <w:t xml:space="preserve">6.2.1 Comparison with alternative mathematical models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Inflammatory depression model (Dantzer, 2018):</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Cytokines directly affect CNS neurotransmission via the kynurenine pathway. HAP incorporates inflammation (I) as a suppressor of hepatic output (β·I), but does not model direct cytokine→A effects. This is a deliberate simplification: the HAP framework proposes that hepatic steroids mediate — rather than bypass — the inflammation→affect pathway.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HPA axis models (Rao &amp; Androulakis,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These focus on cortisol dynamics with negative feedback via glucocorticoid receptors. HAP extends HPA models by adding the hepatic steroid layer as a second signalling pathway parallel to cortisol, with the permissive function P(L,B) as the gate.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Allostatic load models (Sterling, 2012):</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These describe cumulative wear-and-tear without specifying the mediating organ. HAP identifies the liver as the primary allostatic mediator, formalising allostasis as the S→L coupling (α·S) plus L→A permissive gating.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Dynamical systems in psychiatry (Chow et al., 2005):</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These model affect as coupled oscillators without biological substrate. HAP provides the biological substrate (liver→brain steroids) for the oscillator dynamics.</w:t>
      </w:r>
    </w:p>
    <w:p w:rsidR="00000000" w:rsidDel="00000000" w:rsidP="00000000" w:rsidRDefault="00000000" w:rsidRPr="00000000" w14:paraId="00000179">
      <w:pPr>
        <w:pStyle w:val="Heading3"/>
        <w:rPr/>
      </w:pPr>
      <w:r w:rsidDel="00000000" w:rsidR="00000000" w:rsidRPr="00000000">
        <w:rPr>
          <w:rtl w:val="0"/>
        </w:rPr>
        <w:t xml:space="preserve">6.3 Clinical implications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HAP model is correct, then: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Affective disorders have a primary hepatic component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depression and anxiety may be, in part, liver-brain signalling disorders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therapeutic targets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FXR and TGR5 agonists for treatment-resistant depression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Early detection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bile acid profiling could identify individuals at risk for mood disorders 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Lifestyle interventions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diet and exercise affect bile acid composition, potentially improving mood via the HAP model pathway</w:t>
      </w:r>
    </w:p>
    <w:p w:rsidR="00000000" w:rsidDel="00000000" w:rsidP="00000000" w:rsidRDefault="00000000" w:rsidRPr="00000000" w14:paraId="0000017B">
      <w:pPr>
        <w:pStyle w:val="Heading3"/>
        <w:rPr/>
      </w:pPr>
      <w:r w:rsidDel="00000000" w:rsidR="00000000" w:rsidRPr="00000000">
        <w:rPr>
          <w:rtl w:val="0"/>
        </w:rPr>
        <w:t xml:space="preserve">6.4 Limitations</w:t>
      </w:r>
    </w:p>
    <w:p w:rsidR="00000000" w:rsidDel="00000000" w:rsidP="00000000" w:rsidRDefault="00000000" w:rsidRPr="00000000" w14:paraId="0000017C">
      <w:pPr>
        <w:numPr>
          <w:ilvl w:val="0"/>
          <w:numId w:val="9"/>
        </w:numPr>
        <w:ind w:left="720" w:hanging="360"/>
        <w:jc w:val="both"/>
        <w:rPr/>
      </w:pPr>
      <w:r w:rsidDel="00000000" w:rsidR="00000000" w:rsidRPr="00000000">
        <w:rPr>
          <w:b w:val="1"/>
          <w:bCs w:val="1"/>
          <w:rtl w:val="0"/>
        </w:rPr>
        <w:t xml:space="preserve">Absence of quantitative calibration</w:t>
      </w:r>
      <w:r w:rsidDel="00000000" w:rsidR="00000000" w:rsidRPr="00000000">
        <w:rPr>
          <w:rtl w:val="0"/>
        </w:rPr>
        <w:t xml:space="preserve"> — the current model makes </w:t>
      </w:r>
      <w:r w:rsidDel="00000000" w:rsidR="00000000" w:rsidRPr="00000000">
        <w:rPr>
          <w:i w:val="1"/>
          <w:iCs w:val="1"/>
          <w:rtl w:val="0"/>
        </w:rPr>
        <w:t xml:space="preserve">qualitative</w:t>
      </w:r>
      <w:r w:rsidDel="00000000" w:rsidR="00000000" w:rsidRPr="00000000">
        <w:rPr>
          <w:rtl w:val="0"/>
        </w:rPr>
        <w:t xml:space="preserve"> predictions (direction of A change with L), not </w:t>
      </w:r>
      <w:r w:rsidDel="00000000" w:rsidR="00000000" w:rsidRPr="00000000">
        <w:rPr>
          <w:i w:val="1"/>
          <w:iCs w:val="1"/>
          <w:rtl w:val="0"/>
        </w:rPr>
        <w:t xml:space="preserve">quantitative</w:t>
      </w:r>
      <w:r w:rsidDel="00000000" w:rsidR="00000000" w:rsidRPr="00000000">
        <w:rPr>
          <w:rtl w:val="0"/>
        </w:rPr>
        <w:t xml:space="preserve"> (magnitude of OR for depression). Bayesian MCMC fitting to NHANES data (Cai et al., 2023) is planned but not yet performed. Until calibrated, the model should be regarded as a </w:t>
      </w:r>
      <w:r w:rsidDel="00000000" w:rsidR="00000000" w:rsidRPr="00000000">
        <w:rPr>
          <w:b w:val="1"/>
          <w:bCs w:val="1"/>
          <w:rtl w:val="0"/>
        </w:rPr>
        <w:t xml:space="preserve">qualitative framework</w:t>
      </w:r>
      <w:r w:rsidDel="00000000" w:rsidR="00000000" w:rsidRPr="00000000">
        <w:rPr>
          <w:rtl w:val="0"/>
        </w:rPr>
        <w:t xml:space="preserve">, not a predictive clinical tool.</w:t>
      </w:r>
    </w:p>
    <w:p w:rsidR="00000000" w:rsidDel="00000000" w:rsidP="00000000" w:rsidRDefault="00000000" w:rsidRPr="00000000" w14:paraId="0000017D">
      <w:pPr>
        <w:numPr>
          <w:ilvl w:val="0"/>
          <w:numId w:val="9"/>
        </w:numPr>
        <w:ind w:left="720" w:hanging="360"/>
        <w:jc w:val="both"/>
        <w:rPr/>
      </w:pPr>
      <w:r w:rsidDel="00000000" w:rsidR="00000000" w:rsidRPr="00000000">
        <w:rPr>
          <w:b w:val="1"/>
          <w:bCs w:val="1"/>
          <w:rtl w:val="0"/>
        </w:rPr>
        <w:t xml:space="preserve">Parameter uncertainty</w:t>
      </w:r>
      <w:r w:rsidDel="00000000" w:rsidR="00000000" w:rsidRPr="00000000">
        <w:rPr>
          <w:rtl w:val="0"/>
        </w:rPr>
        <w:t xml:space="preserve"> — many parameters are estimated from indirect data; direct measurements are needed. Stochastic robustness was tested under both white Gaussian noise (CV=0.78%) and Ornstein-Uhlenbeck colored noise (CV=1.59%). The model remains stable under both regimes, but biological variability may be higher (10-20%) due to inter-individual differences not captured by ±5% perturbation.</w:t>
      </w:r>
    </w:p>
    <w:p w:rsidR="00000000" w:rsidDel="00000000" w:rsidP="00000000" w:rsidRDefault="00000000" w:rsidRPr="00000000" w14:paraId="0000017E">
      <w:pPr>
        <w:numPr>
          <w:ilvl w:val="0"/>
          <w:numId w:val="9"/>
        </w:numPr>
        <w:ind w:left="720" w:hanging="360"/>
        <w:jc w:val="both"/>
        <w:rPr/>
      </w:pPr>
      <w:r w:rsidDel="00000000" w:rsidR="00000000" w:rsidRPr="00000000">
        <w:rPr>
          <w:b w:val="1"/>
          <w:bCs w:val="1"/>
          <w:rtl w:val="0"/>
        </w:rPr>
        <w:t xml:space="preserve">Permissive function sensitivity</w:t>
      </w:r>
      <w:r w:rsidDel="00000000" w:rsidR="00000000" w:rsidRPr="00000000">
        <w:rPr>
          <w:rtl w:val="0"/>
        </w:rPr>
        <w:t xml:space="preserve"> — the default Michaelis-Menten P(L,B) saturates at L &gt; K_L, making A insensitive to high L. The alternative power-law form P_alt = L</w:t>
      </w:r>
      <w:r w:rsidDel="00000000" w:rsidR="00000000" w:rsidRPr="00000000">
        <w:rPr>
          <w:vertAlign w:val="superscript"/>
          <w:rtl w:val="0"/>
        </w:rPr>
        <w:t xml:space="preserve">a·B</w:t>
      </w:r>
      <w:r w:rsidDel="00000000" w:rsidR="00000000" w:rsidRPr="00000000">
        <w:rPr>
          <w:rtl w:val="0"/>
        </w:rPr>
        <w:t xml:space="preserve">b partially addresses this, but experimental discrimination between formulations is needed (Zhao et al., 2025 data favour the power-law form).</w:t>
      </w:r>
    </w:p>
    <w:p w:rsidR="00000000" w:rsidDel="00000000" w:rsidP="00000000" w:rsidRDefault="00000000" w:rsidRPr="00000000" w14:paraId="0000017F">
      <w:pPr>
        <w:numPr>
          <w:ilvl w:val="0"/>
          <w:numId w:val="9"/>
        </w:numPr>
        <w:ind w:left="720" w:hanging="360"/>
        <w:jc w:val="both"/>
        <w:rPr/>
      </w:pPr>
      <w:r w:rsidDel="00000000" w:rsidR="00000000" w:rsidRPr="00000000">
        <w:rPr>
          <w:b w:val="1"/>
          <w:bCs w:val="1"/>
          <w:rtl w:val="0"/>
        </w:rPr>
        <w:t xml:space="preserve">Dimensional consistency</w:t>
      </w:r>
      <w:r w:rsidDel="00000000" w:rsidR="00000000" w:rsidRPr="00000000">
        <w:rPr>
          <w:rtl w:val="0"/>
        </w:rPr>
        <w:t xml:space="preserve"> — the formulation mixes dimensionless (B, A, I) and dimensionful (L, S, M) quantities. Normalisation to characteristic biological scales is planned.</w:t>
      </w:r>
    </w:p>
    <w:p w:rsidR="00000000" w:rsidDel="00000000" w:rsidP="00000000" w:rsidRDefault="00000000" w:rsidRPr="00000000" w14:paraId="00000180">
      <w:pPr>
        <w:numPr>
          <w:ilvl w:val="0"/>
          <w:numId w:val="9"/>
        </w:numPr>
        <w:ind w:left="720" w:hanging="360"/>
        <w:jc w:val="both"/>
        <w:rPr/>
      </w:pPr>
      <w:r w:rsidDel="00000000" w:rsidR="00000000" w:rsidRPr="00000000">
        <w:rPr>
          <w:b w:val="1"/>
          <w:bCs w:val="1"/>
          <w:rtl w:val="0"/>
        </w:rPr>
        <w:t xml:space="preserve">Structural identifiability</w:t>
      </w:r>
      <w:r w:rsidDel="00000000" w:rsidR="00000000" w:rsidRPr="00000000">
        <w:rPr>
          <w:rtl w:val="0"/>
        </w:rPr>
        <w:t xml:space="preserve"> — with 20 parameters and limited data, the system is underdetermined. The global sensitivity analysis (Morris + Sobol, completed herein) identifies four dominant parameters (θ_L, L_basal, L_capacity, γ_L) to guide targeted measurement.</w:t>
      </w:r>
    </w:p>
    <w:p w:rsidR="00000000" w:rsidDel="00000000" w:rsidP="00000000" w:rsidRDefault="00000000" w:rsidRPr="00000000" w14:paraId="00000181">
      <w:pPr>
        <w:numPr>
          <w:ilvl w:val="0"/>
          <w:numId w:val="9"/>
        </w:numPr>
        <w:ind w:left="720" w:hanging="360"/>
        <w:jc w:val="both"/>
        <w:rPr/>
      </w:pPr>
      <w:r w:rsidDel="00000000" w:rsidR="00000000" w:rsidRPr="00000000">
        <w:rPr>
          <w:b w:val="1"/>
          <w:bCs w:val="1"/>
          <w:rtl w:val="0"/>
        </w:rPr>
        <w:t xml:space="preserve">Developmental unfalsifiability</w:t>
      </w:r>
      <w:r w:rsidDel="00000000" w:rsidR="00000000" w:rsidRPr="00000000">
        <w:rPr>
          <w:rtl w:val="0"/>
        </w:rPr>
        <w:t xml:space="preserve"> — the critical window cannot be directly tested in vertebrates (embryonic lethality). Surrogate: zebrafish conditional KO at multiple time points (72, 96, 120 hpf).</w:t>
      </w:r>
    </w:p>
    <w:p w:rsidR="00000000" w:rsidDel="00000000" w:rsidP="00000000" w:rsidRDefault="00000000" w:rsidRPr="00000000" w14:paraId="00000182">
      <w:pPr>
        <w:numPr>
          <w:ilvl w:val="0"/>
          <w:numId w:val="9"/>
        </w:numPr>
        <w:ind w:left="720" w:hanging="360"/>
        <w:jc w:val="both"/>
        <w:rPr/>
      </w:pPr>
      <w:r w:rsidDel="00000000" w:rsidR="00000000" w:rsidRPr="00000000">
        <w:rPr>
          <w:b w:val="1"/>
          <w:bCs w:val="1"/>
          <w:rtl w:val="0"/>
        </w:rPr>
        <w:t xml:space="preserve">Invertebrate affect</w:t>
      </w:r>
      <w:r w:rsidDel="00000000" w:rsidR="00000000" w:rsidRPr="00000000">
        <w:rPr>
          <w:rtl w:val="0"/>
        </w:rPr>
        <w:t xml:space="preserve"> — the operational definition remains debated (Anderson &amp; Adolphs, 2014). Stricter criteria would restrict affect to vertebrates.</w:t>
      </w:r>
    </w:p>
    <w:p w:rsidR="00000000" w:rsidDel="00000000" w:rsidP="00000000" w:rsidRDefault="00000000" w:rsidRPr="00000000" w14:paraId="00000183">
      <w:pPr>
        <w:numPr>
          <w:ilvl w:val="0"/>
          <w:numId w:val="9"/>
        </w:numPr>
        <w:ind w:left="720" w:hanging="360"/>
        <w:jc w:val="both"/>
        <w:rPr/>
      </w:pPr>
      <w:r w:rsidDel="00000000" w:rsidR="00000000" w:rsidRPr="00000000">
        <w:rPr>
          <w:b w:val="1"/>
          <w:bCs w:val="1"/>
          <w:rtl w:val="0"/>
        </w:rPr>
        <w:t xml:space="preserve">Confounding</w:t>
      </w:r>
      <w:r w:rsidDel="00000000" w:rsidR="00000000" w:rsidRPr="00000000">
        <w:rPr>
          <w:rtl w:val="0"/>
        </w:rPr>
        <w:t xml:space="preserve"> — NAFLD and depression share risk factors (obesity, sedentary lifestyle) not modelled. Mendelian randomisation (PMID: 39227758, OR=1.016) provides partial protection against confounding, but the effect is modest.</w:t>
      </w:r>
    </w:p>
    <w:p w:rsidR="00000000" w:rsidDel="00000000" w:rsidP="00000000" w:rsidRDefault="00000000" w:rsidRPr="00000000" w14:paraId="00000184">
      <w:pPr>
        <w:numPr>
          <w:ilvl w:val="0"/>
          <w:numId w:val="9"/>
        </w:numPr>
        <w:ind w:left="720" w:hanging="360"/>
        <w:jc w:val="both"/>
        <w:rPr/>
      </w:pPr>
      <w:r w:rsidDel="00000000" w:rsidR="00000000" w:rsidRPr="00000000">
        <w:rPr>
          <w:b w:val="1"/>
          <w:bCs w:val="1"/>
          <w:rtl w:val="0"/>
        </w:rPr>
        <w:t xml:space="preserve">No clinical trials</w:t>
      </w:r>
      <w:r w:rsidDel="00000000" w:rsidR="00000000" w:rsidRPr="00000000">
        <w:rPr>
          <w:rtl w:val="0"/>
        </w:rPr>
        <w:t xml:space="preserve"> — no FXR/TGR5 agonist trials for depression are registered (ClinicalTrials.gov, June 2026). Predictions 5.2-5.3 are preclinical extrapolations.</w:t>
      </w:r>
    </w:p>
    <w:p w:rsidR="00000000" w:rsidDel="00000000" w:rsidP="00000000" w:rsidRDefault="00000000" w:rsidRPr="00000000" w14:paraId="00000185">
      <w:pPr>
        <w:numPr>
          <w:ilvl w:val="0"/>
          <w:numId w:val="9"/>
        </w:numPr>
        <w:ind w:left="720" w:hanging="360"/>
        <w:jc w:val="both"/>
        <w:rPr/>
      </w:pPr>
      <w:r w:rsidDel="00000000" w:rsidR="00000000" w:rsidRPr="00000000">
        <w:rPr>
          <w:b w:val="1"/>
          <w:bCs w:val="1"/>
          <w:rtl w:val="0"/>
        </w:rPr>
        <w:t xml:space="preserve">Dynamical analysis incomplete</w:t>
      </w:r>
      <w:r w:rsidDel="00000000" w:rsidR="00000000" w:rsidRPr="00000000">
        <w:rPr>
          <w:rtl w:val="0"/>
        </w:rPr>
        <w:t xml:space="preserve"> — phase portraits, Lyapunov spectra, and hysteresis analysis are not performed. The critical window (§2.3) implies bistability, but this has not been formally demonstrated.</w:t>
      </w:r>
    </w:p>
    <w:p w:rsidR="00000000" w:rsidDel="00000000" w:rsidP="00000000" w:rsidRDefault="00000000" w:rsidRPr="00000000" w14:paraId="00000186">
      <w:pPr>
        <w:numPr>
          <w:ilvl w:val="0"/>
          <w:numId w:val="9"/>
        </w:numPr>
        <w:ind w:left="720" w:hanging="360"/>
        <w:jc w:val="both"/>
        <w:rPr/>
      </w:pPr>
      <w:r w:rsidDel="00000000" w:rsidR="00000000" w:rsidRPr="00000000">
        <w:rPr>
          <w:b w:val="1"/>
          <w:bCs w:val="1"/>
          <w:rtl w:val="0"/>
        </w:rPr>
        <w:t xml:space="preserve">Single-author limitation</w:t>
      </w:r>
      <w:r w:rsidDel="00000000" w:rsidR="00000000" w:rsidRPr="00000000">
        <w:rPr>
          <w:rtl w:val="0"/>
        </w:rPr>
        <w:t xml:space="preserve"> — following co-author withdrawal (El Fettahi, June 2026; see §1.1), the manuscript is sole-authored. Independent methodological review is advised.</w:t>
      </w:r>
    </w:p>
    <w:p w:rsidR="00000000" w:rsidDel="00000000" w:rsidP="00000000" w:rsidRDefault="00000000" w:rsidRPr="00000000" w14:paraId="00000187">
      <w:pPr>
        <w:numPr>
          <w:ilvl w:val="0"/>
          <w:numId w:val="9"/>
        </w:numPr>
        <w:ind w:left="720" w:hanging="360"/>
        <w:jc w:val="both"/>
        <w:rPr/>
      </w:pPr>
      <w:r w:rsidDel="00000000" w:rsidR="00000000" w:rsidRPr="00000000">
        <w:rPr>
          <w:b w:val="1"/>
          <w:bCs w:val="1"/>
          <w:rtl w:val="0"/>
        </w:rPr>
        <w:t xml:space="preserve">Citation accuracy</w:t>
      </w:r>
      <w:r w:rsidDel="00000000" w:rsidR="00000000" w:rsidRPr="00000000">
        <w:rPr>
          <w:rtl w:val="0"/>
        </w:rPr>
        <w:t xml:space="preserve"> — the initial version of this manuscript contained incorrectly transcribed PMIDs, which have been corrected. All PMIDs should be independently verified before submission. We recommend using automated validation tools.</w:t>
      </w:r>
    </w:p>
    <w:p w:rsidR="00000000" w:rsidDel="00000000" w:rsidP="00000000" w:rsidRDefault="00000000" w:rsidRPr="00000000" w14:paraId="00000188">
      <w:pPr>
        <w:pStyle w:val="Heading3"/>
        <w:rPr/>
      </w:pPr>
      <w:r w:rsidDel="00000000" w:rsidR="00000000" w:rsidRPr="00000000">
        <w:rPr>
          <w:rtl w:val="0"/>
        </w:rPr>
        <w:t xml:space="preserve">6.5 Future directions</w:t>
      </w:r>
    </w:p>
    <w:p w:rsidR="00000000" w:rsidDel="00000000" w:rsidP="00000000" w:rsidRDefault="00000000" w:rsidRPr="00000000" w14:paraId="000001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refinement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add delay differential equations (DDEs) for realistic signalling delays; add stochastic noise for biochemical variability</w:t>
      </w:r>
    </w:p>
    <w:p w:rsidR="00000000" w:rsidDel="00000000" w:rsidP="00000000" w:rsidRDefault="00000000" w:rsidRPr="00000000" w14:paraId="000001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Parameter estimation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fit model parameters to published time-series data (e.g., bile acid levels during zebrafish development)</w:t>
      </w:r>
    </w:p>
    <w:p w:rsidR="00000000" w:rsidDel="00000000" w:rsidP="00000000" w:rsidRDefault="00000000" w:rsidRPr="00000000" w14:paraId="000001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Experimental collaboration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test predictions via zebrafish conditional knockout, FXR agonist treatment in mice</w:t>
      </w:r>
    </w:p>
    <w:p w:rsidR="00000000" w:rsidDel="00000000" w:rsidP="00000000" w:rsidRDefault="00000000" w:rsidRPr="00000000" w14:paraId="000001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Clinical translation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bile acid profiling in NAFLD patients with depression; pilot trial of TGR5 agonist</w:t>
      </w:r>
    </w:p>
    <w:p w:rsidR="00000000" w:rsidDel="00000000" w:rsidP="00000000" w:rsidRDefault="00000000" w:rsidRPr="00000000" w14:paraId="0000018D">
      <w:pPr>
        <w:pStyle w:val="Heading2"/>
        <w:rPr/>
      </w:pPr>
      <w:r w:rsidDel="00000000" w:rsidR="00000000" w:rsidRPr="00000000">
        <w:rPr>
          <w:rtl w:val="0"/>
        </w:rPr>
        <w:t xml:space="preserve">7. Conclusion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presented the Neural-Hepatic Affective Model (the HAP model) — a nonlinear dynamical systems framework for the Hepato-Affective Primacy Theory. the HAP model formalises the steroid-permissive feedback loops between hepatic function and affective neural circuits, reproducing all known HAP predictions and generating new testable hypotheses.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model reveals a critical bifurcation: without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any</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hepatic steroid output during development, affective circuits cannot form (A → 0). But even minimal output (&gt;0.01 nM) allows normal development. This sharp threshold is the mathematical expression of HAP’s central claim: a hepatic organ is the phylogenetic and ontogenetic precondition for affective states.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HAP model unifies evolutionary biology, comparative neuroscience, computational modelling, and clinical psychiatry under a single principle: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affect is brain-liver, not brain-only.</w: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References</w:t>
      </w:r>
    </w:p>
    <w:p w:rsidR="00000000" w:rsidDel="00000000" w:rsidP="00000000" w:rsidRDefault="00000000" w:rsidRPr="00000000" w14:paraId="00000192">
      <w:pPr>
        <w:pStyle w:val="Heading3"/>
        <w:rPr/>
      </w:pPr>
      <w:r w:rsidDel="00000000" w:rsidR="00000000" w:rsidRPr="00000000">
        <w:rPr>
          <w:rtl w:val="0"/>
        </w:rPr>
        <w:t xml:space="preserve">Original HAP paper</w:t>
      </w:r>
    </w:p>
    <w:p w:rsidR="00000000" w:rsidDel="00000000" w:rsidP="00000000" w:rsidRDefault="00000000" w:rsidRPr="00000000" w14:paraId="000001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Tqemaladze, J. (2026). The Hepato-Affective Primacy (HAP) Theory. DOI: 10.65649/d76f6c48</w:t>
      </w:r>
    </w:p>
    <w:p w:rsidR="00000000" w:rsidDel="00000000" w:rsidP="00000000" w:rsidRDefault="00000000" w:rsidRPr="00000000" w14:paraId="00000194">
      <w:pPr>
        <w:pStyle w:val="Heading3"/>
        <w:rPr/>
      </w:pPr>
      <w:r w:rsidDel="00000000" w:rsidR="00000000" w:rsidRPr="00000000">
        <w:rPr>
          <w:rtl w:val="0"/>
        </w:rPr>
        <w:t xml:space="preserve">Model-specific references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Chow, S. M., Ramaswami, S., &amp; Clore, G. L. (2005). Dynamics of affect.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Psychol Rev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Cox, A. G., et al. (2016). Nitroreductase-mediated cell ablation in zebrafish.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Development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143(12), 2261–2270.</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Dantzer, R. (2018). Neuroimmune interactions.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Physiol Rev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98(1), 477–504.</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Ishimoto, H., &amp; Kitamoto, T. (2010). Ecdysone regulates behavioral responses in Drosophila.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PNAS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107(51), 22285–22290.</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Jones, D. E., et al. (1998). Partial hepatectomy in the rat.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Hepatology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28(3), 892–899.</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Kiriyama, Y., &amp; Nochi, H. (2019). Bile acids biosynthesis, signaling, and neurological functions.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Biomolecules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9(6), 232.</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Rao, R., &amp; Androulakis, I. P. (2019). Modeling the HPA axis.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Curr Opin Endocr Metab 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Veldhuis, J. D., et al. (2008). Dynamic properties of endocrine systems.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Endocr Rev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Tzakis, A. G., et al. (1990). Anhepatic state in humans.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Transplantation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49(6), 1143–1145.</w:t>
      </w:r>
    </w:p>
    <w:p w:rsidR="00000000" w:rsidDel="00000000" w:rsidP="00000000" w:rsidRDefault="00000000" w:rsidRPr="00000000" w14:paraId="0000019E">
      <w:pPr>
        <w:pStyle w:val="Heading3"/>
        <w:rPr/>
      </w:pPr>
      <w:r w:rsidDel="00000000" w:rsidR="00000000" w:rsidRPr="00000000">
        <w:rPr>
          <w:rtl w:val="0"/>
        </w:rPr>
        <w:t xml:space="preserve">New evidence (verified via PubMed E-utilities, 2026-05-30)</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38689730 — Shea, S., et al. (2024). NAFLD and coexisting depression, anxiety and/or stress: systematic review and meta-analysis.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Frontiers in Endocrinology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 1356472.</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39733841 — Darmanto, A.G., et al. (2025). Beyond metabolic messengers: Bile acids and TGR5 as pharmacotherapeutic intervention for psychiatric disorders.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Pharmacological 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211, 107589.</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38075046 — Chen, S., et al. (2023). Bile acid signalling and its role in anxiety disorders.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Frontiers in Endocrinology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 1263456.</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39227758 — Mendelian randomization study of NAFLD and anxiety disorders.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BMC Gastroenterology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38075046 — Chen, S., et al. (2023). Bile acid signalling and its role in anxiety disorders.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Frontiers in Endocrinology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 1263456.</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31955616 — Petruccelli, E., et al. (2020). Significance of DopEcR, a G-protein coupled dopamine/ecdysteroid receptor.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Journal of Neurogenetics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34(1), 12-24.</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24173590 — Ecdysone regulation of hsp27 in Drosophila.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Development Genes and Evolution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2013. [Note: indirect support only; cited with caveat.]</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39719433 — Gut microbiota dysbiosis promotes cognitive impairment via bile acid metabolism in MDD.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Transl Psychiatry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41763937 — Le et al. (2026). Assessment of Anxiety, Depression and Associated Factors in Post-Liver Transplant Recipients in Vietnam.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Transplant Proc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2026. [N=72, single-centre.]</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37142003 — Cai, H., et al. (2023). Associations of depression score with MAFLD and liver fibrosis.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 Affect Disord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334, 332-336.</w:t>
      </w:r>
    </w:p>
    <w:p w:rsidR="00000000" w:rsidDel="00000000" w:rsidP="00000000" w:rsidRDefault="00000000" w:rsidRPr="00000000" w14:paraId="000001A9">
      <w:pPr>
        <w:pStyle w:val="Heading3"/>
        <w:rPr/>
      </w:pPr>
      <w:r w:rsidDel="00000000" w:rsidR="00000000" w:rsidRPr="00000000">
        <w:rPr>
          <w:rtl w:val="0"/>
        </w:rPr>
        <w:t xml:space="preserve">Newly added references (verified via PubMed, 2026-06-15)</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40362260 — Zhao, X., Zheng, I., Huang, W., et al. (2025). Research Progress on the Mechanism of Bile Acids and Their Receptors in Depression.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International Journal of Molecular Sciences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26(9), 4023. DOI: 10.3390/ijms26094023. PMCID: PMC12071821.</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39566821 — Idahosa, S.O., Diarra, R., Ranu, H.K., et al. (2025). Evidence and Mechanism of Bile Acid-Mediated Gut-Brain Axis in Anxiety and Depression.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American Journal of Pathology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195(2), 163-173. DOI: 10.1016/j.ajpath.2024.10.019.</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41465592 — Gut-Brain Axis and Bile Acid Signaling: Linking Microbial Metabolism to Brain Function and Metabolic Regulation.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International Journal of Molecular Sciences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26(24), 12167 (2025).</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McMillin, M., &amp; DeMorrow, S. (2016). Effects of bile acids on neurological function and disease.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FASEB Journal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30(11), 3658-3668. DOI: 10.1096/fj.201600275R.</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Fettahi, A., &amp; Tqemaladze, J. (2025). Neural-Hepatic Affective Model: an initial formulation.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Preprints.org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2025051234. [Co-author withdrew June 2026; email correspondence available on request.]</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PMID: 41459016 — Emerging Roles of Bile Acids in Neuroinflammation.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International Journal of Molecular Sciences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26(23), 11301 (2025).</w:t>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polarity fraction of Radix Bupleuri alleviates chronic unpredictable mild stress-induced depression in rats through FXR modulating bile acid homeostasis in liver, gut, and brain.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Phytomedicine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2024. DOI: 10.1016/j.phymed.2024.156340.</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Play">
    <w:embedRegular w:fontKey="{00000000-0000-0000-0000-000000000000}" r:id="rId1" w:subsetted="0"/>
    <w:embedBold w:fontKey="{00000000-0000-0000-0000-000000000000}" r:id="rId2" w:subsetted="0"/>
  </w:font>
  <w:font w:name="Aptos"/>
  <w:font w:name="Fira Mono">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0"/>
      <w:numFmt w:val="decimal"/>
      <w:lvlText w:val="%1."/>
      <w:lvlJc w:val="left"/>
      <w:pPr>
        <w:ind w:left="720" w:hanging="360"/>
      </w:pPr>
      <w:rPr/>
    </w:lvl>
    <w:lvl w:ilvl="1">
      <w:start w:val="10"/>
      <w:numFmt w:val="decimal"/>
      <w:lvlText w:val="%2."/>
      <w:lvlJc w:val="left"/>
      <w:pPr>
        <w:ind w:left="1440" w:hanging="360"/>
      </w:pPr>
      <w:rPr/>
    </w:lvl>
    <w:lvl w:ilvl="2">
      <w:start w:val="10"/>
      <w:numFmt w:val="decimal"/>
      <w:lvlText w:val="%3."/>
      <w:lvlJc w:val="left"/>
      <w:pPr>
        <w:ind w:left="2160" w:hanging="360"/>
      </w:pPr>
      <w:rPr/>
    </w:lvl>
    <w:lvl w:ilvl="3">
      <w:start w:val="10"/>
      <w:numFmt w:val="decimal"/>
      <w:lvlText w:val="%4."/>
      <w:lvlJc w:val="left"/>
      <w:pPr>
        <w:ind w:left="2880" w:hanging="360"/>
      </w:pPr>
      <w:rPr/>
    </w:lvl>
    <w:lvl w:ilvl="4">
      <w:start w:val="10"/>
      <w:numFmt w:val="decimal"/>
      <w:lvlText w:val="%5."/>
      <w:lvlJc w:val="left"/>
      <w:pPr>
        <w:ind w:left="3600" w:hanging="360"/>
      </w:pPr>
      <w:rPr/>
    </w:lvl>
    <w:lvl w:ilvl="5">
      <w:start w:val="10"/>
      <w:numFmt w:val="decimal"/>
      <w:lvlText w:val="%6."/>
      <w:lvlJc w:val="left"/>
      <w:pPr>
        <w:ind w:left="4320" w:hanging="360"/>
      </w:pPr>
      <w:rPr/>
    </w:lvl>
    <w:lvl w:ilvl="6">
      <w:start w:val="10"/>
      <w:numFmt w:val="decimal"/>
      <w:lvlText w:val="%7."/>
      <w:lvlJc w:val="left"/>
      <w:pPr>
        <w:ind w:left="5040" w:hanging="360"/>
      </w:pPr>
      <w:rPr/>
    </w:lvl>
    <w:lvl w:ilvl="7">
      <w:start w:val="10"/>
      <w:numFmt w:val="decimal"/>
      <w:lvlText w:val="%8."/>
      <w:lvlJc w:val="left"/>
      <w:pPr>
        <w:ind w:left="5760" w:hanging="360"/>
      </w:pPr>
      <w:rPr/>
    </w:lvl>
    <w:lvl w:ilvl="8">
      <w:start w:val="10"/>
      <w:numFmt w:val="decimal"/>
      <w:lvlText w:val="%9."/>
      <w:lvlJc w:val="left"/>
      <w:pPr>
        <w:ind w:left="6480" w:hanging="360"/>
      </w:pPr>
      <w:rPr/>
    </w:lvl>
  </w:abstractNum>
  <w:abstractNum w:abstractNumId="3">
    <w:lvl w:ilvl="0">
      <w:start w:val="20"/>
      <w:numFmt w:val="decimal"/>
      <w:lvlText w:val="%1."/>
      <w:lvlJc w:val="left"/>
      <w:pPr>
        <w:ind w:left="720" w:hanging="360"/>
      </w:pPr>
      <w:rPr/>
    </w:lvl>
    <w:lvl w:ilvl="1">
      <w:start w:val="20"/>
      <w:numFmt w:val="decimal"/>
      <w:lvlText w:val="%2."/>
      <w:lvlJc w:val="left"/>
      <w:pPr>
        <w:ind w:left="1440" w:hanging="360"/>
      </w:pPr>
      <w:rPr/>
    </w:lvl>
    <w:lvl w:ilvl="2">
      <w:start w:val="20"/>
      <w:numFmt w:val="decimal"/>
      <w:lvlText w:val="%3."/>
      <w:lvlJc w:val="left"/>
      <w:pPr>
        <w:ind w:left="2160" w:hanging="360"/>
      </w:pPr>
      <w:rPr/>
    </w:lvl>
    <w:lvl w:ilvl="3">
      <w:start w:val="20"/>
      <w:numFmt w:val="decimal"/>
      <w:lvlText w:val="%4."/>
      <w:lvlJc w:val="left"/>
      <w:pPr>
        <w:ind w:left="2880" w:hanging="360"/>
      </w:pPr>
      <w:rPr/>
    </w:lvl>
    <w:lvl w:ilvl="4">
      <w:start w:val="20"/>
      <w:numFmt w:val="decimal"/>
      <w:lvlText w:val="%5."/>
      <w:lvlJc w:val="left"/>
      <w:pPr>
        <w:ind w:left="3600" w:hanging="360"/>
      </w:pPr>
      <w:rPr/>
    </w:lvl>
    <w:lvl w:ilvl="5">
      <w:start w:val="20"/>
      <w:numFmt w:val="decimal"/>
      <w:lvlText w:val="%6."/>
      <w:lvlJc w:val="left"/>
      <w:pPr>
        <w:ind w:left="4320" w:hanging="360"/>
      </w:pPr>
      <w:rPr/>
    </w:lvl>
    <w:lvl w:ilvl="6">
      <w:start w:val="20"/>
      <w:numFmt w:val="decimal"/>
      <w:lvlText w:val="%7."/>
      <w:lvlJc w:val="left"/>
      <w:pPr>
        <w:ind w:left="5040" w:hanging="360"/>
      </w:pPr>
      <w:rPr/>
    </w:lvl>
    <w:lvl w:ilvl="7">
      <w:start w:val="20"/>
      <w:numFmt w:val="decimal"/>
      <w:lvlText w:val="%8."/>
      <w:lvlJc w:val="left"/>
      <w:pPr>
        <w:ind w:left="5760" w:hanging="360"/>
      </w:pPr>
      <w:rPr/>
    </w:lvl>
    <w:lvl w:ilvl="8">
      <w:start w:val="20"/>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decimal"/>
      <w:lvlText w:val="%1."/>
      <w:lvlJc w:val="left"/>
      <w:pPr>
        <w:ind w:left="720" w:hanging="360"/>
      </w:pPr>
      <w:rPr>
        <w:rFonts w:ascii="Noto Sans Symbols" w:cs="Noto Sans Symbols" w:eastAsia="Noto Sans Symbols" w:hAnsi="Noto Sans Symbols"/>
      </w:rPr>
    </w:lvl>
    <w:lvl w:ilvl="1">
      <w:start w:val="0"/>
      <w:numFmt w:val="lowerLetter"/>
      <w:lvlText w:val="%2."/>
      <w:lvlJc w:val="left"/>
      <w:pPr>
        <w:ind w:left="1440" w:hanging="360"/>
      </w:pPr>
      <w:rPr>
        <w:rFonts w:ascii="Courier New" w:cs="Courier New" w:eastAsia="Courier New" w:hAnsi="Courier New"/>
      </w:rPr>
    </w:lvl>
    <w:lvl w:ilvl="2">
      <w:start w:val="0"/>
      <w:numFmt w:val="lowerRoman"/>
      <w:lvlText w:val="%3."/>
      <w:lvlJc w:val="right"/>
      <w:pPr>
        <w:ind w:left="2160" w:hanging="360"/>
      </w:pPr>
      <w:rPr>
        <w:rFonts w:ascii="Noto Sans Symbols" w:cs="Noto Sans Symbols" w:eastAsia="Noto Sans Symbols" w:hAnsi="Noto Sans Symbols"/>
      </w:rPr>
    </w:lvl>
    <w:lvl w:ilvl="3">
      <w:start w:val="0"/>
      <w:numFmt w:val="decimal"/>
      <w:lvlText w:val="%4."/>
      <w:lvlJc w:val="left"/>
      <w:pPr>
        <w:ind w:left="2880" w:hanging="360"/>
      </w:pPr>
      <w:rPr>
        <w:rFonts w:ascii="Noto Sans Symbols" w:cs="Noto Sans Symbols" w:eastAsia="Noto Sans Symbols" w:hAnsi="Noto Sans Symbols"/>
      </w:rPr>
    </w:lvl>
    <w:lvl w:ilvl="4">
      <w:start w:val="0"/>
      <w:numFmt w:val="lowerLetter"/>
      <w:lvlText w:val="%5."/>
      <w:lvlJc w:val="left"/>
      <w:pPr>
        <w:ind w:left="3600" w:hanging="360"/>
      </w:pPr>
      <w:rPr>
        <w:rFonts w:ascii="Courier New" w:cs="Courier New" w:eastAsia="Courier New" w:hAnsi="Courier New"/>
      </w:rPr>
    </w:lvl>
    <w:lvl w:ilvl="5">
      <w:start w:val="0"/>
      <w:numFmt w:val="lowerRoman"/>
      <w:lvlText w:val="%6."/>
      <w:lvlJc w:val="right"/>
      <w:pPr>
        <w:ind w:left="4320" w:hanging="360"/>
      </w:pPr>
      <w:rPr>
        <w:rFonts w:ascii="Noto Sans Symbols" w:cs="Noto Sans Symbols" w:eastAsia="Noto Sans Symbols" w:hAnsi="Noto Sans Symbols"/>
      </w:rPr>
    </w:lvl>
    <w:lvl w:ilvl="6">
      <w:start w:val="0"/>
      <w:numFmt w:val="decimal"/>
      <w:lvlText w:val="%7."/>
      <w:lvlJc w:val="left"/>
      <w:pPr>
        <w:ind w:left="5040" w:hanging="360"/>
      </w:pPr>
      <w:rPr>
        <w:rFonts w:ascii="Noto Sans Symbols" w:cs="Noto Sans Symbols" w:eastAsia="Noto Sans Symbols" w:hAnsi="Noto Sans Symbols"/>
      </w:rPr>
    </w:lvl>
    <w:lvl w:ilvl="7">
      <w:start w:val="0"/>
      <w:numFmt w:val="lowerLetter"/>
      <w:lvlText w:val="%8."/>
      <w:lvlJc w:val="left"/>
      <w:pPr>
        <w:ind w:left="5760" w:hanging="360"/>
      </w:pPr>
      <w:rPr>
        <w:rFonts w:ascii="Courier New" w:cs="Courier New" w:eastAsia="Courier New" w:hAnsi="Courier New"/>
      </w:rPr>
    </w:lvl>
    <w:lvl w:ilvl="8">
      <w:start w:val="0"/>
      <w:numFmt w:val="lowerRoman"/>
      <w:lvlText w:val="%9."/>
      <w:lvlJc w:val="righ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180" w:lineRule="auto"/>
      <w:jc w:val="both"/>
    </w:pPr>
    <w:rPr>
      <w:rFonts w:ascii="Play" w:cs="Play" w:eastAsia="Play" w:hAnsi="Play"/>
      <w:sz w:val="40"/>
      <w:szCs w:val="40"/>
    </w:rPr>
  </w:style>
  <w:style w:type="paragraph" w:styleId="Heading2">
    <w:name w:val="heading 2"/>
    <w:basedOn w:val="Normal"/>
    <w:next w:val="Normal"/>
    <w:pPr>
      <w:keepNext w:val="1"/>
      <w:keepLines w:val="1"/>
      <w:spacing w:after="80" w:before="160" w:lineRule="auto"/>
      <w:jc w:val="both"/>
    </w:pPr>
    <w:rPr>
      <w:rFonts w:ascii="Play" w:cs="Play" w:eastAsia="Play" w:hAnsi="Play"/>
      <w:sz w:val="32"/>
      <w:szCs w:val="32"/>
    </w:rPr>
  </w:style>
  <w:style w:type="paragraph" w:styleId="Heading3">
    <w:name w:val="heading 3"/>
    <w:basedOn w:val="Normal"/>
    <w:next w:val="Normal"/>
    <w:pPr>
      <w:keepNext w:val="1"/>
      <w:keepLines w:val="1"/>
      <w:spacing w:after="80" w:before="160" w:lineRule="auto"/>
      <w:jc w:val="both"/>
    </w:pPr>
    <w:rPr>
      <w:sz w:val="28"/>
      <w:szCs w:val="28"/>
    </w:rPr>
  </w:style>
  <w:style w:type="paragraph" w:styleId="Heading4">
    <w:name w:val="heading 4"/>
    <w:basedOn w:val="Normal"/>
    <w:next w:val="Normal"/>
    <w:pPr>
      <w:keepNext w:val="1"/>
      <w:keepLines w:val="1"/>
      <w:spacing w:after="40" w:before="80" w:lineRule="auto"/>
      <w:jc w:val="both"/>
    </w:pPr>
    <w:rPr>
      <w:sz w:val="26"/>
      <w:szCs w:val="26"/>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ba@longevity.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Mono-regular.ttf"/><Relationship Id="rId4" Type="http://schemas.openxmlformats.org/officeDocument/2006/relationships/font" Target="fonts/FiraMono-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