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Cover Letter — Psychoneuroendocrinology</w:t>
      </w:r>
    </w:p>
    <w:p>
      <w:pPr>
        <w:jc w:val="both"/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15 June 2026</w:t>
      </w:r>
    </w:p>
    <w:p>
      <w:pPr>
        <w:jc w:val="both"/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The Editor-in-Chief</w:t>
      </w:r>
      <w:r>
        <w:t xml:space="preserve"> </w:t>
      </w:r>
      <w:r>
        <w:t xml:space="preserve">Psychoneuroendocrinology (Elsevier)</w:t>
      </w:r>
      <w:r>
        <w:t xml:space="preserve"> </w:t>
      </w:r>
      <w:r>
        <w:t xml:space="preserve">Submission: https://www.editorialmanager.com/pnec/</w:t>
      </w:r>
    </w:p>
    <w:p>
      <w:pPr>
        <w:jc w:val="both"/>
        <w:pStyle w:val="BodyText"/>
      </w:pPr>
      <w:r>
        <w:t xml:space="preserve">Dear Editor,</w:t>
      </w:r>
    </w:p>
    <w:p>
      <w:pPr>
        <w:jc w:val="both"/>
        <w:pStyle w:val="BodyText"/>
      </w:pPr>
      <w:r>
        <w:t xml:space="preserve">We submit our manuscript entitled</w:t>
      </w:r>
      <w:r>
        <w:t xml:space="preserve"> </w:t>
      </w:r>
      <w:r>
        <w:rPr>
          <w:b/>
          <w:bCs/>
        </w:rPr>
        <w:t xml:space="preserve">«Hepato-Affective Primacy: A Nonlinear Dynamical Systems Framework»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/>
          <w:iCs/>
        </w:rPr>
        <w:t xml:space="preserve">Psychoneuroendocrinology</w:t>
      </w:r>
      <w:r>
        <w:t xml:space="preserve">.</w:t>
      </w:r>
    </w:p>
    <w:p>
      <w:pPr>
        <w:jc w:val="both"/>
        <w:pStyle w:val="BodyText"/>
      </w:pPr>
      <w:r>
        <w:rPr>
          <w:b/>
          <w:bCs/>
        </w:rPr>
        <w:t xml:space="preserve">Why Psychoneuroendocrinology?</w:t>
      </w:r>
    </w:p>
    <w:p>
      <w:pPr>
        <w:jc w:val="both"/>
        <w:pStyle w:val="BodyText"/>
      </w:pPr>
      <w:r>
        <w:t xml:space="preserve">Our manuscript proposes that hepatic steroids — bile acids in vertebrates, ecdysteroids in arthropods — are 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endocrine signals enabling affective states in Bilateria. This is a direct contribution to the journal’s core mission: understanding how endocrine systems interface with brain and behaviour. The model we present formalises the liver as the central steroid-producing organ of affect, with FXR/TGR5 nuclear receptors in affective circuits as the molecular targets — a framework that integrates hepatic endocrinology, neurosteroid signalling, and computational psychiatry under one dynamical system.</w:t>
      </w:r>
    </w:p>
    <w:p>
      <w:pPr>
        <w:jc w:val="both"/>
        <w:pStyle w:val="BodyText"/>
      </w:pPr>
      <w:r>
        <w:rPr>
          <w:b/>
          <w:bCs/>
        </w:rPr>
        <w:t xml:space="preserve">Key contributions:</w:t>
      </w:r>
    </w:p>
    <w:p>
      <w:pPr>
        <w:jc w:val="both"/>
        <w:pStyle w:val="Compact"/>
        <w:numPr>
          <w:ilvl w:val="0"/>
          <w:numId w:val="1001"/>
        </w:numPr>
      </w:pPr>
      <w:r>
        <w:rPr>
          <w:b/>
          <w:bCs/>
        </w:rPr>
        <w:t xml:space="preserve">A 6-variable ODE model</w:t>
      </w:r>
      <w:r>
        <w:t xml:space="preserve"> </w:t>
      </w:r>
      <w:r>
        <w:t xml:space="preserve">coupling hepatic steroid output (L), brain steroid sensitivity (B), affective circuit integrity (A), inflammation (I), HPA axis (S), and metabolism (M)</w:t>
      </w:r>
    </w:p>
    <w:p>
      <w:pPr>
        <w:jc w:val="both"/>
        <w:pStyle w:val="Compact"/>
        <w:numPr>
          <w:ilvl w:val="0"/>
          <w:numId w:val="1001"/>
        </w:numPr>
      </w:pPr>
      <w:r>
        <w:rPr>
          <w:b/>
          <w:bCs/>
        </w:rPr>
        <w:t xml:space="preserve">In silico ablation experiments</w:t>
      </w:r>
      <w:r>
        <w:t xml:space="preserve"> </w:t>
      </w:r>
      <w:r>
        <w:t xml:space="preserve">reproducing the central prediction: hepatic ablation before critical developmental window → A ≈ 0</w:t>
      </w:r>
    </w:p>
    <w:p>
      <w:pPr>
        <w:jc w:val="both"/>
        <w:pStyle w:val="Compact"/>
        <w:numPr>
          <w:ilvl w:val="0"/>
          <w:numId w:val="1001"/>
        </w:numPr>
      </w:pPr>
      <w:r>
        <w:rPr>
          <w:b/>
          <w:bCs/>
        </w:rPr>
        <w:t xml:space="preserve">Bifurcation analysis</w:t>
      </w:r>
      <w:r>
        <w:t xml:space="preserve"> </w:t>
      </w:r>
      <w:r>
        <w:t xml:space="preserve">— saddle-node bifurcation at L_basal ≈ 0, the mathematical expression of the necessary condition</w:t>
      </w:r>
    </w:p>
    <w:p>
      <w:pPr>
        <w:jc w:val="both"/>
        <w:pStyle w:val="Compact"/>
        <w:numPr>
          <w:ilvl w:val="0"/>
          <w:numId w:val="1001"/>
        </w:numPr>
      </w:pPr>
      <w:r>
        <w:rPr>
          <w:b/>
          <w:bCs/>
        </w:rPr>
        <w:t xml:space="preserve">Morris/Sobol global sensitivity analysis</w:t>
      </w:r>
      <w:r>
        <w:t xml:space="preserve"> </w:t>
      </w:r>
      <w:r>
        <w:t xml:space="preserve">— hepatic threshold parameter θ_L dominates (Sobol ST = 0.75)</w:t>
      </w:r>
    </w:p>
    <w:p>
      <w:pPr>
        <w:jc w:val="both"/>
        <w:pStyle w:val="Compact"/>
        <w:numPr>
          <w:ilvl w:val="0"/>
          <w:numId w:val="1001"/>
        </w:numPr>
      </w:pPr>
      <w:r>
        <w:rPr>
          <w:b/>
          <w:bCs/>
        </w:rPr>
        <w:t xml:space="preserve">Stochastic robustness</w:t>
      </w:r>
      <w:r>
        <w:t xml:space="preserve"> </w:t>
      </w:r>
      <w:r>
        <w:t xml:space="preserve">— white noise CV = 0.78%, Ornstein-Uhlenbeck colored noise CV = 1.59%</w:t>
      </w:r>
    </w:p>
    <w:p>
      <w:pPr>
        <w:jc w:val="both"/>
        <w:pStyle w:val="Compact"/>
        <w:numPr>
          <w:ilvl w:val="0"/>
          <w:numId w:val="1001"/>
        </w:numPr>
      </w:pPr>
      <w:r>
        <w:rPr>
          <w:b/>
          <w:bCs/>
        </w:rPr>
        <w:t xml:space="preserve">2D parameter scan</w:t>
      </w:r>
      <w:r>
        <w:t xml:space="preserve"> </w:t>
      </w:r>
      <w:r>
        <w:t xml:space="preserve">(L_basal × θ_L, 900 simulations) mapping the affect/no-affect bifurcation boundary</w:t>
      </w:r>
    </w:p>
    <w:p>
      <w:pPr>
        <w:jc w:val="both"/>
        <w:pStyle w:val="Compact"/>
        <w:numPr>
          <w:ilvl w:val="0"/>
          <w:numId w:val="1001"/>
        </w:numPr>
      </w:pPr>
      <w:r>
        <w:rPr>
          <w:b/>
          <w:bCs/>
        </w:rPr>
        <w:t xml:space="preserve">Clinical validation</w:t>
      </w:r>
      <w:r>
        <w:t xml:space="preserve"> </w:t>
      </w:r>
      <w:r>
        <w:t xml:space="preserve">against: bile acid dysregulation in MDD (PMID: 39719433, 40362260), NAFLD-depression comorbidity (PMID: 38689730, meta-analysis N = 2,126,593), Mendelian randomisation (PMID: 39227758, OR = 1.016), and post-transplant mood outcomes (PMID: 41763937)</w:t>
      </w:r>
    </w:p>
    <w:p>
      <w:pPr>
        <w:jc w:val="both"/>
        <w:pStyle w:val="Compact"/>
        <w:numPr>
          <w:ilvl w:val="0"/>
          <w:numId w:val="1001"/>
        </w:numPr>
      </w:pPr>
      <w:r>
        <w:rPr>
          <w:b/>
          <w:bCs/>
        </w:rPr>
        <w:t xml:space="preserve">Experimental evidence:</w:t>
      </w:r>
      <w:r>
        <w:t xml:space="preserve"> </w:t>
      </w:r>
      <w:r>
        <w:t xml:space="preserve">FXR modulation restores bile acid homeostasis and produces antidepressant effects in rats (PMID: 39489929); TGR5/FXR knockout causes behavioural abnormalities (PMID: 39566821); bile acids directly modulate neuroinflammation via NF-κB suppression (PMID: 41459016)</w:t>
      </w:r>
    </w:p>
    <w:p>
      <w:pPr>
        <w:jc w:val="both"/>
        <w:pStyle w:val="Compact"/>
        <w:numPr>
          <w:ilvl w:val="0"/>
          <w:numId w:val="1001"/>
        </w:numPr>
      </w:pPr>
      <w:r>
        <w:rPr>
          <w:b/>
          <w:bCs/>
        </w:rPr>
        <w:t xml:space="preserve">Five falsifiable predictions:</w:t>
      </w:r>
      <w:r>
        <w:t xml:space="preserve"> </w:t>
      </w:r>
      <w:r>
        <w:t xml:space="preserve">zebrafish conditional hepatocyte knockout, FXR/TGR5 pharmacology, bile acid biomarker panel for MDD, neonatal inflammation → adult affect, comparative invertebrate predictions</w:t>
      </w:r>
    </w:p>
    <w:p>
      <w:pPr>
        <w:jc w:val="both"/>
        <w:pStyle w:val="FirstParagraph"/>
      </w:pPr>
      <w:r>
        <w:rPr>
          <w:b/>
          <w:bCs/>
        </w:rPr>
        <w:t xml:space="preserve">Relevance to Psychoneuroendocrinology:</w:t>
      </w:r>
    </w:p>
    <w:p>
      <w:pPr>
        <w:jc w:val="both"/>
        <w:pStyle w:val="BodyText"/>
      </w:pPr>
      <w:r>
        <w:t xml:space="preserve">The journal has a distinguished history of publishing work at the interface of endocrine signalling and affective neuroscience. Our manuscript extends this tradition in a novel direction: identifying the</w:t>
      </w:r>
      <w:r>
        <w:t xml:space="preserve"> </w:t>
      </w:r>
      <w:r>
        <w:rPr>
          <w:i/>
          <w:iCs/>
        </w:rPr>
        <w:t xml:space="preserve">liver</w:t>
      </w:r>
      <w:r>
        <w:t xml:space="preserve"> </w:t>
      </w:r>
      <w:r>
        <w:t xml:space="preserve">— not the HPA axis, not the gonads — as the phylogenetically primary endocrine organ of affect. The model provides a formal framework for investigating how hepatic steroid dynamics shape affective circuit development and maintenance, with direct implications for understanding the endocrine basis of depression, anxiety, and stress-related disorders.</w:t>
      </w:r>
    </w:p>
    <w:p>
      <w:pPr>
        <w:jc w:val="both"/>
        <w:pStyle w:val="BodyText"/>
      </w:pPr>
      <w:r>
        <w:rPr>
          <w:b/>
          <w:bCs/>
        </w:rPr>
        <w:t xml:space="preserve">Novelty:</w:t>
      </w:r>
      <w:r>
        <w:t xml:space="preserve"> </w:t>
      </w:r>
      <w:r>
        <w:t xml:space="preserve">To our knowledge, this is the first mathematical model to propose the liver as the primary endocrine organ of affect, unifying comparative endocrinology, clinical psychoneuroendocrinology, and computational neuroscience.</w:t>
      </w:r>
    </w:p>
    <w:p>
      <w:pPr>
        <w:jc w:val="both"/>
        <w:pStyle w:val="BodyText"/>
      </w:pPr>
      <w:r>
        <w:rPr>
          <w:b/>
          <w:bCs/>
        </w:rPr>
        <w:t xml:space="preserve">Prior publication:</w:t>
      </w:r>
      <w:r>
        <w:t xml:space="preserve"> </w:t>
      </w:r>
      <w:r>
        <w:t xml:space="preserve">The HAP theory was published as Tqemaladze, J. (2026) DOI: 10.65649/d76f6c48. An earlier preprint explored an initial formulation (El Fettahi &amp; Tqemaladze, 2025, Preprints.org); the co-author withdrew in June 2026, and the present manuscript is a sole-author, substantially revised version (new sensitivity analysis, stochastic robustness, 2D parameter scan, alternative model formulations, extended clinical validation).</w:t>
      </w:r>
    </w:p>
    <w:p>
      <w:pPr>
        <w:jc w:val="both"/>
        <w:pStyle w:val="BodyText"/>
      </w:pPr>
      <w:r>
        <w:rPr>
          <w:b/>
          <w:bCs/>
        </w:rPr>
        <w:t xml:space="preserve">Conflicts of interest:</w:t>
      </w:r>
      <w:r>
        <w:t xml:space="preserve"> </w:t>
      </w:r>
      <w:r>
        <w:t xml:space="preserve">None declared.</w:t>
      </w:r>
    </w:p>
    <w:p>
      <w:pPr>
        <w:jc w:val="both"/>
        <w:pStyle w:val="BodyText"/>
      </w:pPr>
      <w:r>
        <w:rPr>
          <w:b/>
          <w:bCs/>
        </w:rPr>
        <w:t xml:space="preserve">Funding:</w:t>
      </w:r>
      <w:r>
        <w:t xml:space="preserve"> </w:t>
      </w:r>
      <w:r>
        <w:t xml:space="preserve">This work received no specific funding.</w:t>
      </w:r>
    </w:p>
    <w:p>
      <w:pPr>
        <w:jc w:val="both"/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Jaba Tqemaladze, MD — Georgia Longevity Alliance, Tbilisi, Georgia (ORCID: 0000-0001-8651-7243)</w:t>
      </w:r>
    </w:p>
    <w:p>
      <w:pPr>
        <w:jc w:val="both"/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jaba@longevity.ge</w:t>
      </w:r>
    </w:p>
    <w:p>
      <w:pPr>
        <w:jc w:val="both"/>
        <w:pStyle w:val="BodyText"/>
      </w:pPr>
      <w:r>
        <w:t xml:space="preserve">We confirm that this manuscript has not been published elsewhere and is not under consideration by another journal.</w:t>
      </w:r>
    </w:p>
    <w:p>
      <w:pPr>
        <w:jc w:val="both"/>
        <w:pStyle w:val="BodyText"/>
      </w:pPr>
      <w:r>
        <w:t xml:space="preserve">We would be grateful for your consideration.</w:t>
      </w:r>
    </w:p>
    <w:p>
      <w:pPr>
        <w:jc w:val="both"/>
        <w:pStyle w:val="BodyText"/>
      </w:pPr>
      <w:r>
        <w:t xml:space="preserve">Sincerely,</w:t>
      </w:r>
    </w:p>
    <w:p>
      <w:pPr>
        <w:jc w:val="both"/>
        <w:pStyle w:val="BodyText"/>
      </w:pPr>
      <w:r>
        <w:rPr>
          <w:b/>
          <w:bCs/>
        </w:rPr>
        <w:t xml:space="preserve">Jaba Tqemaladze, MD</w:t>
      </w:r>
      <w:r>
        <w:t xml:space="preserve"> </w:t>
      </w:r>
      <w:r>
        <w:t xml:space="preserve">President, Georgia Longevity Alliance</w:t>
      </w:r>
      <w:r>
        <w:t xml:space="preserve"> </w:t>
      </w:r>
      <w:r>
        <w:t xml:space="preserve">ORCID: 0000-0001-8651-7243</w:t>
      </w:r>
      <w:r>
        <w:t xml:space="preserve"> </w:t>
      </w:r>
      <w:r>
        <w:t xml:space="preserve">jaba@longevity.ge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/>
      <w:sz w:val="24"/>
      <w:szCs w:val="24"/>
    </w:rPr>
    <w:pPr>
      <w:spacing w:line="276" w:lineRule="auto" w:after="0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qFormat/>
    <w:rPr>
      <w:rFonts w:ascii="Arial" w:hAnsi="Arial" w:cs="Arial"/>
      <w:sz w:val="56"/>
      <w:szCs w:val="56"/>
    </w:rPr>
    <w:pPr>
      <w:jc w:val="center"/>
      <w:spacing w:line="240" w:after="120"/>
    </w:p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qFormat/>
    <w:rPr>
      <w:rFonts w:ascii="Arial" w:hAnsi="Arial" w:cs="Arial"/>
      <w:sz w:val="28"/>
      <w:szCs w:val="28"/>
    </w:rPr>
    <w:pPr>
      <w:jc w:val="center"/>
      <w:spacing w:line="240" w:after="120"/>
    </w:p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rPr>
      <w:rFonts w:ascii="Arial" w:hAnsi="Arial" w:cs="Arial"/>
      <w:b/>
      <w:sz w:val="40"/>
      <w:szCs w:val="40"/>
    </w:rPr>
    <w:pPr>
      <w:keepNext/>
      <w:keepLines/>
      <w:spacing w:after="120" w:before="360"/>
      <w:outlineLvl w:val="0"/>
    </w:pPr>
  </w:style>
  <w:style w:styleId="Heading2" w:type="paragraph">
    <w:name w:val="heading 2"/>
    <w:basedOn w:val="Normal"/>
    <w:next w:val="Normal"/>
    <w:link w:val="Heading2Char"/>
    <w:uiPriority w:val="9"/>
    <w:qFormat/>
    <w:rPr>
      <w:rFonts w:ascii="Arial" w:hAnsi="Arial" w:cs="Arial"/>
      <w:b/>
      <w:sz w:val="32"/>
      <w:szCs w:val="32"/>
    </w:rPr>
    <w:pPr>
      <w:keepNext/>
      <w:keepLines/>
      <w:spacing w:after="80" w:before="240"/>
      <w:outlineLvl w:val="1"/>
    </w:pPr>
  </w:style>
  <w:style w:styleId="Heading3" w:type="paragraph">
    <w:name w:val="heading 3"/>
    <w:basedOn w:val="Normal"/>
    <w:next w:val="Normal"/>
    <w:link w:val="Heading3Char"/>
    <w:uiPriority w:val="9"/>
    <w:qFormat/>
    <w:rPr>
      <w:rFonts w:ascii="Arial" w:hAnsi="Arial" w:cs="Arial"/>
      <w:b/>
      <w:sz w:val="24"/>
      <w:szCs w:val="24"/>
    </w:rPr>
    <w:pPr>
      <w:keepNext/>
      <w:keepLines/>
      <w:spacing w:after="60" w:before="200"/>
      <w:outlineLvl w:val="2"/>
    </w:p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2026-06-15T19:08:57Z</dcterms:created>
  <dcterms:modified xsi:type="dcterms:W3CDTF">2026-06-15T19:08:57Z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