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Cover Letter — Bulletin of Mathematical Biology</w:t>
      </w:r>
    </w:p>
    <w:p>
      <w:pPr>
        <w:jc w:val="both"/>
        <w:pStyle w:val="FirstParagraph"/>
      </w:pPr>
      <w:r>
        <w:rPr>
          <w:b/>
          <w:bCs/>
        </w:rPr>
        <w:t xml:space="preserve">Date:</w:t>
      </w:r>
      <w:r>
        <w:t xml:space="preserve"> </w:t>
      </w:r>
      <w:r>
        <w:t xml:space="preserve">18 June 2026</w:t>
      </w:r>
    </w:p>
    <w:p>
      <w:pPr>
        <w:jc w:val="both"/>
        <w:pStyle w:val="BodyText"/>
      </w:pPr>
      <w:r>
        <w:rPr>
          <w:b/>
          <w:bCs/>
        </w:rPr>
        <w:t xml:space="preserve">To:</w:t>
      </w:r>
      <w:r>
        <w:t xml:space="preserve"> </w:t>
      </w:r>
      <w:r>
        <w:t xml:space="preserve">The Editor-in-Chief</w:t>
      </w:r>
      <w:r>
        <w:t xml:space="preserve"> </w:t>
      </w:r>
      <w:r>
        <w:t xml:space="preserve">Bulletin of Mathematical Biology (Springer)</w:t>
      </w:r>
      <w:r>
        <w:t xml:space="preserve"> </w:t>
      </w:r>
      <w:r>
        <w:t xml:space="preserve">Society for Mathematical Biology</w:t>
      </w:r>
      <w:r>
        <w:t xml:space="preserve"> </w:t>
      </w:r>
      <w:r>
        <w:t xml:space="preserve">Submission: https://www.editorialmanager.com/bumb/</w:t>
      </w:r>
    </w:p>
    <w:p>
      <w:pPr>
        <w:jc w:val="both"/>
        <w:pStyle w:val="BodyText"/>
      </w:pPr>
      <w:r>
        <w:t xml:space="preserve">Dear Editor,</w:t>
      </w:r>
    </w:p>
    <w:p>
      <w:pPr>
        <w:jc w:val="both"/>
        <w:pStyle w:val="BodyText"/>
      </w:pPr>
      <w:r>
        <w:t xml:space="preserve">We submit our manuscript entitled</w:t>
      </w:r>
      <w:r>
        <w:t xml:space="preserve"> </w:t>
      </w:r>
      <w:r>
        <w:rPr>
          <w:b/>
          <w:bCs/>
        </w:rPr>
        <w:t xml:space="preserve">«Hepato-Affective Dynamics: From Evolutionary Correlation to Mathematical Mechanism»</w:t>
      </w:r>
      <w:r>
        <w:t xml:space="preserve"> </w:t>
      </w:r>
      <w:r>
        <w:t xml:space="preserve">for consideration in the</w:t>
      </w:r>
      <w:r>
        <w:t xml:space="preserve"> </w:t>
      </w:r>
      <w:r>
        <w:rPr>
          <w:i/>
          <w:iCs/>
        </w:rPr>
        <w:t xml:space="preserve">Bulletin of Mathematical Biology</w:t>
      </w:r>
      <w:r>
        <w:t xml:space="preserve"> </w:t>
      </w:r>
      <w:r>
        <w:t xml:space="preserve">as a</w:t>
      </w:r>
      <w:r>
        <w:t xml:space="preserve"> </w:t>
      </w:r>
      <w:r>
        <w:rPr>
          <w:b/>
          <w:bCs/>
        </w:rPr>
        <w:t xml:space="preserve">Methods</w:t>
      </w:r>
      <w:r>
        <w:t xml:space="preserve"> </w:t>
      </w:r>
      <w:r>
        <w:t xml:space="preserve">article.</w:t>
      </w:r>
    </w:p>
    <w:p>
      <w:pPr>
        <w:jc w:val="both"/>
        <w:pStyle w:val="BodyText"/>
      </w:pPr>
      <w:r>
        <w:rPr>
          <w:b/>
          <w:bCs/>
        </w:rPr>
        <w:t xml:space="preserve">Why Bulletin of Mathematical Biology?</w:t>
      </w:r>
    </w:p>
    <w:p>
      <w:pPr>
        <w:jc w:val="both"/>
        <w:pStyle w:val="BodyText"/>
      </w:pPr>
      <w:r>
        <w:t xml:space="preserve">The manuscript presents a novel 6-variable nonlinear ODE system that captures the feedback loops between hepatic steroid output, brain steroid sensitivity, affective circuit integrity, inflammation, HPA axis activity, and metabolism. The core contribution is a</w:t>
      </w:r>
      <w:r>
        <w:t xml:space="preserve"> </w:t>
      </w:r>
      <w:r>
        <w:rPr>
          <w:b/>
          <w:bCs/>
        </w:rPr>
        <w:t xml:space="preserve">bifurcation-driven mechanism</w:t>
      </w:r>
      <w:r>
        <w:t xml:space="preserve"> </w:t>
      </w:r>
      <w:r>
        <w:t xml:space="preserve">for the emergence of affective states across Bilateria — the model exhibits a sharp saddle-node bifurcation at a critical hepatic steroid threshold (L_basal ≈ 0), providing the first mathematical expression of the necessary condition for affect.</w:t>
      </w:r>
    </w:p>
    <w:p>
      <w:pPr>
        <w:jc w:val="both"/>
        <w:pStyle w:val="BodyText"/>
      </w:pPr>
      <w:r>
        <w:t xml:space="preserve">This work fits JBD’s Methods article type: it describes a new mathematical method relevant to a range of biological problems — from evolutionary developmental biology to clinical psychiatry.</w:t>
      </w:r>
    </w:p>
    <w:p>
      <w:pPr>
        <w:jc w:val="both"/>
        <w:pStyle w:val="BodyText"/>
      </w:pPr>
      <w:r>
        <w:rPr>
          <w:b/>
          <w:bCs/>
        </w:rPr>
        <w:t xml:space="preserve">Key contributions:</w:t>
      </w:r>
    </w:p>
    <w:p>
      <w:pPr>
        <w:jc w:val="both"/>
        <w:pStyle w:val="Compact"/>
        <w:numPr>
          <w:ilvl w:val="0"/>
          <w:numId w:val="1001"/>
        </w:numPr>
      </w:pPr>
      <w:r>
        <w:rPr>
          <w:b/>
          <w:bCs/>
        </w:rPr>
        <w:t xml:space="preserve">6-variable ODE model</w:t>
      </w:r>
      <w:r>
        <w:t xml:space="preserve"> </w:t>
      </w:r>
      <w:r>
        <w:t xml:space="preserve">coupling hepatic, neural, inflammatory, endocrine, and metabolic dynamics</w:t>
      </w:r>
    </w:p>
    <w:p>
      <w:pPr>
        <w:jc w:val="both"/>
        <w:pStyle w:val="Compact"/>
        <w:numPr>
          <w:ilvl w:val="0"/>
          <w:numId w:val="1001"/>
        </w:numPr>
      </w:pPr>
      <w:r>
        <w:rPr>
          <w:b/>
          <w:bCs/>
        </w:rPr>
        <w:t xml:space="preserve">Saddle-node bifurcation</w:t>
      </w:r>
      <w:r>
        <w:t xml:space="preserve"> </w:t>
      </w:r>
      <w:r>
        <w:t xml:space="preserve">at L_basal ≈ 0 — the critical hepatic threshold</w:t>
      </w:r>
    </w:p>
    <w:p>
      <w:pPr>
        <w:jc w:val="both"/>
        <w:pStyle w:val="Compact"/>
        <w:numPr>
          <w:ilvl w:val="0"/>
          <w:numId w:val="1001"/>
        </w:numPr>
      </w:pPr>
      <w:r>
        <w:rPr>
          <w:b/>
          <w:bCs/>
        </w:rPr>
        <w:t xml:space="preserve">Global sensitivity analysis</w:t>
      </w:r>
      <w:r>
        <w:t xml:space="preserve"> </w:t>
      </w:r>
      <w:r>
        <w:t xml:space="preserve">(Morris + Sobol) — hepatic threshold parameter θ_L dominates (Sobol ST = 0.75)</w:t>
      </w:r>
    </w:p>
    <w:p>
      <w:pPr>
        <w:jc w:val="both"/>
        <w:pStyle w:val="Compact"/>
        <w:numPr>
          <w:ilvl w:val="0"/>
          <w:numId w:val="1001"/>
        </w:numPr>
      </w:pPr>
      <w:r>
        <w:rPr>
          <w:b/>
          <w:bCs/>
        </w:rPr>
        <w:t xml:space="preserve">Bifurcation boundary mapping</w:t>
      </w:r>
      <w:r>
        <w:t xml:space="preserve"> </w:t>
      </w:r>
      <w:r>
        <w:t xml:space="preserve">— 2D scan (L_basal × θ_L, 900 simulations)</w:t>
      </w:r>
    </w:p>
    <w:p>
      <w:pPr>
        <w:jc w:val="both"/>
        <w:pStyle w:val="Compact"/>
        <w:numPr>
          <w:ilvl w:val="0"/>
          <w:numId w:val="1001"/>
        </w:numPr>
      </w:pPr>
      <w:r>
        <w:rPr>
          <w:b/>
          <w:bCs/>
        </w:rPr>
        <w:t xml:space="preserve">Stochastic robustness</w:t>
      </w:r>
      <w:r>
        <w:t xml:space="preserve"> </w:t>
      </w:r>
      <w:r>
        <w:t xml:space="preserve">— white noise CV = 0.78%, Ornstein-Uhlenbeck CV = 1.59%</w:t>
      </w:r>
    </w:p>
    <w:p>
      <w:pPr>
        <w:jc w:val="both"/>
        <w:pStyle w:val="Compact"/>
        <w:numPr>
          <w:ilvl w:val="0"/>
          <w:numId w:val="1001"/>
        </w:numPr>
      </w:pPr>
      <w:r>
        <w:rPr>
          <w:b/>
          <w:bCs/>
        </w:rPr>
        <w:t xml:space="preserve">In silico ablation experiments</w:t>
      </w:r>
      <w:r>
        <w:t xml:space="preserve"> </w:t>
      </w:r>
      <w:r>
        <w:t xml:space="preserve">confirming the central biological prediction</w:t>
      </w:r>
    </w:p>
    <w:p>
      <w:pPr>
        <w:jc w:val="both"/>
        <w:pStyle w:val="FirstParagraph"/>
      </w:pPr>
      <w:r>
        <w:rPr>
          <w:b/>
          <w:bCs/>
        </w:rPr>
        <w:t xml:space="preserve">Interdisciplinary relevance:</w:t>
      </w:r>
    </w:p>
    <w:p>
      <w:pPr>
        <w:jc w:val="both"/>
        <w:pStyle w:val="BodyText"/>
      </w:pPr>
      <w:r>
        <w:t xml:space="preserve">The model bridges nonlinear dynamics with comparative biology and clinical medicine, generating falsifiable predictions for conditional knockout experiments (zebrafish), pharmacological interventions (FXR/TGR5 agonists), and clinical biomarker studies (NAFLD-depression comorbidity, meta-analysis N = 2,126,593).</w:t>
      </w:r>
    </w:p>
    <w:p>
      <w:pPr>
        <w:jc w:val="both"/>
        <w:pStyle w:val="BodyText"/>
      </w:pPr>
      <w:r>
        <w:rPr>
          <w:b/>
          <w:bCs/>
        </w:rPr>
        <w:t xml:space="preserve">Novelty:</w:t>
      </w:r>
      <w:r>
        <w:t xml:space="preserve"> </w:t>
      </w:r>
      <w:r>
        <w:t xml:space="preserve">To our knowledge, this is the first application of bifurcation theory to the phylogenetic emergence of affective states, and the first model to position the liver as the primary dynamical driver of affect.</w:t>
      </w:r>
    </w:p>
    <w:p>
      <w:pPr>
        <w:jc w:val="both"/>
        <w:pStyle w:val="BodyText"/>
      </w:pPr>
      <w:r>
        <w:rPr>
          <w:b/>
          <w:bCs/>
        </w:rPr>
        <w:t xml:space="preserve">Prior publication:</w:t>
      </w:r>
      <w:r>
        <w:t xml:space="preserve"> </w:t>
      </w:r>
      <w:r>
        <w:t xml:space="preserve">The underlying theory was published as Tqemaladze, J. (2026) DOI: 10.65649/d76f6c48. An earlier preprint explored an initial formulation (El Fettahi &amp; Tqemaladze, 2025, Preprints.org); the co-author withdrew in June 2026. The present manuscript is a sole-author, substantially revised version.</w:t>
      </w:r>
    </w:p>
    <w:p>
      <w:pPr>
        <w:jc w:val="both"/>
        <w:pStyle w:val="BodyText"/>
      </w:pPr>
      <w:r>
        <w:rPr>
          <w:b/>
          <w:bCs/>
        </w:rPr>
        <w:t xml:space="preserve">Conflicts of interest:</w:t>
      </w:r>
      <w:r>
        <w:t xml:space="preserve"> </w:t>
      </w:r>
      <w:r>
        <w:t xml:space="preserve">None declared.</w:t>
      </w:r>
    </w:p>
    <w:p>
      <w:pPr>
        <w:jc w:val="both"/>
        <w:pStyle w:val="BodyText"/>
      </w:pPr>
      <w:r>
        <w:rPr>
          <w:b/>
          <w:bCs/>
        </w:rPr>
        <w:t xml:space="preserve">Funding:</w:t>
      </w:r>
      <w:r>
        <w:t xml:space="preserve"> </w:t>
      </w:r>
      <w:r>
        <w:t xml:space="preserve">This work received no specific funding.</w:t>
      </w:r>
    </w:p>
    <w:p>
      <w:pPr>
        <w:jc w:val="both"/>
        <w:pStyle w:val="BodyText"/>
      </w:pPr>
      <w:r>
        <w:rPr>
          <w:b/>
          <w:bCs/>
        </w:rPr>
        <w:t xml:space="preserve">Author:</w:t>
      </w:r>
      <w:r>
        <w:t xml:space="preserve"> </w:t>
      </w:r>
      <w:r>
        <w:t xml:space="preserve">Jaba Tqemaladze, MD — Georgia Longevity Alliance, Tbilisi, Georgia (ORCID: 0000-0001-8651-7243)</w:t>
      </w:r>
    </w:p>
    <w:p>
      <w:pPr>
        <w:jc w:val="both"/>
        <w:pStyle w:val="BodyText"/>
      </w:pPr>
      <w:r>
        <w:rPr>
          <w:b/>
          <w:bCs/>
        </w:rPr>
        <w:t xml:space="preserve">Corresponding author:</w:t>
      </w:r>
      <w:r>
        <w:t xml:space="preserve"> </w:t>
      </w:r>
      <w:r>
        <w:t xml:space="preserve">jaba@longevity.ge</w:t>
      </w:r>
    </w:p>
    <w:p>
      <w:pPr>
        <w:jc w:val="both"/>
        <w:pStyle w:val="BodyText"/>
      </w:pPr>
      <w:r>
        <w:t xml:space="preserve">We confirm this manuscript has not been published elsewhere and is not under consideration by another journal.</w:t>
      </w:r>
    </w:p>
    <w:p>
      <w:pPr>
        <w:jc w:val="both"/>
        <w:pStyle w:val="BodyText"/>
      </w:pPr>
      <w:r>
        <w:t xml:space="preserve">We would be grateful for your consideration.</w:t>
      </w:r>
    </w:p>
    <w:p>
      <w:pPr>
        <w:jc w:val="both"/>
        <w:pStyle w:val="BodyText"/>
      </w:pPr>
      <w:r>
        <w:t xml:space="preserve">Sincerely,</w:t>
      </w:r>
    </w:p>
    <w:p>
      <w:pPr>
        <w:jc w:val="both"/>
        <w:pStyle w:val="BodyText"/>
      </w:pPr>
      <w:r>
        <w:rPr>
          <w:b/>
          <w:bCs/>
        </w:rPr>
        <w:t xml:space="preserve">Jaba Tqemaladze, MD</w:t>
      </w:r>
      <w:r>
        <w:t xml:space="preserve"> </w:t>
      </w:r>
      <w:r>
        <w:t xml:space="preserve">President, Georgia Longevity Alliance</w:t>
      </w:r>
      <w:r>
        <w:t xml:space="preserve"> </w:t>
      </w:r>
      <w:r>
        <w:t xml:space="preserve">ORCID: 0000-0001-8651-7243</w:t>
      </w:r>
      <w:r>
        <w:t xml:space="preserve"> </w:t>
      </w:r>
      <w:r>
        <w:t xml:space="preserve">jaba@longevity.ge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sz w:val="24"/>
      <w:szCs w:val="24"/>
    </w:rPr>
    <w:pPr>
      <w:spacing w:line="276" w:lineRule="auto" w:after="0"/>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qFormat/>
    <w:rPr>
      <w:rFonts w:ascii="Arial" w:hAnsi="Arial" w:cs="Arial"/>
      <w:sz w:val="56"/>
      <w:szCs w:val="56"/>
    </w:rPr>
    <w:pPr>
      <w:jc w:val="center"/>
      <w:spacing w:line="240" w:after="120"/>
    </w:p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qFormat/>
    <w:rPr>
      <w:rFonts w:ascii="Arial" w:hAnsi="Arial" w:cs="Arial"/>
      <w:sz w:val="28"/>
      <w:szCs w:val="28"/>
    </w:rPr>
    <w:pPr>
      <w:jc w:val="center"/>
      <w:spacing w:line="240" w:after="120"/>
    </w:p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rPr>
      <w:rFonts w:ascii="Arial" w:hAnsi="Arial" w:cs="Arial"/>
      <w:b/>
      <w:sz w:val="40"/>
      <w:szCs w:val="40"/>
    </w:rPr>
    <w:pPr>
      <w:keepNext/>
      <w:keepLines/>
      <w:spacing w:after="120" w:before="360"/>
      <w:outlineLvl w:val="0"/>
    </w:pPr>
  </w:style>
  <w:style w:styleId="Heading2" w:type="paragraph">
    <w:name w:val="heading 2"/>
    <w:basedOn w:val="Normal"/>
    <w:next w:val="Normal"/>
    <w:link w:val="Heading2Char"/>
    <w:uiPriority w:val="9"/>
    <w:qFormat/>
    <w:rPr>
      <w:rFonts w:ascii="Arial" w:hAnsi="Arial" w:cs="Arial"/>
      <w:b/>
      <w:sz w:val="32"/>
      <w:szCs w:val="32"/>
    </w:rPr>
    <w:pPr>
      <w:keepNext/>
      <w:keepLines/>
      <w:spacing w:after="80" w:before="240"/>
      <w:outlineLvl w:val="1"/>
    </w:pPr>
  </w:style>
  <w:style w:styleId="Heading3" w:type="paragraph">
    <w:name w:val="heading 3"/>
    <w:basedOn w:val="Normal"/>
    <w:next w:val="Normal"/>
    <w:link w:val="Heading3Char"/>
    <w:uiPriority w:val="9"/>
    <w:qFormat/>
    <w:rPr>
      <w:rFonts w:ascii="Arial" w:hAnsi="Arial" w:cs="Arial"/>
      <w:b/>
      <w:sz w:val="24"/>
      <w:szCs w:val="24"/>
    </w:rPr>
    <w:pPr>
      <w:keepNext/>
      <w:keepLines/>
      <w:spacing w:after="60" w:before="200"/>
      <w:outlineLvl w:val="2"/>
    </w:p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2026-06-18T18:39:22Z</dcterms:created>
  <dcterms:modified xsi:type="dcterms:W3CDTF">2026-06-18T18:39:22Z</dcterms:modified>
</cp:coreProperties>
</file>

<file path=docProps/custom.xml><?xml version="1.0" encoding="utf-8"?>
<Properties xmlns="http://schemas.openxmlformats.org/officeDocument/2006/custom-properties" xmlns:vt="http://schemas.openxmlformats.org/officeDocument/2006/docPropsVTypes"/>
</file>