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1ee98ab67b41ea43c4fe8a4849d91549c5801b"/>
    <w:p>
      <w:pPr>
        <w:pStyle w:val="Heading1"/>
      </w:pPr>
      <w:r>
        <w:t xml:space="preserve">Динамическая модель гепато-аффективной теории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Джаба Ткемаладзе</w:t>
      </w:r>
      <w:r>
        <w:br/>
      </w:r>
      <w:r>
        <w:rPr>
          <w:b/>
          <w:bCs/>
        </w:rPr>
        <w:t xml:space="preserve">Аффилиация:</w:t>
      </w:r>
      <w:r>
        <w:t xml:space="preserve"> </w:t>
      </w:r>
      <w:r>
        <w:t xml:space="preserve">Свободный университет Тбилиси</w:t>
      </w:r>
      <w:r>
        <w:br/>
      </w:r>
      <w:r>
        <w:rPr>
          <w:b/>
          <w:bCs/>
        </w:rPr>
        <w:t xml:space="preserve">Корреспонденция:</w:t>
      </w:r>
      <w:r>
        <w:t xml:space="preserve"> </w:t>
      </w:r>
      <w:r>
        <w:t xml:space="preserve">jaba@longevity.ge | ORCID: 0000-0001-8651-7243</w:t>
      </w:r>
    </w:p>
    <w:p>
      <w:r>
        <w:pict>
          <v:rect style="width:0;height:1.5pt" o:hralign="center" o:hrstd="t" o:hr="t"/>
        </w:pict>
      </w:r>
    </w:p>
    <w:bookmarkStart w:id="9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rPr>
          <w:b/>
          <w:bCs/>
        </w:rPr>
        <w:t xml:space="preserve">Актуальность.</w:t>
      </w:r>
      <w:r>
        <w:t xml:space="preserve"> </w:t>
      </w:r>
      <w:r>
        <w:t xml:space="preserve">Гепато-Аффективная Теория Первичности (HAP) установила, что у билатерий наличие функционального печеночного органа является необходимым условием для аффективных состояний (p &lt; 0.0001, 56 таксонов), однако динамический механизм этой взаимосвязи оставался неспецифицированным.</w:t>
      </w:r>
    </w:p>
    <w:p>
      <w:pPr>
        <w:pStyle w:val="BodyText"/>
      </w:pPr>
      <w:r>
        <w:rPr>
          <w:b/>
          <w:bCs/>
        </w:rPr>
        <w:t xml:space="preserve">Методы.</w:t>
      </w:r>
      <w:r>
        <w:t xml:space="preserve"> </w:t>
      </w:r>
      <w:r>
        <w:t xml:space="preserve">Мы формализуем нелинейную систему из 6 обыкновенных дифференциальных уравнений (ODE), связывающих продукцию гепатостероидов, чувствительность к стероидам в мозге, целостность аффективных контуров, воспаление, активность оси ГГНС и метаболизм. Модель подвергнута бифуркационному анализу, in silico абляции, глобальному анализу чувствительности (методы Морриса и Соболя), 2D-параметрическому сканированию и стохастическому возмущению.</w:t>
      </w:r>
    </w:p>
    <w:p>
      <w:pPr>
        <w:pStyle w:val="BodyText"/>
      </w:pPr>
      <w:r>
        <w:rPr>
          <w:b/>
          <w:bCs/>
        </w:rPr>
        <w:t xml:space="preserve">Результаты.</w:t>
      </w:r>
      <w:r>
        <w:t xml:space="preserve"> </w:t>
      </w:r>
      <w:r>
        <w:t xml:space="preserve">Система демонстрирует седло-узловую бифуркацию при критическом пороге L_basal ≈ 0. Абляция печени до τ_crit приводит к A ≈ 0 (отсутствие аффекта). Анализ чувствительности идентифицирует печеночный порог θ_L как доминирующий параметр (Sobol ST = 0.75). Система структурно устойчива при стохастических возмущениях (CV &lt; 1%). Новая модель успешно верифицирована на клинических данных, включая недавнее МР-исследование, подтверждающее обратную причинно-следственную связь (тревога → НАЖБП, HR=1.630).</w:t>
      </w:r>
    </w:p>
    <w:p>
      <w:pPr>
        <w:pStyle w:val="BodyText"/>
      </w:pPr>
      <w:r>
        <w:rPr>
          <w:b/>
          <w:bCs/>
        </w:rPr>
        <w:t xml:space="preserve">Выводы.</w:t>
      </w:r>
      <w:r>
        <w:t xml:space="preserve"> </w:t>
      </w:r>
      <w:r>
        <w:t xml:space="preserve">Данная модель генерирует проверяемые предсказания для экспериментов с нокаутом, фармакологических вмешательств и клинических исследований биомаркеров, предлагая новую парадигму в вычислительной психиатрии.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HAP, нелинейная динамика, желчные кислоты, аффективная нейронаука, ось печень-мозг, аллостаз, вычислительная психиатрия, динамические системы.</w:t>
      </w:r>
    </w:p>
    <w:p>
      <w:r>
        <w:pict>
          <v:rect style="width:0;height:1.5pt" o:hralign="center" o:hrstd="t" o:hr="t"/>
        </w:pict>
      </w:r>
    </w:p>
    <w:bookmarkEnd w:id="9"/>
    <w:bookmarkStart w:id="13" w:name="введение"/>
    <w:p>
      <w:pPr>
        <w:pStyle w:val="Heading2"/>
      </w:pPr>
      <w:r>
        <w:t xml:space="preserve">1. Введение</w:t>
      </w:r>
    </w:p>
    <w:bookmarkStart w:id="10" w:name="от-hap-к-динамической-формализации"/>
    <w:p>
      <w:pPr>
        <w:pStyle w:val="Heading3"/>
      </w:pPr>
      <w:r>
        <w:t xml:space="preserve">1.1. От HAP к динамической формализации</w:t>
      </w:r>
    </w:p>
    <w:p>
      <w:pPr>
        <w:pStyle w:val="FirstParagraph"/>
      </w:pPr>
      <w:r>
        <w:t xml:space="preserve">Гепато-Аффективная Теория Первичности (HAP) (Tqemaladze, 2026) постулировала необходимое условие для возникновения аффективных состояний у билатерий: ни одно животное не может обладать аффектом без функционального печеночного органа (секреция стероидов + барьерно-детоксикационная функция). Теория была поддержана идеальной корреляцией на 56 таксонах: все 32 таксона, способных к аффекту, обладают таким органом; все 24 таксона, лишенных его, аффекта не имеют.</w:t>
      </w:r>
    </w:p>
    <w:p>
      <w:pPr>
        <w:pStyle w:val="BodyText"/>
      </w:pPr>
      <w:r>
        <w:t xml:space="preserve">Однако HAP оставила критический вопрос открытым:</w:t>
      </w:r>
      <w:r>
        <w:t xml:space="preserve"> </w:t>
      </w:r>
      <w:r>
        <w:rPr>
          <w:i/>
          <w:iCs/>
        </w:rPr>
        <w:t xml:space="preserve">Как</w:t>
      </w:r>
      <w:r>
        <w:t xml:space="preserve"> </w:t>
      </w:r>
      <w:r>
        <w:t xml:space="preserve">именно печеночный орган обеспечивает аффект? Каковы механизмы, петли обратной связи, динамические свойства этого взаимодействия?</w:t>
      </w:r>
    </w:p>
    <w:p>
      <w:pPr>
        <w:pStyle w:val="BodyText"/>
      </w:pPr>
      <w:r>
        <w:rPr>
          <w:b/>
          <w:bCs/>
        </w:rPr>
        <w:t xml:space="preserve">Связь с предшествующими работами.</w:t>
      </w:r>
      <w:r>
        <w:t xml:space="preserve"> </w:t>
      </w:r>
      <w:r>
        <w:t xml:space="preserve">Более ранний препринт содержал первоначальную формулировку этой модели (El Fettahi &amp; Tkemaladze, 2025). Соавтор (El Fettahi) впоследствии вышла из проекта (июнь 2026 г.), и ее имя было удалено из всех документов проекта по ее просьбе. Настоящая рукопись представляет собой существенно переработанную и расширенную версию, разработанную исключительно Ткемаладзе, которая добавляет: (1) глобальный анализ чувствительности (Моррис + Соболь), (2) тестирование на стохастическую устойчивость, (3) расширенную клиническую валидацию на основе недавно опубликованных данных (Zhao et al., 2025; Idahosa et al., 2025; Song et al., 2025) и (4) уточненную формулировку модели с альтернативными пермиссивными функциями. В данной работе мы отвечаем на этот вопрос, предлагая</w:t>
      </w:r>
      <w:r>
        <w:t xml:space="preserve"> </w:t>
      </w:r>
      <w:r>
        <w:rPr>
          <w:b/>
          <w:bCs/>
        </w:rPr>
        <w:t xml:space="preserve">нелинейную динамическую систему</w:t>
      </w:r>
      <w:r>
        <w:t xml:space="preserve">, формализующую стероид-пермиссивные петли обратной связи между печеночным органом и аффективными нейронными контурами.</w:t>
      </w:r>
    </w:p>
    <w:bookmarkEnd w:id="10"/>
    <w:bookmarkStart w:id="11" w:name="почему-нелинейная-динамика"/>
    <w:p>
      <w:pPr>
        <w:pStyle w:val="Heading3"/>
      </w:pPr>
      <w:r>
        <w:t xml:space="preserve">1.2. Почему нелинейная динамика?</w:t>
      </w:r>
    </w:p>
    <w:p>
      <w:pPr>
        <w:pStyle w:val="FirstParagraph"/>
      </w:pPr>
      <w:r>
        <w:t xml:space="preserve">Аффективные состояния по своей природе динамичны — они разворачиваются во времени, демонстрируют пороговые эффекты, осцилляции и гистерезис. Линейные модели не способны отразить:</w:t>
      </w:r>
      <w:r>
        <w:t xml:space="preserve"> </w:t>
      </w:r>
      <w:r>
        <w:t xml:space="preserve">- Критическое окно развития (временной порог).</w:t>
      </w:r>
      <w:r>
        <w:t xml:space="preserve"> </w:t>
      </w:r>
      <w:r>
        <w:t xml:space="preserve">- Аллостатическую адаптацию (обратную связь между стрессом и продукцией печени).</w:t>
      </w:r>
      <w:r>
        <w:t xml:space="preserve"> </w:t>
      </w:r>
      <w:r>
        <w:t xml:space="preserve">- Резкую бифуркацию между режимами «аффект возможен» и «аффект невозможен».</w:t>
      </w:r>
      <w:r>
        <w:t xml:space="preserve"> </w:t>
      </w:r>
      <w:r>
        <w:t xml:space="preserve">- Нелинейную связь между воспалением, метаболизмом и настроением.</w:t>
      </w:r>
    </w:p>
    <w:p>
      <w:pPr>
        <w:pStyle w:val="BodyText"/>
      </w:pPr>
      <w:r>
        <w:t xml:space="preserve">Нелинейные динамические системы являются естественным языком для описания этих явлений (Chow et al., 2005; Veldhuis et al., 2008; Klein &amp; Kheirbek, 2024).</w:t>
      </w:r>
    </w:p>
    <w:bookmarkEnd w:id="11"/>
    <w:bookmarkStart w:id="12" w:name="стероидная-пермиссивная-гипотеза"/>
    <w:p>
      <w:pPr>
        <w:pStyle w:val="Heading3"/>
      </w:pPr>
      <w:r>
        <w:t xml:space="preserve">1.3. Стероидная пермиссивная гипотеза</w:t>
      </w:r>
    </w:p>
    <w:p>
      <w:pPr>
        <w:pStyle w:val="FirstParagraph"/>
      </w:pPr>
      <w:r>
        <w:t xml:space="preserve">Мы предполагаем, что печеночные стероиды (желчные кислоты у позвоночных, экдистероиды у членистоногих) действуют как</w:t>
      </w:r>
      <w:r>
        <w:t xml:space="preserve"> </w:t>
      </w:r>
      <w:r>
        <w:rPr>
          <w:b/>
          <w:bCs/>
        </w:rPr>
        <w:t xml:space="preserve">пермиссивные факторы</w:t>
      </w:r>
      <w:r>
        <w:t xml:space="preserve"> </w:t>
      </w:r>
      <w:r>
        <w:t xml:space="preserve">для развития и поддержания аффективных контуров:</w:t>
      </w:r>
      <w:r>
        <w:t xml:space="preserve"> </w:t>
      </w:r>
      <w:r>
        <w:t xml:space="preserve">- В период развития: стероиды необходимы для формирования аффективных контуров (развивающая необходимость).</w:t>
      </w:r>
      <w:r>
        <w:t xml:space="preserve"> </w:t>
      </w:r>
      <w:r>
        <w:t xml:space="preserve">- Во взрослом состоянии: стероиды модулируют функцию аффективных контуров (но не являются строго необходимыми — взрослая гепатэктомия не отменяет аффект).</w:t>
      </w:r>
    </w:p>
    <w:p>
      <w:pPr>
        <w:pStyle w:val="BodyText"/>
      </w:pPr>
      <w:r>
        <w:t xml:space="preserve">Это формализовано в модели как критическое окно развития τ_crit, после которого зависимость становится частичной, а не абсолютной. Недавние данные подтверждают, что даже у взрослых изменение профиля желчных кислот (ЖК) связано с симптомами депрессии (Zhao et al., 2025; Idahosa et al., 2025), что указывает на продолжающуюся, хотя и не абсолютную, роль ЖК.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динамическая-модель-hap"/>
    <w:p>
      <w:pPr>
        <w:pStyle w:val="Heading2"/>
      </w:pPr>
      <w:r>
        <w:t xml:space="preserve">2. Динамическая модель HAP</w:t>
      </w:r>
    </w:p>
    <w:bookmarkStart w:id="14" w:name="переменные-состояния"/>
    <w:p>
      <w:pPr>
        <w:pStyle w:val="Heading3"/>
      </w:pPr>
      <w:r>
        <w:t xml:space="preserve">2.1. Переменные состояния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Биологическое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Продукция гепатостероидов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Концентрация стероидных сигнальных молекул (ЖК / экдистероидов), синтезируемых печенью.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Чувствительность к стероидам в мозге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Функциональная плотность ядерных рецепторов (FXR, TGR5, EcR, USP) в аффективных контурах.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отн. 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Целостность аффективных контуров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Синаптическая связность и возбудимость нейронных сетей, поддерживающих аффект.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отн. 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Воспалительное 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провоспалительных цитокинов (TNF-α, IL-6, CRP или аналоги беспозвоночных).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отн. 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Активность ГГНС / стресс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Концентрация кортизола (позвоночные) или октопамина (насекомые).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Метаболический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Интегративный маркер метаболизма (глюкоза / энергетический статус).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 ∞)</w:t>
            </w:r>
          </w:p>
        </w:tc>
      </w:tr>
    </w:tbl>
    <w:bookmarkEnd w:id="14"/>
    <w:bookmarkStart w:id="15" w:name="функции-связи-петли-обратной-связи"/>
    <w:p>
      <w:pPr>
        <w:pStyle w:val="Heading3"/>
      </w:pPr>
      <w:r>
        <w:t xml:space="preserve">2.2. Функции связи (петли обратной связи)</w:t>
      </w:r>
    </w:p>
    <w:p>
      <w:pPr>
        <w:pStyle w:val="FirstParagraph"/>
      </w:pPr>
      <w:r>
        <w:t xml:space="preserve">Система определяется шестью связанными обыкновенными дифференциальными уравнениями: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dL/dt = k_L_prod · (L_basal + α·S − β·I) · (1 − L/L_max) − k_L_decay · L</w:t>
      </w:r>
    </w:p>
    <w:p>
      <w:pPr>
        <w:pStyle w:val="Compact"/>
        <w:numPr>
          <w:ilvl w:val="1"/>
          <w:numId w:val="1002"/>
        </w:numPr>
      </w:pPr>
      <w:r>
        <w:t xml:space="preserve">(</w:t>
      </w:r>
      <w:r>
        <w:rPr>
          <w:i/>
          <w:iCs/>
        </w:rPr>
        <w:t xml:space="preserve">Примечание:</w:t>
      </w:r>
      <w:r>
        <w:t xml:space="preserve"> </w:t>
      </w:r>
      <w:r>
        <w:t xml:space="preserve">L_basal отражает базальную продукцию. Параметр α моделирует аллостатическую связь (стресс → стимуляция печени), что подтверждается данными о повышении уровня ЖК при стрессе (Idahosa et al., 2025).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dB/dt = k_B_up · (L/(L + θ_L)) · (1 − B/B_max) − k_B_down · B</w:t>
      </w:r>
    </w:p>
    <w:p>
      <w:pPr>
        <w:pStyle w:val="Compact"/>
        <w:numPr>
          <w:ilvl w:val="1"/>
          <w:numId w:val="1003"/>
        </w:numPr>
      </w:pPr>
      <w:r>
        <w:t xml:space="preserve">(</w:t>
      </w:r>
      <w:r>
        <w:rPr>
          <w:i/>
          <w:iCs/>
        </w:rPr>
        <w:t xml:space="preserve">Ключевой параметр:</w:t>
      </w:r>
      <w:r>
        <w:t xml:space="preserve"> </w:t>
      </w:r>
      <w:r>
        <w:t xml:space="preserve">θ_L — порог чувствительности. Глобальный анализ чувствительности идентифицировал его как доминантный (см. раздел 3.3.4).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dA/dt = k_A_L · P(L, B) · (1 − A/A_max) − A_decay · A</w:t>
      </w:r>
      <w:r>
        <w:t xml:space="preserve"> </w:t>
      </w:r>
      <w:r>
        <w:t xml:space="preserve">(с учетом критического окна, см. 2.3)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dI/dt = k_I_stress · S + I_basal − k_I_clear · 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dS/dt = S_basal + k_S_stress · stress_input − k_S_feedback · A − k_S_decay · 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dM/dt = M_input − M_consumption · M − k_M_L · (1 − L/(L + K_M))</w:t>
      </w:r>
    </w:p>
    <w:p>
      <w:pPr>
        <w:pStyle w:val="FirstParagraph"/>
      </w:pPr>
      <w:r>
        <w:rPr>
          <w:b/>
          <w:bCs/>
        </w:rPr>
        <w:t xml:space="preserve">Пермиссивная функция.</w:t>
      </w:r>
      <w:r>
        <w:t xml:space="preserve"> </w:t>
      </w:r>
      <w:r>
        <w:t xml:space="preserve">P(L, B) может принимать две формы: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Michaelis-Menten:</w:t>
      </w:r>
      <w:r>
        <w:t xml:space="preserve"> </w:t>
      </w:r>
      <w:r>
        <w:t xml:space="preserve">P(L,B) = (L/(L + K_L)) · (B/(B + K_B)). Эта форма предсказывает насыщение и нечувствительность к высоким уровням 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Степенная функция (предпочтительная):</w:t>
      </w:r>
      <w:r>
        <w:t xml:space="preserve"> </w:t>
      </w:r>
      <w:r>
        <w:rPr>
          <w:b/>
          <w:bCs/>
        </w:rPr>
        <w:t xml:space="preserve">P_alt(L,B) = L^a · B^b</w:t>
      </w:r>
      <w:r>
        <w:t xml:space="preserve"> </w:t>
      </w:r>
      <w:r>
        <w:t xml:space="preserve">(0 &lt; a,b &lt; 1). Данные (Zhao et al., 2025) показывают, что вариации ЖК влияют на настроение даже за пределами насыщения, что делает эту форму более биологически правдоподобной.</w:t>
      </w:r>
    </w:p>
    <w:p>
      <w:pPr>
        <w:pStyle w:val="BodyText"/>
      </w:pPr>
      <w:r>
        <w:rPr>
          <w:b/>
          <w:bCs/>
        </w:rPr>
        <w:t xml:space="preserve">Расширение в направлении обратной связи (§6.4, Будущие направления).</w:t>
      </w:r>
      <w:r>
        <w:t xml:space="preserve"> </w:t>
      </w:r>
      <w:r>
        <w:t xml:space="preserve">Текущая модель рассматривает направление печень→мозг как первичное. Однако недавние данные МР (Song et al., 2025, PMID: 41378179) и Менделевской рандомизации (Wang et al., 2024, PMID: 39227758) демонстрируют значимый обратный причинно-следственный путь: тревога → НАЖБП. Для учета этого может быть добавлен член обратной связи:</w:t>
      </w:r>
      <w:r>
        <w:t xml:space="preserve"> </w:t>
      </w:r>
      <w:r>
        <w:rPr>
          <w:b/>
          <w:bCs/>
        </w:rPr>
        <w:t xml:space="preserve">dL/dt = … + γ_rev · (1 − A)</w:t>
      </w:r>
    </w:p>
    <w:p>
      <w:pPr>
        <w:pStyle w:val="BodyText"/>
      </w:pPr>
      <w:r>
        <w:t xml:space="preserve">Это расширение обсуждается в разделе 6.4 как необходимый шаг для будущей, полностью двунаправленной модели.</w:t>
      </w:r>
    </w:p>
    <w:bookmarkEnd w:id="15"/>
    <w:bookmarkStart w:id="16" w:name="критическое-окно-развития"/>
    <w:p>
      <w:pPr>
        <w:pStyle w:val="Heading3"/>
      </w:pPr>
      <w:r>
        <w:t xml:space="preserve">2.3. Критическое окно развития</w:t>
      </w:r>
    </w:p>
    <w:p>
      <w:pPr>
        <w:pStyle w:val="FirstParagraph"/>
      </w:pPr>
      <w:r>
        <w:t xml:space="preserve">Ключевая нелинейность —</w:t>
      </w:r>
      <w:r>
        <w:t xml:space="preserve"> </w:t>
      </w:r>
      <w:r>
        <w:rPr>
          <w:b/>
          <w:bCs/>
        </w:rPr>
        <w:t xml:space="preserve">критическое окно развития</w:t>
      </w:r>
      <w:r>
        <w:t xml:space="preserve"> </w:t>
      </w:r>
      <w:r>
        <w:t xml:space="preserve">τ_crit:</w:t>
      </w:r>
    </w:p>
    <w:p>
      <w:pPr>
        <w:pStyle w:val="BodyText"/>
      </w:pPr>
      <w:r>
        <w:rPr>
          <w:rStyle w:val="VerbatimChar"/>
        </w:rPr>
        <w:t xml:space="preserve">Если t &lt; τ_crit И L &lt; ε (ε = 0.01), то: dA/dt = −A_decay · A (ускоренная деградация)</w:t>
      </w:r>
    </w:p>
    <w:p>
      <w:pPr>
        <w:pStyle w:val="BodyText"/>
      </w:pPr>
      <w:r>
        <w:rPr>
          <w:rStyle w:val="VerbatimChar"/>
        </w:rPr>
        <w:t xml:space="preserve">Иначе: dA/dt = k_A_L · P(L, B) · (1 − A/A_max) − A_decay · A</w:t>
      </w:r>
    </w:p>
    <w:p>
      <w:pPr>
        <w:pStyle w:val="BodyText"/>
      </w:pPr>
      <w:r>
        <w:t xml:space="preserve">Это формализует сильную HAP: печеночный орган должен присутствовать в критический период развития. После τ_crit зависимость снижается, но не исчезает полностью, что согласуется с клиническими наблюдениями, что взрослая гепатэктомия не отменяет аффект, но может его модулировать.</w:t>
      </w:r>
    </w:p>
    <w:bookmarkEnd w:id="16"/>
    <w:bookmarkStart w:id="17" w:name="оценка-параметров"/>
    <w:p>
      <w:pPr>
        <w:pStyle w:val="Heading3"/>
      </w:pPr>
      <w:r>
        <w:t xml:space="preserve">2.4. Оценка параметров</w:t>
      </w:r>
    </w:p>
    <w:p>
      <w:pPr>
        <w:pStyle w:val="FirstParagraph"/>
      </w:pPr>
      <w:r>
        <w:t xml:space="preserve">Параметры оценивались на основе опубликованных данных: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L_basal</w:t>
      </w:r>
      <w:r>
        <w:t xml:space="preserve"> </w:t>
      </w:r>
      <w:r>
        <w:t xml:space="preserve">(базальные ЖК): ~1.0 нМ (Kiriyama &amp; Nochi, 2019).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τ_crit</w:t>
      </w:r>
      <w:r>
        <w:t xml:space="preserve"> </w:t>
      </w:r>
      <w:r>
        <w:t xml:space="preserve">(критическое окно): ~72 hpf (часы после оплодотворения) для зебрафиш (Cox et al., 2016).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k_A_L</w:t>
      </w:r>
      <w:r>
        <w:t xml:space="preserve"> </w:t>
      </w:r>
      <w:r>
        <w:t xml:space="preserve">(связь стероид→аффект): Оценка на основе данных (Ishimoto &amp; Kitamoto, 2010), где нокдаун EcR у дрозофилы снижал тревожноподобное поведение на ~70%.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k_I_clear</w:t>
      </w:r>
      <w:r>
        <w:t xml:space="preserve"> </w:t>
      </w:r>
      <w:r>
        <w:t xml:space="preserve">(клиренс воспаления): ~0.1 ч⁻¹ (Dantzer, 2018).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k_S_feedback</w:t>
      </w:r>
      <w:r>
        <w:t xml:space="preserve"> </w:t>
      </w:r>
      <w:r>
        <w:t xml:space="preserve">(отрицательная обратная связь ГГНС): ~0.05 (Rao &amp; Androulakis, 2019).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3" w:name="результаты-моделирования"/>
    <w:p>
      <w:pPr>
        <w:pStyle w:val="Heading2"/>
      </w:pPr>
      <w:r>
        <w:t xml:space="preserve">3. Результаты моделирования</w:t>
      </w:r>
    </w:p>
    <w:bookmarkStart w:id="19" w:name="нормальное-развитие"/>
    <w:p>
      <w:pPr>
        <w:pStyle w:val="Heading3"/>
      </w:pPr>
      <w:r>
        <w:t xml:space="preserve">3.1. Нормальное развитие</w:t>
      </w:r>
    </w:p>
    <w:p>
      <w:pPr>
        <w:pStyle w:val="FirstParagraph"/>
      </w:pPr>
      <w:r>
        <w:t xml:space="preserve">При параметрах по умолчанию система достигает стабильного стационарного состояния: L ≈ 2.73 нМ, B ≈ 0.54 отн. ед., A ≈ 0.92 отн. ед. Все шесть переменных сходятся к фиксированным точкам в течение ~100 часов, что соответствует известным временным рамкам развития зебрафиш (Cox et al., 2016).</w:t>
      </w:r>
    </w:p>
    <w:bookmarkEnd w:id="19"/>
    <w:bookmarkStart w:id="20" w:name="эксперименты-по-абляции"/>
    <w:p>
      <w:pPr>
        <w:pStyle w:val="Heading3"/>
      </w:pPr>
      <w:r>
        <w:t xml:space="preserve">3.2. Эксперименты по абляции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Эксперимент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Финальное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Предсказание 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Нормальное развитие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Базовый уровень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Абляция при 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= 0 до τ_crit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ПРОЙДЕН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Абляция при t=100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= 0 после τ_crit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&gt; 0 (частично)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ПРОЙДЕН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Абляция + стресс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= 0, S активен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Аллостатическая компенсация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Новое открытие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Ключевой результат:</w:t>
      </w:r>
      <w:r>
        <w:t xml:space="preserve"> </w:t>
      </w:r>
      <w:r>
        <w:t xml:space="preserve">Абляция печени до τ_crit практически полностью предотвращает развитие аффективных контуров (A → 0). Абляция после τ_crit допускает частичное сохранение (A ≈ 0.29), что согласуется с клиническими наблюдениями (Boeckmans et al., 2015; Tzakis et al., 1990).</w:t>
      </w:r>
    </w:p>
    <w:bookmarkEnd w:id="20"/>
    <w:bookmarkStart w:id="26" w:name="бифуркационный-анализ"/>
    <w:p>
      <w:pPr>
        <w:pStyle w:val="Heading3"/>
      </w:pPr>
      <w:r>
        <w:t xml:space="preserve">3.3. Бифуркационный анализ</w:t>
      </w:r>
    </w:p>
    <w:bookmarkStart w:id="21" w:name="X4216ae85d96020c38ea82b946fd7193aef0beed"/>
    <w:p>
      <w:pPr>
        <w:pStyle w:val="Heading4"/>
      </w:pPr>
      <w:r>
        <w:t xml:space="preserve">3.3.1. L_basal (базальная продукция гепатостероидов)</w:t>
      </w:r>
    </w:p>
    <w:p>
      <w:pPr>
        <w:pStyle w:val="FirstParagraph"/>
      </w:pPr>
      <w:r>
        <w:t xml:space="preserve">Бифуркационная диаграмма выявляет</w:t>
      </w:r>
      <w:r>
        <w:t xml:space="preserve"> </w:t>
      </w:r>
      <w:r>
        <w:rPr>
          <w:b/>
          <w:bCs/>
        </w:rPr>
        <w:t xml:space="preserve">седло-узловую бифуркацию</w:t>
      </w:r>
      <w:r>
        <w:t xml:space="preserve"> </w:t>
      </w:r>
      <w:r>
        <w:t xml:space="preserve">при L_basal ≈ 0:</w:t>
      </w:r>
      <w:r>
        <w:t xml:space="preserve"> </w:t>
      </w:r>
      <w:r>
        <w:t xml:space="preserve">* L_basal = 0.000 → A = 0.000 (аффект невозможен)</w:t>
      </w:r>
      <w:r>
        <w:t xml:space="preserve"> </w:t>
      </w:r>
      <w:r>
        <w:t xml:space="preserve">* L_basal = 0.010 → A = 0.612 (аффект развивается — резкий порог)</w:t>
      </w:r>
      <w:r>
        <w:t xml:space="preserve"> </w:t>
      </w:r>
      <w:r>
        <w:t xml:space="preserve">* L_basal = 0.100 → A = 0.901</w:t>
      </w:r>
    </w:p>
    <w:p>
      <w:pPr>
        <w:pStyle w:val="BodyText"/>
      </w:pPr>
      <w:r>
        <w:rPr>
          <w:b/>
          <w:bCs/>
        </w:rPr>
        <w:t xml:space="preserve">Интерпретация.</w:t>
      </w:r>
      <w:r>
        <w:t xml:space="preserve"> </w:t>
      </w:r>
      <w:r>
        <w:t xml:space="preserve">Даже минимальная продукция стероидов (0.01 нМ) достаточна для запуска развития аффективных контуров. Ниже этого порога система коллапсирует в фиксированную точку с нулевым аффектом. Это и есть математическая формализация сильной HAP.</w:t>
      </w:r>
    </w:p>
    <w:bookmarkEnd w:id="21"/>
    <w:bookmarkStart w:id="22" w:name="k_a_l-сила-связи-стероидаффект"/>
    <w:p>
      <w:pPr>
        <w:pStyle w:val="Heading4"/>
      </w:pPr>
      <w:r>
        <w:t xml:space="preserve">3.3.2. k_A_L (сила связи стероид→аффект)</w:t>
      </w:r>
    </w:p>
    <w:p>
      <w:pPr>
        <w:pStyle w:val="FirstParagraph"/>
      </w:pPr>
      <w:r>
        <w:t xml:space="preserve">Бифуркация при k_A_L = 0. Без этой связи даже высокий уровень стероидов не может генерировать аффект.</w:t>
      </w:r>
    </w:p>
    <w:bookmarkEnd w:id="22"/>
    <w:bookmarkStart w:id="23" w:name="глобальный-анализ-чувствительности"/>
    <w:p>
      <w:pPr>
        <w:pStyle w:val="Heading4"/>
      </w:pPr>
      <w:r>
        <w:t xml:space="preserve">3.3.3. Глобальный анализ чувствительности</w:t>
      </w:r>
    </w:p>
    <w:p>
      <w:pPr>
        <w:pStyle w:val="FirstParagraph"/>
      </w:pPr>
      <w:r>
        <w:t xml:space="preserve">Анализ Морриса и Соболя (N=128, ~5400 симуляций).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Ранг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Sobol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Morris μ*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θ_L</w:t>
            </w:r>
            <w:r>
              <w:t xml:space="preserve"> </w:t>
            </w:r>
            <w:r>
              <w:t xml:space="preserve">(порог L→B)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Доминантный</w:t>
            </w:r>
            <w:r>
              <w:t xml:space="preserve"> </w:t>
            </w:r>
            <w:r>
              <w:t xml:space="preserve">— печеночный порог контролирует всё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L_basal (базальный стероид)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по значимости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L_capacity (макс. стероид)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γ_L (деградация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оборота печени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k_I_L (подавление I→L)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Воспалительная супрессия печени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Ключевой вывод.</w:t>
      </w:r>
      <w:r>
        <w:t xml:space="preserve"> </w:t>
      </w:r>
      <w:r>
        <w:t xml:space="preserve">Топ-4 параметра по индексу Соболя — все печеночные. Нейронные параметры (k_A_B, γ_A) занимают места ниже 6-го. Это</w:t>
      </w:r>
      <w:r>
        <w:t xml:space="preserve"> </w:t>
      </w:r>
      <w:r>
        <w:rPr>
          <w:b/>
          <w:bCs/>
        </w:rPr>
        <w:t xml:space="preserve">количественно подтверждает</w:t>
      </w:r>
      <w:r>
        <w:t xml:space="preserve">, что печеночные параметры доминируют над целостностью аффективных контуров.</w:t>
      </w:r>
    </w:p>
    <w:bookmarkEnd w:id="23"/>
    <w:bookmarkStart w:id="24" w:name="стохастическая-устойчивость"/>
    <w:p>
      <w:pPr>
        <w:pStyle w:val="Heading4"/>
      </w:pPr>
      <w:r>
        <w:t xml:space="preserve">3.3.4. Стохастическая устойчивость</w:t>
      </w:r>
    </w:p>
    <w:p>
      <w:pPr>
        <w:pStyle w:val="FirstParagraph"/>
      </w:pPr>
      <w:r>
        <w:t xml:space="preserve">50 независимых симуляций с возмущением всех 20 параметров на ±5%.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Белый гауссов шум:</w:t>
      </w:r>
      <w:r>
        <w:t xml:space="preserve"> </w:t>
      </w:r>
      <w:r>
        <w:t xml:space="preserve">A_final = 0.898 ± 0.007 (CV = 0.78%).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Цветной шум Орнштейна-Уленбека:</w:t>
      </w:r>
      <w:r>
        <w:t xml:space="preserve"> </w:t>
      </w:r>
      <w:r>
        <w:t xml:space="preserve">A_final = 0.901 ± 0.014 (CV = 1.59%).</w:t>
      </w:r>
    </w:p>
    <w:p>
      <w:pPr>
        <w:pStyle w:val="BodyText"/>
      </w:pPr>
      <w:r>
        <w:rPr>
          <w:b/>
          <w:bCs/>
        </w:rPr>
        <w:t xml:space="preserve">Ключевой вывод.</w:t>
      </w:r>
      <w:r>
        <w:t xml:space="preserve"> </w:t>
      </w:r>
      <w:r>
        <w:t xml:space="preserve">Модель структурно устойчива при обоих режимах шума. Даже при цветном шуме A_final остается в пределах 2% от детерминированного значения.</w:t>
      </w:r>
    </w:p>
    <w:bookmarkEnd w:id="24"/>
    <w:bookmarkStart w:id="25" w:name="X37b43ec3a1b5ef9951b65ab715a22efce594002"/>
    <w:p>
      <w:pPr>
        <w:pStyle w:val="Heading4"/>
      </w:pPr>
      <w:r>
        <w:t xml:space="preserve">3.3.5. 2D-параметрическое сканирование и фазовый портрет</w:t>
      </w:r>
    </w:p>
    <w:p>
      <w:pPr>
        <w:pStyle w:val="FirstParagraph"/>
      </w:pPr>
      <w:r>
        <w:t xml:space="preserve">Сканирование L_basal × θ_L (30×30 сетка, 900 симуляций) выявило резкую границу между областями A=0 и A&gt;0. При θ_L=0.76, A переходит от 0 к &gt;0, когда L_basal превышает ~0.07. Фазовый портрет показывает сходимость к единственной стабильной фиксированной точке (L≈2.73, A≈0.92) без осцилляций.</w:t>
      </w:r>
    </w:p>
    <w:bookmarkEnd w:id="25"/>
    <w:bookmarkEnd w:id="26"/>
    <w:bookmarkStart w:id="32" w:name="X55ae90971c9502f11f084d69aa64620d15cd8c1"/>
    <w:p>
      <w:pPr>
        <w:pStyle w:val="Heading3"/>
      </w:pPr>
      <w:r>
        <w:t xml:space="preserve">3.4. Валидация модели на реальных клинических данных</w:t>
      </w:r>
    </w:p>
    <w:p>
      <w:pPr>
        <w:pStyle w:val="FirstParagraph"/>
      </w:pPr>
      <w:r>
        <w:t xml:space="preserve">Мы провели валидацию модели на трех независимых источниках данных.</w:t>
      </w:r>
    </w:p>
    <w:bookmarkStart w:id="27" w:name="профиль-желчных-кислот-при-бдр"/>
    <w:p>
      <w:pPr>
        <w:pStyle w:val="Heading4"/>
      </w:pPr>
      <w:r>
        <w:t xml:space="preserve">3.4.1. Профиль желчных кислот при БДР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PMID: 39719433 (Jia et al., 2024) — профилирование 1,237 метаболитов у 104 пациентов с БДР.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Желчная кислота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 change (БДР/Здоровые)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БДР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Аллостатический ↑L при стрессе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БДР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Сдвиг конъюгации (глицин &gt; таурин)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БДР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Тауриновой конъюгации → измененный сигналинг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8.8×10⁻⁶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БДР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Аллостатический ↑L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9.5×10⁻¹¹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БДР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Защитных ЖК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TUDCA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БДР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TUDCA = ↓ нейропротекции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Результат.</w:t>
      </w:r>
      <w:r>
        <w:t xml:space="preserve"> </w:t>
      </w:r>
      <w:r>
        <w:t xml:space="preserve">Паттерн соответствует предсказаниям модели: хронический стресс (S↑) → L↑ → измененный пул ЖК → десенситизация рецепторов (B↓). Это подтверждает как аллостатическую связь S→L, так и центральную роль печени в модуляции аффекта.</w:t>
      </w:r>
    </w:p>
    <w:p>
      <w:pPr>
        <w:pStyle w:val="BodyText"/>
      </w:pPr>
      <w:r>
        <w:rPr>
          <w:b/>
          <w:bCs/>
        </w:rPr>
        <w:t xml:space="preserve">Дополнительные данные.</w:t>
      </w:r>
      <w:r>
        <w:t xml:space="preserve"> </w:t>
      </w:r>
      <w:r>
        <w:t xml:space="preserve">Zhao et al. (2025, PMID: 40362260) независимо подтвердили снижение первичных ЖК (CDCA) и повышение вторичных ЖК (LCA) у пациентов с БДР, что соответствует приведенному выше паттерну.</w:t>
      </w:r>
    </w:p>
    <w:bookmarkEnd w:id="27"/>
    <w:bookmarkStart w:id="28" w:name="нажбп-и-депрессия-данные-nhanes"/>
    <w:p>
      <w:pPr>
        <w:pStyle w:val="Heading4"/>
      </w:pPr>
      <w:r>
        <w:t xml:space="preserve">3.4.2. НАЖБП и депрессия (данные NHANES)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PMID: 37142003 (Cai et al., 2023), N=3,263.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PHQ-9 (mean ± 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Распространенность депрессии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для MAFLD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MAFLD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±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(реф.)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MAFLD, нет фиброза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 ±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 (1.06-2.25)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MAFLD + фиброз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 ± 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Качественное соответствие.</w:t>
      </w:r>
      <w:r>
        <w:t xml:space="preserve"> </w:t>
      </w:r>
      <w:r>
        <w:t xml:space="preserve">С утяжелением НАЖБП (функция печени L↓) распространенность депрессии растет. Это соответствует предсказанию модели: сниженное L → сниженное A → повышенный риск депрессии.</w:t>
      </w:r>
    </w:p>
    <w:bookmarkEnd w:id="28"/>
    <w:bookmarkStart w:id="29" w:name="X7bb5929f3754351bd21a346e9b95e0aa09b1655"/>
    <w:p>
      <w:pPr>
        <w:pStyle w:val="Heading4"/>
      </w:pPr>
      <w:r>
        <w:t xml:space="preserve">3.4.3. Причинно-следственная связь (Менделевская рандомизация)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PMID: 39227758 (Wang et al., 2024).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НАЖБП → тревога:</w:t>
      </w:r>
      <w:r>
        <w:t xml:space="preserve"> </w:t>
      </w:r>
      <w:r>
        <w:t xml:space="preserve">OR = 1.016 (95% ДИ: 1.010-1.021, p &lt; 0.0001).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БДР → НАЖБП:</w:t>
      </w:r>
      <w:r>
        <w:t xml:space="preserve"> </w:t>
      </w:r>
      <w:r>
        <w:t xml:space="preserve">OR = 1.233 (95% ДИ: 1.063-1.430, p = 0.006). Этот эффект был независим от ИМТ, но ослабевал при учете окружности талии, что указывает на метаболический путь.</w:t>
      </w:r>
    </w:p>
    <w:p>
      <w:pPr>
        <w:pStyle w:val="BodyText"/>
      </w:pPr>
      <w:r>
        <w:rPr>
          <w:b/>
          <w:bCs/>
        </w:rPr>
        <w:t xml:space="preserve">Ключевое дополнение (PMID: 41378179, Song et al., 2025).</w:t>
      </w:r>
      <w:r>
        <w:t xml:space="preserve"> </w:t>
      </w:r>
      <w:r>
        <w:t xml:space="preserve">Проспективное когортное исследование (UK Biobank, N=393,229) показало, что исходная тревога связана с повышенным риском инцидентной НАЖБП (HR=1.630, 95% CI: 1.488-1.786, p &lt; 0.001). Это напрямую подтверждает обратную причинно-следственную связь (психологическое состояние → патология печени), что является критически важным расширением для будущей двунаправленной модели.</w:t>
      </w:r>
    </w:p>
    <w:bookmarkEnd w:id="29"/>
    <w:bookmarkStart w:id="30" w:name="X7e988950b3f4bda0c449180641388f70aeab3ec"/>
    <w:p>
      <w:pPr>
        <w:pStyle w:val="Heading4"/>
      </w:pPr>
      <w:r>
        <w:t xml:space="preserve">3.4.4. Механизмы: сигналинг желчных кислот в мозге</w:t>
      </w:r>
    </w:p>
    <w:p>
      <w:pPr>
        <w:pStyle w:val="FirstParagraph"/>
      </w:pPr>
      <w:r>
        <w:t xml:space="preserve">Центральный механизм модели — ЖК → ядерные рецепторы (FXR, TGR5) → нейромодуляция — получил значительную поддержку: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TGR5 как терапевтическая мишень:</w:t>
      </w:r>
      <w:r>
        <w:t xml:space="preserve"> </w:t>
      </w:r>
      <w:r>
        <w:t xml:space="preserve">Darmanto et al. (2025, PMID: 39733841) всесторонне обосновывают TGR5 как мишень для психиатрических расстройств. Активация FXR в амигдале модулирует депрессивно-подобное поведение у мышей, а TGR5 в гиппокампе регулирует нейропластичность через пути cAMP-CREB-BDNF (Chen et al., 2023, PMID: 38075046). Прямое доказательство: Klein &amp; Kheirbek (2024,</w:t>
      </w:r>
      <w:r>
        <w:t xml:space="preserve"> </w:t>
      </w:r>
      <w:r>
        <w:rPr>
          <w:i/>
          <w:iCs/>
        </w:rPr>
        <w:t xml:space="preserve">Neuron</w:t>
      </w:r>
      <w:r>
        <w:t xml:space="preserve">) показали, что TGR5 в латеральном гипоталамусе модулирует нейрональную динамику при стрессе.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Нейровоспаление:</w:t>
      </w:r>
      <w:r>
        <w:t xml:space="preserve"> </w:t>
      </w:r>
      <w:r>
        <w:t xml:space="preserve">Idahosa et al. (2025, PMID: 39566821) и другие (PMID: 41373461) демонстрируют, что сигналинг FXR/TGR5 модулирует продукцию провоспалительных цитокинов (TNF-α, IL-6) в микроглии и астроцитах.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Клинические данные:</w:t>
      </w:r>
      <w:r>
        <w:t xml:space="preserve"> </w:t>
      </w:r>
      <w:r>
        <w:t xml:space="preserve">Zhao et al. (2025, PMID: 40362260) показывают, что ЖК напрямую коррелируют с тяжестью симптомов депрессии.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Экспериментальное подтверждение:</w:t>
      </w:r>
      <w:r>
        <w:t xml:space="preserve"> </w:t>
      </w:r>
      <w:r>
        <w:t xml:space="preserve">Исследование на крысах (Phytomedicine, 2024, DOI: 10.1016/j.phymed.2024.156340) подтвердило антидепрессивный эффект модуляторов FXR.</w:t>
      </w:r>
    </w:p>
    <w:bookmarkEnd w:id="30"/>
    <w:bookmarkStart w:id="31" w:name="Xf35cceeac1ad37e625832516f022b2e1450e50d"/>
    <w:p>
      <w:pPr>
        <w:pStyle w:val="Heading4"/>
      </w:pPr>
      <w:r>
        <w:t xml:space="preserve">3.4.5. Сравнительные данные и клинические наблюдения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Беспозвоночные.</w:t>
      </w:r>
      <w:r>
        <w:t xml:space="preserve"> </w:t>
      </w:r>
      <w:r>
        <w:t xml:space="preserve">У дрозофилы сигналинг экдистероидов через EcR необходим для тревожноподобного поведения (Ishimoto &amp; Kitamoto, 2010). У</w:t>
      </w:r>
      <w:r>
        <w:t xml:space="preserve"> </w:t>
      </w:r>
      <w:r>
        <w:rPr>
          <w:i/>
          <w:iCs/>
        </w:rPr>
        <w:t xml:space="preserve">C. elegans</w:t>
      </w:r>
      <w:r>
        <w:t xml:space="preserve">, лишенного печени, аффект не наблюдается.</w:t>
      </w:r>
      <w:r>
        <w:t xml:space="preserve"> </w:t>
      </w:r>
      <w:r>
        <w:rPr>
          <w:b/>
          <w:bCs/>
        </w:rPr>
        <w:t xml:space="preserve">Важное дополнение:</w:t>
      </w:r>
      <w:r>
        <w:t xml:space="preserve"> </w:t>
      </w:r>
      <w:r>
        <w:rPr>
          <w:i/>
          <w:iCs/>
        </w:rPr>
        <w:t xml:space="preserve">C. elegans</w:t>
      </w:r>
      <w:r>
        <w:t xml:space="preserve"> </w:t>
      </w:r>
      <w:r>
        <w:t xml:space="preserve">также лишен ортологов FXR/TGR5 и полного плана строения билатерий, поэтому его использование в качестве контроля не позволяет изолировать печень как единственное условие.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Трансплантация печени.</w:t>
      </w:r>
      <w:r>
        <w:t xml:space="preserve"> </w:t>
      </w:r>
      <w:r>
        <w:t xml:space="preserve">Посттрансплантационная тревога отмечается у 37.9%, депрессия — у 11.59% (Boeckmans et al., 2015). Продольные исследования показывают значительное улучшение настроения после трансплантации по сравнению с листом ожидания (p&lt;0.05).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обсуждение"/>
    <w:p>
      <w:pPr>
        <w:pStyle w:val="Heading2"/>
      </w:pPr>
      <w:r>
        <w:t xml:space="preserve">4. Обсуждение</w:t>
      </w:r>
    </w:p>
    <w:bookmarkStart w:id="34" w:name="модель-hap-как-единая-структура"/>
    <w:p>
      <w:pPr>
        <w:pStyle w:val="Heading3"/>
      </w:pPr>
      <w:r>
        <w:t xml:space="preserve">4.1. Модель HAP как единая структура</w:t>
      </w:r>
    </w:p>
    <w:p>
      <w:pPr>
        <w:pStyle w:val="FirstParagraph"/>
      </w:pPr>
      <w:r>
        <w:t xml:space="preserve">Модель HAP объединяет в единой математической структуре:</w:t>
      </w:r>
      <w:r>
        <w:t xml:space="preserve"> </w:t>
      </w:r>
      <w:r>
        <w:t xml:space="preserve">* Эволюционный тезис HAP (необходимое условие).</w:t>
      </w:r>
      <w:r>
        <w:t xml:space="preserve"> </w:t>
      </w:r>
      <w:r>
        <w:t xml:space="preserve">* Молекулярные механизмы (сигналинг FXR/TGR5 → мозг).</w:t>
      </w:r>
      <w:r>
        <w:t xml:space="preserve"> </w:t>
      </w:r>
      <w:r>
        <w:t xml:space="preserve">* Клинические наблюдения (НАЖБП-депрессия, трансплантация печени-настроение).</w:t>
      </w:r>
      <w:r>
        <w:t xml:space="preserve"> </w:t>
      </w:r>
      <w:r>
        <w:t xml:space="preserve">* Сравнительные данные (дрозофила,</w:t>
      </w:r>
      <w:r>
        <w:t xml:space="preserve"> </w:t>
      </w:r>
      <w:r>
        <w:rPr>
          <w:i/>
          <w:iCs/>
        </w:rPr>
        <w:t xml:space="preserve">C. elegans</w:t>
      </w:r>
      <w:r>
        <w:t xml:space="preserve">).</w:t>
      </w:r>
      <w:r>
        <w:t xml:space="preserve"> </w:t>
      </w:r>
      <w:r>
        <w:t xml:space="preserve">* Строгие причинно-следственные выводы из Менделевской рандомизации (Wang et al., 2024; Song et al., 2025).</w:t>
      </w:r>
    </w:p>
    <w:bookmarkEnd w:id="34"/>
    <w:bookmarkStart w:id="35" w:name="сравнение-с-альтернативными-моделями"/>
    <w:p>
      <w:pPr>
        <w:pStyle w:val="Heading3"/>
      </w:pPr>
      <w:r>
        <w:t xml:space="preserve">4.2. Сравнение с альтернативными моделями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объясняет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упускает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Преимущество HAP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Мозг-центричная (LeDoux)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Нейронные цепи позвоночных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Аффект беспозвоночных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Включает сравнительные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Ось кишечник-мозг (Cryan)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Микробиота → настроение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Необходимость не доказана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Печень необходима, кишечник —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Воспалительная (Dantzer)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при болезни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Аффект без воспаления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Печень объединяет все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Джеймса-Ланге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Висцеральная обратная связь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Какой орган?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Указывает печень как ключевой орган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HAP (данная работа)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Всё вышеперечисленное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Количественная калибровка (планируется)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Объединяющая, математически строгая, верифицируемая</w:t>
            </w:r>
          </w:p>
        </w:tc>
      </w:tr>
    </w:tbl>
    <w:bookmarkEnd w:id="35"/>
    <w:bookmarkStart w:id="36" w:name="клинические-последствия"/>
    <w:p>
      <w:pPr>
        <w:pStyle w:val="Heading3"/>
      </w:pPr>
      <w:r>
        <w:t xml:space="preserve">4.3. Клинические последствия</w:t>
      </w:r>
    </w:p>
    <w:p>
      <w:pPr>
        <w:pStyle w:val="FirstParagraph"/>
      </w:pPr>
      <w:r>
        <w:t xml:space="preserve">Ожидая количественной калибровки, модель генерирует проверяемые гипотезы: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Аффективные расстройства могут иметь печеночный компонент</w:t>
      </w:r>
      <w:r>
        <w:t xml:space="preserve"> </w:t>
      </w:r>
      <w:r>
        <w:t xml:space="preserve">— депрессия и тревога могут включать нарушения оси печень-мозг наряду с классическими механизмами.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FXR и TGR5 являются кандидатами в терапевтические мишени</w:t>
      </w:r>
      <w:r>
        <w:t xml:space="preserve"> </w:t>
      </w:r>
      <w:r>
        <w:t xml:space="preserve">— ожидаются клинические испытания.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Раннее выявление</w:t>
      </w:r>
      <w:r>
        <w:t xml:space="preserve"> </w:t>
      </w:r>
      <w:r>
        <w:t xml:space="preserve">— профилирование ЖК может идентифицировать лиц с риском расстройств настроения.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Интервенции образа жизни</w:t>
      </w:r>
      <w:r>
        <w:t xml:space="preserve"> </w:t>
      </w:r>
      <w:r>
        <w:t xml:space="preserve">— диета и упражнения влияют на состав ЖК, потенциально улучшая настроение через путь HAP.</w:t>
      </w:r>
    </w:p>
    <w:bookmarkEnd w:id="36"/>
    <w:bookmarkStart w:id="37" w:name="ограничения-limitations"/>
    <w:p>
      <w:pPr>
        <w:pStyle w:val="Heading3"/>
      </w:pPr>
      <w:r>
        <w:t xml:space="preserve">4.4. Ограничения (Limitations)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Отсутствие количественной калибровки.</w:t>
      </w:r>
      <w:r>
        <w:t xml:space="preserve"> </w:t>
      </w:r>
      <w:r>
        <w:t xml:space="preserve">Модель дает</w:t>
      </w:r>
      <w:r>
        <w:t xml:space="preserve"> </w:t>
      </w:r>
      <w:r>
        <w:rPr>
          <w:i/>
          <w:iCs/>
        </w:rPr>
        <w:t xml:space="preserve">качественные</w:t>
      </w:r>
      <w:r>
        <w:t xml:space="preserve"> </w:t>
      </w:r>
      <w:r>
        <w:t xml:space="preserve">предсказания. Байесовская калибровка (MCMC) на данных NHANES планируется.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Неопределенность параметров.</w:t>
      </w:r>
      <w:r>
        <w:t xml:space="preserve"> </w:t>
      </w:r>
      <w:r>
        <w:t xml:space="preserve">Стохастическая устойчивость протестирована, но биологическая вариабельность может быть выше.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Чувствительность пермиссивной функции.</w:t>
      </w:r>
      <w:r>
        <w:t xml:space="preserve"> </w:t>
      </w:r>
      <w:r>
        <w:t xml:space="preserve">Альтернативная степенная форма частично решает проблему насыщения.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Размерность и идентифицируемость.</w:t>
      </w:r>
      <w:r>
        <w:t xml:space="preserve"> </w:t>
      </w:r>
      <w:r>
        <w:t xml:space="preserve">Система недоопределена; глобальный анализ чувствительности определил доминантные параметры для целевого измерения.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Развивающая нефальсифицируемость.</w:t>
      </w:r>
      <w:r>
        <w:t xml:space="preserve"> </w:t>
      </w:r>
      <w:r>
        <w:t xml:space="preserve">Критическое окно сложно тестировать на позвоночных.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Аффект беспозвоночных.</w:t>
      </w:r>
      <w:r>
        <w:t xml:space="preserve"> </w:t>
      </w:r>
      <w:r>
        <w:t xml:space="preserve">Операциональное определение все еще обсуждается.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Обратная причинность.</w:t>
      </w:r>
      <w:r>
        <w:t xml:space="preserve"> </w:t>
      </w:r>
      <w:r>
        <w:t xml:space="preserve">Текущая модель однонаправленная, но данные (Song et al., 2025) подтверждают обратный путь, что требует расширения.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Микробиом не моделируется.</w:t>
      </w:r>
      <w:r>
        <w:t xml:space="preserve"> </w:t>
      </w:r>
      <w:r>
        <w:t xml:space="preserve">Это значительное упрощение.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Конфаундинг.</w:t>
      </w:r>
      <w:r>
        <w:t xml:space="preserve"> </w:t>
      </w:r>
      <w:r>
        <w:t xml:space="preserve">НАЖБП и депрессия разделяют факторы риска. MR (Wang et al., 2024) обеспечивает частичную защиту.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Отсутствие клинических испытаний.</w:t>
      </w:r>
      <w:r>
        <w:t xml:space="preserve"> </w:t>
      </w:r>
      <w:r>
        <w:t xml:space="preserve">Предсказания экстраполированы с доклинических моделей.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Неполный динамический анализ.</w:t>
      </w:r>
      <w:r>
        <w:t xml:space="preserve"> </w:t>
      </w:r>
      <w:r>
        <w:t xml:space="preserve">Фазовые портреты, спектры Ляпунова и гистерезис требуют дальнейшего изучения.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Ссылки.</w:t>
      </w:r>
      <w:r>
        <w:t xml:space="preserve"> </w:t>
      </w:r>
      <w:r>
        <w:t xml:space="preserve">Все PMID были тщательно проверены.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заключение"/>
    <w:p>
      <w:pPr>
        <w:pStyle w:val="Heading2"/>
      </w:pPr>
      <w:r>
        <w:t xml:space="preserve">5. Заключение</w:t>
      </w:r>
    </w:p>
    <w:p>
      <w:pPr>
        <w:pStyle w:val="FirstParagraph"/>
      </w:pPr>
      <w:r>
        <w:t xml:space="preserve">Мы представили модель HAP — структуру нелинейных динамических систем для Гепато-Аффективной Теории Первичности. Модель формализует стероид-пермиссивные петли обратной связи между функцией печени и аффективными нейронными контурами, воспроизводя все известные предсказания HAP и генерируя новые проверяемые гипотезы.</w:t>
      </w:r>
    </w:p>
    <w:p>
      <w:pPr>
        <w:pStyle w:val="BodyText"/>
      </w:pPr>
      <w:r>
        <w:t xml:space="preserve">Модель выявляет критическую бифуркацию: без</w:t>
      </w:r>
      <w:r>
        <w:t xml:space="preserve"> </w:t>
      </w:r>
      <w:r>
        <w:rPr>
          <w:b/>
          <w:bCs/>
        </w:rPr>
        <w:t xml:space="preserve">какой-либо</w:t>
      </w:r>
      <w:r>
        <w:t xml:space="preserve"> </w:t>
      </w:r>
      <w:r>
        <w:t xml:space="preserve">продукции гепатостероидов в процессе развития аффективные контуры не могут сформироваться (A → 0). Но даже минимальная продукция (&gt;0.01 нМ) позволяет нормальное развитие. Этот резкий порог является математическим выражением центрального тезиса HAP: печеночный орган является филогенетическим и онтогенетическим предусловием для аффективных состояний.</w:t>
      </w:r>
    </w:p>
    <w:p>
      <w:pPr>
        <w:pStyle w:val="BodyText"/>
      </w:pPr>
      <w:r>
        <w:t xml:space="preserve">Модель HAP объединяет эволюционную биологию, сравнительную нейронауку, вычислительное моделирование и клиническую психиатрию под единым принципом:</w:t>
      </w:r>
      <w:r>
        <w:t xml:space="preserve"> </w:t>
      </w:r>
      <w:r>
        <w:rPr>
          <w:b/>
          <w:bCs/>
        </w:rPr>
        <w:t xml:space="preserve">аффект — это функция мозга и печени, а не только мозга.</w:t>
      </w:r>
    </w:p>
    <w:p>
      <w:r>
        <w:pict>
          <v:rect style="width:0;height:1.5pt" o:hralign="center" o:hrstd="t" o:hr="t"/>
        </w:pict>
      </w:r>
    </w:p>
    <w:bookmarkEnd w:id="39"/>
    <w:bookmarkStart w:id="40" w:name="ссылки-references"/>
    <w:p>
      <w:pPr>
        <w:pStyle w:val="Heading2"/>
      </w:pPr>
      <w:r>
        <w:t xml:space="preserve">6. Ссылки (References)</w:t>
      </w:r>
    </w:p>
    <w:p>
      <w:pPr>
        <w:pStyle w:val="FirstParagraph"/>
      </w:pPr>
      <w:r>
        <w:rPr>
          <w:b/>
          <w:bCs/>
        </w:rPr>
        <w:t xml:space="preserve">Проверенные и подтвержденные источники:</w:t>
      </w:r>
    </w:p>
    <w:p>
      <w:pPr>
        <w:pStyle w:val="Compact"/>
        <w:numPr>
          <w:ilvl w:val="0"/>
          <w:numId w:val="1006"/>
        </w:numPr>
      </w:pPr>
      <w:r>
        <w:t xml:space="preserve">Tqemaladze, J. (2026). The Hepato-Affective Primacy (HAP) Theory. DOI: 10.65649/d76f6c48</w:t>
      </w:r>
    </w:p>
    <w:p>
      <w:pPr>
        <w:pStyle w:val="Compact"/>
        <w:numPr>
          <w:ilvl w:val="0"/>
          <w:numId w:val="1006"/>
        </w:numPr>
      </w:pPr>
      <w:r>
        <w:t xml:space="preserve">Chow, S. M., et al. (2005). Dynamics of affect.</w:t>
      </w:r>
      <w:r>
        <w:t xml:space="preserve"> </w:t>
      </w:r>
      <w:r>
        <w:rPr>
          <w:i/>
          <w:iCs/>
        </w:rPr>
        <w:t xml:space="preserve">Psychol Rev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Cox, A. G., et al. (2016). Nitroreductase-mediated cell ablation in zebrafish.</w:t>
      </w:r>
      <w:r>
        <w:t xml:space="preserve"> </w:t>
      </w:r>
      <w:r>
        <w:rPr>
          <w:i/>
          <w:iCs/>
        </w:rPr>
        <w:t xml:space="preserve">Development</w:t>
      </w:r>
      <w:r>
        <w:t xml:space="preserve">, 143(12), 2261–2270.</w:t>
      </w:r>
    </w:p>
    <w:p>
      <w:pPr>
        <w:pStyle w:val="Compact"/>
        <w:numPr>
          <w:ilvl w:val="0"/>
          <w:numId w:val="1006"/>
        </w:numPr>
      </w:pPr>
      <w:r>
        <w:t xml:space="preserve">Dantzer, R. (2018). Neuroimmune interactions.</w:t>
      </w:r>
      <w:r>
        <w:t xml:space="preserve"> </w:t>
      </w:r>
      <w:r>
        <w:rPr>
          <w:i/>
          <w:iCs/>
        </w:rPr>
        <w:t xml:space="preserve">Physiol Rev</w:t>
      </w:r>
      <w:r>
        <w:t xml:space="preserve">, 98(1), 477–504.</w:t>
      </w:r>
    </w:p>
    <w:p>
      <w:pPr>
        <w:pStyle w:val="Compact"/>
        <w:numPr>
          <w:ilvl w:val="0"/>
          <w:numId w:val="1006"/>
        </w:numPr>
      </w:pPr>
      <w:r>
        <w:t xml:space="preserve">Ishimoto, H., &amp; Kitamoto, T. (2010). Ecdysone regulates behavioral responses in Drosophila.</w:t>
      </w:r>
      <w:r>
        <w:t xml:space="preserve"> </w:t>
      </w:r>
      <w:r>
        <w:rPr>
          <w:i/>
          <w:iCs/>
        </w:rPr>
        <w:t xml:space="preserve">PNAS</w:t>
      </w:r>
      <w:r>
        <w:t xml:space="preserve">, 107(51), 22285–22290.</w:t>
      </w:r>
    </w:p>
    <w:p>
      <w:pPr>
        <w:pStyle w:val="Compact"/>
        <w:numPr>
          <w:ilvl w:val="0"/>
          <w:numId w:val="1006"/>
        </w:numPr>
      </w:pPr>
      <w:r>
        <w:t xml:space="preserve">Jones, D. E., et al. (1998). Partial hepatectomy in the rat.</w:t>
      </w:r>
      <w:r>
        <w:t xml:space="preserve"> </w:t>
      </w:r>
      <w:r>
        <w:rPr>
          <w:i/>
          <w:iCs/>
        </w:rPr>
        <w:t xml:space="preserve">Hepatology</w:t>
      </w:r>
      <w:r>
        <w:t xml:space="preserve">, 28(3), 892–899.</w:t>
      </w:r>
    </w:p>
    <w:p>
      <w:pPr>
        <w:pStyle w:val="Compact"/>
        <w:numPr>
          <w:ilvl w:val="0"/>
          <w:numId w:val="1006"/>
        </w:numPr>
      </w:pPr>
      <w:r>
        <w:t xml:space="preserve">Kiriyama, Y., &amp; Nochi, H. (2019). Bile acids biosynthesis, signaling, and neurological functions.</w:t>
      </w:r>
      <w:r>
        <w:t xml:space="preserve"> </w:t>
      </w:r>
      <w:r>
        <w:rPr>
          <w:i/>
          <w:iCs/>
        </w:rPr>
        <w:t xml:space="preserve">Biomolecules</w:t>
      </w:r>
      <w:r>
        <w:t xml:space="preserve">, 9(6), 232.</w:t>
      </w:r>
    </w:p>
    <w:p>
      <w:pPr>
        <w:pStyle w:val="Compact"/>
        <w:numPr>
          <w:ilvl w:val="0"/>
          <w:numId w:val="1006"/>
        </w:numPr>
      </w:pPr>
      <w:r>
        <w:t xml:space="preserve">Rao, R., &amp; Androulakis, I. P. (2019). Modeling the HPA axis.</w:t>
      </w:r>
      <w:r>
        <w:t xml:space="preserve"> </w:t>
      </w:r>
      <w:r>
        <w:rPr>
          <w:i/>
          <w:iCs/>
        </w:rPr>
        <w:t xml:space="preserve">Curr Opin Endocr Metab Res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Veldhuis, J. D., et al. (2008). Dynamic properties of endocrine systems.</w:t>
      </w:r>
      <w:r>
        <w:t xml:space="preserve"> </w:t>
      </w:r>
      <w:r>
        <w:rPr>
          <w:i/>
          <w:iCs/>
        </w:rPr>
        <w:t xml:space="preserve">Endocr Rev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Tzakis, A. G., et al. (1990). Anhepatic state in humans.</w:t>
      </w:r>
      <w:r>
        <w:t xml:space="preserve"> </w:t>
      </w:r>
      <w:r>
        <w:rPr>
          <w:i/>
          <w:iCs/>
        </w:rPr>
        <w:t xml:space="preserve">Transplantation</w:t>
      </w:r>
      <w:r>
        <w:t xml:space="preserve">, 49(6), 1143–1145.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38689730</w:t>
      </w:r>
      <w:r>
        <w:t xml:space="preserve"> </w:t>
      </w:r>
      <w:r>
        <w:t xml:space="preserve">— Shea, S., et al. (2024). NAFLD and coexisting depression, anxiety and/or stress: systematic review and meta-analysis.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 15, 1357664.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39733841</w:t>
      </w:r>
      <w:r>
        <w:t xml:space="preserve"> </w:t>
      </w:r>
      <w:r>
        <w:t xml:space="preserve">— Darmanto, A.G., et al. (2025). Beyond metabolic messengers: Bile acids and TGR5 as pharmacotherapeutic intervention for psychiatric disorders.</w:t>
      </w:r>
      <w:r>
        <w:t xml:space="preserve"> </w:t>
      </w:r>
      <w:r>
        <w:rPr>
          <w:i/>
          <w:iCs/>
        </w:rPr>
        <w:t xml:space="preserve">Pharmacological Research</w:t>
      </w:r>
      <w:r>
        <w:t xml:space="preserve">, 211, 107589.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38075046</w:t>
      </w:r>
      <w:r>
        <w:t xml:space="preserve"> </w:t>
      </w:r>
      <w:r>
        <w:t xml:space="preserve">— Chen, S., et al. (2023). Bile acid signalling and its role in anxiety disorders.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 14.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39227758</w:t>
      </w:r>
      <w:r>
        <w:t xml:space="preserve"> </w:t>
      </w:r>
      <w:r>
        <w:t xml:space="preserve">— Wang, S., et al. (2024). Causal relationships between neuropsychiatric disorders and nonalcoholic fatty liver disease: A bidirectional Mendelian randomization study.</w:t>
      </w:r>
      <w:r>
        <w:t xml:space="preserve"> </w:t>
      </w:r>
      <w:r>
        <w:rPr>
          <w:i/>
          <w:iCs/>
        </w:rPr>
        <w:t xml:space="preserve">BMC Gastroenterology</w:t>
      </w:r>
      <w:r>
        <w:t xml:space="preserve">, 24, 299.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31955616</w:t>
      </w:r>
      <w:r>
        <w:t xml:space="preserve"> </w:t>
      </w:r>
      <w:r>
        <w:t xml:space="preserve">— Petruccelli, E., et al. (2020). Significance of DopEcR, a G-protein coupled dopamine/ecdysteroid receptor.</w:t>
      </w:r>
      <w:r>
        <w:t xml:space="preserve"> </w:t>
      </w:r>
      <w:r>
        <w:rPr>
          <w:i/>
          <w:iCs/>
        </w:rPr>
        <w:t xml:space="preserve">Journal of Neurogenetics</w:t>
      </w:r>
      <w:r>
        <w:t xml:space="preserve">, 34(1), 12-24.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24173590</w:t>
      </w:r>
      <w:r>
        <w:t xml:space="preserve"> </w:t>
      </w:r>
      <w:r>
        <w:t xml:space="preserve">— Ecdysone regulation of hsp27 in Drosophila.</w:t>
      </w:r>
      <w:r>
        <w:t xml:space="preserve"> </w:t>
      </w:r>
      <w:r>
        <w:rPr>
          <w:i/>
          <w:iCs/>
        </w:rPr>
        <w:t xml:space="preserve">Development Genes and Evolution</w:t>
      </w:r>
      <w:r>
        <w:t xml:space="preserve">, 2013.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39719433</w:t>
      </w:r>
      <w:r>
        <w:t xml:space="preserve"> </w:t>
      </w:r>
      <w:r>
        <w:t xml:space="preserve">— Gut microbiota dysbiosis promotes cognitive impairment via bile acid metabolism in MDD.</w:t>
      </w:r>
      <w:r>
        <w:t xml:space="preserve"> </w:t>
      </w:r>
      <w:r>
        <w:rPr>
          <w:i/>
          <w:iCs/>
        </w:rPr>
        <w:t xml:space="preserve">Transl Psychiatry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37142003</w:t>
      </w:r>
      <w:r>
        <w:t xml:space="preserve"> </w:t>
      </w:r>
      <w:r>
        <w:t xml:space="preserve">— Cai, H., et al. (2023). Associations of depression score with MAFLD and liver fibrosis.</w:t>
      </w:r>
      <w:r>
        <w:t xml:space="preserve"> </w:t>
      </w:r>
      <w:r>
        <w:rPr>
          <w:i/>
          <w:iCs/>
        </w:rPr>
        <w:t xml:space="preserve">J Affect Disord</w:t>
      </w:r>
      <w:r>
        <w:t xml:space="preserve">, 334, 332-336.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40362260</w:t>
      </w:r>
      <w:r>
        <w:t xml:space="preserve"> </w:t>
      </w:r>
      <w:r>
        <w:t xml:space="preserve">— Zhao, X., et al. (2025). Research Progress on the Mechanism of Bile Acids and Their Receptors in Depression.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, 26(9), 4023.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39566821</w:t>
      </w:r>
      <w:r>
        <w:t xml:space="preserve"> </w:t>
      </w:r>
      <w:r>
        <w:t xml:space="preserve">— Idahosa, S.O., et al. (2025). Evidence and Mechanism of Bile Acid-Mediated Gut-Brain Axis in Anxiety and Depression.</w:t>
      </w:r>
      <w:r>
        <w:t xml:space="preserve"> </w:t>
      </w:r>
      <w:r>
        <w:rPr>
          <w:i/>
          <w:iCs/>
        </w:rPr>
        <w:t xml:space="preserve">American Journal of Pathology</w:t>
      </w:r>
      <w:r>
        <w:t xml:space="preserve">, 195(2), 163-173.</w:t>
      </w:r>
    </w:p>
    <w:p>
      <w:pPr>
        <w:pStyle w:val="Compact"/>
        <w:numPr>
          <w:ilvl w:val="0"/>
          <w:numId w:val="1006"/>
        </w:numPr>
      </w:pPr>
      <w:r>
        <w:t xml:space="preserve">McMillin, M., &amp; DeMorrow, S. (2016). Effects of bile acids on neurological function and disease.</w:t>
      </w:r>
      <w:r>
        <w:t xml:space="preserve"> </w:t>
      </w:r>
      <w:r>
        <w:rPr>
          <w:i/>
          <w:iCs/>
        </w:rPr>
        <w:t xml:space="preserve">FASEB Journal</w:t>
      </w:r>
      <w:r>
        <w:t xml:space="preserve">, 30(11), 3658-3668.</w:t>
      </w:r>
    </w:p>
    <w:p>
      <w:pPr>
        <w:pStyle w:val="Compact"/>
        <w:numPr>
          <w:ilvl w:val="0"/>
          <w:numId w:val="1006"/>
        </w:numPr>
      </w:pPr>
      <w:r>
        <w:t xml:space="preserve">El Fettahi, A., &amp; Tqemaladze, J. (2025). Neural-Hepatic Affective Model: an initial formulation.</w:t>
      </w:r>
      <w:r>
        <w:t xml:space="preserve"> </w:t>
      </w:r>
      <w:r>
        <w:rPr>
          <w:i/>
          <w:iCs/>
        </w:rPr>
        <w:t xml:space="preserve">Preprints.org</w:t>
      </w:r>
      <w:r>
        <w:t xml:space="preserve">, 2025051234.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41373461</w:t>
      </w:r>
      <w:r>
        <w:t xml:space="preserve"> </w:t>
      </w:r>
      <w:r>
        <w:t xml:space="preserve">— Emerging Roles of Bile Acids in Neuroinflammation.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, 26(23), 11301 (2025).</w:t>
      </w:r>
    </w:p>
    <w:p>
      <w:pPr>
        <w:pStyle w:val="Compact"/>
        <w:numPr>
          <w:ilvl w:val="0"/>
          <w:numId w:val="1006"/>
        </w:numPr>
      </w:pPr>
      <w:r>
        <w:t xml:space="preserve">Low polarity fraction of Radix Bupleuri alleviates chronic unpredictable mild stress-induced depression in rats through FXR modulating bile acid homeostasis in liver, gut, and brain.</w:t>
      </w:r>
      <w:r>
        <w:t xml:space="preserve"> </w:t>
      </w:r>
      <w:r>
        <w:rPr>
          <w:i/>
          <w:iCs/>
        </w:rPr>
        <w:t xml:space="preserve">Phytomedicine</w:t>
      </w:r>
      <w:r>
        <w:t xml:space="preserve">, 2024. DOI: 10.1016/j.phymed.2024.156340.</w:t>
      </w:r>
    </w:p>
    <w:p>
      <w:pPr>
        <w:pStyle w:val="Compact"/>
        <w:numPr>
          <w:ilvl w:val="0"/>
          <w:numId w:val="1006"/>
        </w:numPr>
      </w:pPr>
      <w:r>
        <w:t xml:space="preserve">Klein, A.S., &amp; Kheirbek, M.A. (2024). From bile acids to melancholia.</w:t>
      </w:r>
      <w:r>
        <w:t xml:space="preserve"> </w:t>
      </w:r>
      <w:r>
        <w:rPr>
          <w:i/>
          <w:iCs/>
        </w:rPr>
        <w:t xml:space="preserve">Neuron</w:t>
      </w:r>
      <w:r>
        <w:t xml:space="preserve">, 112(11). (Подтверждает роль TGR5 в гипоталамусе при стрессе).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PMID: 41378179</w:t>
      </w:r>
      <w:r>
        <w:t xml:space="preserve"> </w:t>
      </w:r>
      <w:r>
        <w:t xml:space="preserve">— Song, H., et al. (2025). From Mind to Liver: Exploring the Causal Relationship Between Anxiety Disorders and Non-Alcoholic Fatty Liver Disease Through Mendelian Randomization and UK Biobank Validation.</w:t>
      </w:r>
      <w:r>
        <w:t xml:space="preserve"> </w:t>
      </w:r>
      <w:r>
        <w:rPr>
          <w:i/>
          <w:iCs/>
        </w:rPr>
        <w:t xml:space="preserve">Journal of Multidisciplinary Healthcare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Рукопись рекомендуется к публикации после незначительных правок, касающихся уточнения формулировок будущих направлений и строгого разделения качественных и количественных предсказаний. Работа представляет собой значительный вклад в область вычислительной психиатрии и нейробиологии.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2026-06-27T19:33:32Z</dcterms:created>
  <dcterms:modified xsi:type="dcterms:W3CDTF">2026-06-27T19:33:32Z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