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Email to Fraunhofer IESE — FINAL (ready to send)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TO: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joerg.doerr@iese.fraunhofer.de (Dr. Jörg Dörr, Institute Management)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CC: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info@iese.fraunhofer.de (general projects office)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FROM: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jaba@longevity.ge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DATE: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2026-04-17 or 2026-04-18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Subject: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EIC Pathfinder Open 2026 Partnership Request — Federated Learning for CommonHealth (LoI needed by 25 April)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Dear Dr. Dörr,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My name is Dr. Jaba Tkemaladze, a physician-scientist with over 150 peer-reviewed publications and Editor-in-Chief of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  <w:r>
        <w:rPr>
          <w:rFonts w:ascii="Cambria" w:hAnsi="Cambria" w:cs="Cambria" w:eastAsia="Cambria"/>
          <w:sz w:val="22"/>
        </w:rPr>
        <w:t xml:space="preserve">. I am writing to you specifically because of Fraunhofer IESE’s recognized expertise in software engineering for Digital Health and medical AI compliance — capabilities that are central to a project we are coordinating for the EIC Pathfinder Open 2026 call.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Our consortium is preparing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“CommonHealth”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a €3M, 36-month Integrated Longevity Research Platform, structured around five interdependent work packages. The cornerstone is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WP1: the Federated Clinical Learning Cooperative (FCLC)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a privacy-preserving federated learning infrastructure with differential privacy (ε ≤ 1.0), secure aggregation (SecAgg+), and end-to-end encryption, designed for multi-institutional clinical data analysis. We seek a leading EU technical partner to provide authoritative technical advisory and co-develop the medical-AI-compliant production stack. Fraunhofer IESE’s combined strength in production-grade software engineering and regulatory alignment for medical AI makes your institute an ideal partner for this role.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Our immediate, non-binding request is for a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one-page Letter of Support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from Fraunhofer IESE, confirming your technical interest and potential availability as a WP1 co-lead partner, to be submitted with our proposal by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25 April 2026</w:t>
      </w:r>
      <w:r>
        <w:rPr>
          <w:rFonts w:ascii="Cambria" w:hAnsi="Cambria" w:cs="Cambria" w:eastAsia="Cambria"/>
          <w:sz w:val="22"/>
        </w:rPr>
        <w:t xml:space="preserve">. This LoI entails no commitment beyond expressing interest at the proposal stage.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Could we schedule a brief 20-minute Zoom call this week or early next week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to discuss technical alignment? Please reply with your availability, and I will accommodate your timezone.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Attached: (1) a one-page CommonHealth Concept Note, (2) the draft WP1 scope description. I believe this aligns strongly with IESE’s strategic focus on Digital Health and AI-based software for medical data (e.g., FHIR-Starter).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Thank you for your time. I look forward to your response.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Sincerely,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Dr. Jaba Tkemaladze, MD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President, NGO Georgia Longevity Alliance (Reg. №404506520)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Host Institution for EIC Pathfinder — Georgia (Horizon Europe Associated Country)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Editor-in-Chief,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Email: jaba@longevity.ge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WhatsApp/Mobile: +995 555 185 161 (Tbilisi, GMT+4)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Google Scholar: https://scholar.google.com/citations?user=PDbhE00AAAAJ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Attachments: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CommonHealth_ConceptNote.pdf (1 page)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CommonHealth_WP1_FCLC_FraunhoferDraft.pdf (1 page)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Pre-send checklist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Attachments подготовлены (CommonHealth_ConceptNote.pdf, WP1_FCLC_FraunhoferDraft.pdf)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Проверить jorg.doerr@iese.fraunhofer.de (или joerg.doerr) через веб-страницу IESE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Отправить до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18 апреля 2026 (суббота)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чтобы Fraunhofer успел ответить к 25 апр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2026-04-17T10:35:35Z</dcterms:created>
  <dcterms:modified xsi:type="dcterms:W3CDTF">2026-04-17T10:35:35Z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