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240" w:after="120" w:line="276" w:lineRule="auto"/>
        <w:jc w:val="left"/>
      </w:pPr>
      <w:r>
        <w:rPr>
          <w:rFonts w:ascii="Calibri" w:hAnsi="Calibri" w:cs="Calibri" w:eastAsia="Calibri"/>
          <w:b/>
          <w:color w:val="17365D"/>
          <w:sz w:val="52"/>
        </w:rPr>
        <w:t xml:space="preserve">CommonHealth — News &amp; Science Feed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Дата обновления: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2026-04-10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b/>
          <w:bCs/>
          <w:sz w:val="22"/>
        </w:rPr>
        <w:t xml:space="preserve">Статус: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ЯДРО · не публиковать в public git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b/>
          <w:bCs/>
          <w:sz w:val="22"/>
        </w:rPr>
        <w:t xml:space="preserve">Назначение: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агрегатор свежих научных новостей для обогащения всей экосистемы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Как использовать этот файл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Обновлять при каждой сессии (поиск свежих статей)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Находки тематически дублируются в KNOWLEDGE.md соответствующего подпроекта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Формат: дата · источник · тезис · связь с CommonHealth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Апрель 2026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[ОБЩЕЕ] Citizen Science и здоровье в 2026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Источники: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hyperlink r:id="rId10">
        <w:r>
          <w:rPr>
            <w:rStyle w:val="Hyperlink"/>
          </w:rPr>
          <w:t xml:space="preserve">The Rise of Citizen Science in Health Research — Tandfonline</w:t>
        </w:r>
      </w:hyperlink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hyperlink r:id="rId11">
        <w:r>
          <w:rPr>
            <w:rStyle w:val="Hyperlink"/>
          </w:rPr>
          <w:t xml:space="preserve">Citizen Health Science: Foundations of a New Data Science Arena — PMC</w:t>
        </w:r>
      </w:hyperlink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hyperlink r:id="rId12">
        <w:r>
          <w:rPr>
            <w:rStyle w:val="Hyperlink"/>
          </w:rPr>
          <w:t xml:space="preserve">Patient-Powered Digital Health 2026 — DCI Network</w:t>
        </w:r>
      </w:hyperlink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hyperlink r:id="rId13">
        <w:r>
          <w:rPr>
            <w:rStyle w:val="Hyperlink"/>
          </w:rPr>
          <w:t xml:space="preserve">Digital Citizen Science Observatory — Frontiers</w:t>
        </w:r>
      </w:hyperlink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Ключевые тезисы: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Citizen science получает признание в public health, urban health, policy-making как «bottom-up» подход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Digital Citizen Science Observatory (DiScO): цель — трансформация систем здравоохранения через этически собранные данные граждан → поддержка принятия решений на уровне policy и пациента одновременно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08.04.2026: UNC Chapel Hill + UNC Health запустили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SHIRE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(Secure Health Informatics Research Environment) — облачная платформа для ответственного AI с real-world clinical data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OpenAI и Anthropic объявили возможность синхронизации личных health data с ChatGPT/Claude — показатель растущего спроса на «персонального медицинского ассистента»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Связь с CommonHealth: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&gt; CommonHealth строится на той же концепции — пациент как субъект исследования, а не объект. DiScO и SHIRE — институциональное подтверждение правильности вектора. Ze·Guide + Lab = реализация citizen science внутри экосистемы.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[ОБЩЕЕ] Права пациентов на данные и Longevity Medicine 2026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Источники:</w:t>
      </w:r>
    </w:p>
    <w:p>
      <w:pPr>
        <w:pStyle w:val="Compact"/>
        <w:numPr>
          <w:ilvl w:val="0"/>
          <w:numId w:val="1004"/>
        </w:numPr>
        <w:spacing w:before="0" w:after="200" w:line="276" w:lineRule="auto"/>
        <w:jc w:val="both"/>
      </w:pPr>
      <w:hyperlink r:id="rId15">
        <w:r>
          <w:rPr>
            <w:rStyle w:val="Hyperlink"/>
          </w:rPr>
          <w:t xml:space="preserve">2026 — The Longevity Medicine Manifesto — David Luu</w:t>
        </w:r>
      </w:hyperlink>
    </w:p>
    <w:p>
      <w:pPr>
        <w:pStyle w:val="Compact"/>
        <w:numPr>
          <w:ilvl w:val="0"/>
          <w:numId w:val="1004"/>
        </w:numPr>
        <w:spacing w:before="0" w:after="200" w:line="276" w:lineRule="auto"/>
        <w:jc w:val="both"/>
      </w:pPr>
      <w:hyperlink r:id="rId16">
        <w:r>
          <w:rPr>
            <w:rStyle w:val="Hyperlink"/>
          </w:rPr>
          <w:t xml:space="preserve">Patient Data Ownership — Oxford JLB</w:t>
        </w:r>
      </w:hyperlink>
    </w:p>
    <w:p>
      <w:pPr>
        <w:pStyle w:val="Compact"/>
        <w:numPr>
          <w:ilvl w:val="0"/>
          <w:numId w:val="1004"/>
        </w:numPr>
        <w:spacing w:before="0" w:after="200" w:line="276" w:lineRule="auto"/>
        <w:jc w:val="both"/>
      </w:pPr>
      <w:hyperlink r:id="rId17">
        <w:r>
          <w:rPr>
            <w:rStyle w:val="Hyperlink"/>
          </w:rPr>
          <w:t xml:space="preserve">Ownership of Health Data, Sharing, and Governance — BMC Medical Ethics</w:t>
        </w:r>
      </w:hyperlink>
    </w:p>
    <w:p>
      <w:pPr>
        <w:pStyle w:val="Compact"/>
        <w:numPr>
          <w:ilvl w:val="0"/>
          <w:numId w:val="1004"/>
        </w:numPr>
        <w:spacing w:before="0" w:after="200" w:line="276" w:lineRule="auto"/>
        <w:jc w:val="both"/>
      </w:pPr>
      <w:hyperlink r:id="rId18">
        <w:r>
          <w:rPr>
            <w:rStyle w:val="Hyperlink"/>
          </w:rPr>
          <w:t xml:space="preserve">Recent Digital Health Trends February 2026 — OpenLoop Health</w:t>
        </w:r>
      </w:hyperlink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Ключевые тезисы:</w:t>
      </w:r>
    </w:p>
    <w:p>
      <w:pPr>
        <w:pStyle w:val="Compact"/>
        <w:numPr>
          <w:ilvl w:val="0"/>
          <w:numId w:val="1005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В 2026 году сеть 500+ врачей в 50+ странах формирует «Longevity Medicine Manifesto» — 5 элементов: клинические стандарты, real-world outcomes data, управление без коммерческого влияния, инфраструктура для медицинских карьер, критическая масса обученных специалистов</w:t>
      </w:r>
    </w:p>
    <w:p>
      <w:pPr>
        <w:pStyle w:val="Compact"/>
        <w:numPr>
          <w:ilvl w:val="0"/>
          <w:numId w:val="1005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Дебаты об «ownership» здоровых данных: ни частная, ни публичная модель не решает задачу полностью — акцент смещается на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Data Access Committees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и процедурные механизмы</w:t>
      </w:r>
    </w:p>
    <w:p>
      <w:pPr>
        <w:pStyle w:val="Compact"/>
        <w:numPr>
          <w:ilvl w:val="0"/>
          <w:numId w:val="1005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Консенсус 2026: нужны прозрачные universal privacy policies, охватывающие сбор, хранение, передачу и ownership raw data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Связь с CommonHealth: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&gt; FCLC + 5-уровневый privacy stack напрямую решает этот вопрос. Данные остаются у пользователя, агрегируются криптографически — не продаются. CommonHealth Pro = модель, где платформа зарабатывает на здоровье людей, а не на их данных.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[FCLC] Федеративное обучение и приватность в здравоохранении 2026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Источники:</w:t>
      </w:r>
    </w:p>
    <w:p>
      <w:pPr>
        <w:pStyle w:val="Compact"/>
        <w:numPr>
          <w:ilvl w:val="0"/>
          <w:numId w:val="1006"/>
        </w:numPr>
        <w:spacing w:before="0" w:after="200" w:line="276" w:lineRule="auto"/>
        <w:jc w:val="both"/>
      </w:pPr>
      <w:hyperlink r:id="rId20">
        <w:r>
          <w:rPr>
            <w:rStyle w:val="Hyperlink"/>
          </w:rPr>
          <w:t xml:space="preserve">Securing FL with Blockchain in Medical Field — JMIR 2026</w:t>
        </w:r>
      </w:hyperlink>
    </w:p>
    <w:p>
      <w:pPr>
        <w:pStyle w:val="Compact"/>
        <w:numPr>
          <w:ilvl w:val="0"/>
          <w:numId w:val="1006"/>
        </w:numPr>
        <w:spacing w:before="0" w:after="200" w:line="276" w:lineRule="auto"/>
        <w:jc w:val="both"/>
      </w:pPr>
      <w:hyperlink r:id="rId21">
        <w:r>
          <w:rPr>
            <w:rStyle w:val="Hyperlink"/>
          </w:rPr>
          <w:t xml:space="preserve">Federated Learning 2026: Privacy-First AI — Programming Helper</w:t>
        </w:r>
      </w:hyperlink>
    </w:p>
    <w:p>
      <w:pPr>
        <w:pStyle w:val="Compact"/>
        <w:numPr>
          <w:ilvl w:val="0"/>
          <w:numId w:val="1006"/>
        </w:numPr>
        <w:spacing w:before="0" w:after="200" w:line="276" w:lineRule="auto"/>
        <w:jc w:val="both"/>
      </w:pPr>
      <w:hyperlink r:id="rId22">
        <w:r>
          <w:rPr>
            <w:rStyle w:val="Hyperlink"/>
          </w:rPr>
          <w:t xml:space="preserve">Federated Microservices + Blockchain — Nature Scientific Reports 2026</w:t>
        </w:r>
      </w:hyperlink>
    </w:p>
    <w:p>
      <w:pPr>
        <w:pStyle w:val="Compact"/>
        <w:numPr>
          <w:ilvl w:val="0"/>
          <w:numId w:val="1006"/>
        </w:numPr>
        <w:spacing w:before="0" w:after="200" w:line="276" w:lineRule="auto"/>
        <w:jc w:val="both"/>
      </w:pPr>
      <w:hyperlink r:id="rId23">
        <w:r>
          <w:rPr>
            <w:rStyle w:val="Hyperlink"/>
          </w:rPr>
          <w:t xml:space="preserve">Health-FedNet Privacy Framework — ScienceDirect 2026</w:t>
        </w:r>
      </w:hyperlink>
    </w:p>
    <w:p>
      <w:pPr>
        <w:pStyle w:val="Compact"/>
        <w:numPr>
          <w:ilvl w:val="0"/>
          <w:numId w:val="1006"/>
        </w:numPr>
        <w:spacing w:before="0" w:after="200" w:line="276" w:lineRule="auto"/>
        <w:jc w:val="both"/>
      </w:pPr>
      <w:hyperlink r:id="rId24">
        <w:r>
          <w:rPr>
            <w:rStyle w:val="Hyperlink"/>
          </w:rPr>
          <w:t xml:space="preserve">FED-EHR Decentralized Analytics — MDPI 2026</w:t>
        </w:r>
      </w:hyperlink>
    </w:p>
    <w:p>
      <w:pPr>
        <w:pStyle w:val="Compact"/>
        <w:numPr>
          <w:ilvl w:val="0"/>
          <w:numId w:val="1006"/>
        </w:numPr>
        <w:spacing w:before="0" w:after="200" w:line="276" w:lineRule="auto"/>
        <w:jc w:val="both"/>
      </w:pPr>
      <w:hyperlink r:id="rId25">
        <w:r>
          <w:rPr>
            <w:rStyle w:val="Hyperlink"/>
          </w:rPr>
          <w:t xml:space="preserve">Federated Deep Learning for IoT Healthcare — Frontiers 2026</w:t>
        </w:r>
      </w:hyperlink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Ключевые тезисы:</w:t>
      </w:r>
    </w:p>
    <w:p>
      <w:pPr>
        <w:pStyle w:val="Compact"/>
        <w:numPr>
          <w:ilvl w:val="0"/>
          <w:numId w:val="1007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Federated microservices: Kubernetes + TensorFlow Federated + Hyperledger Fabric → predictive accuracy 95.2%, API latency −42%, recovery time 10× faster vs monolithic</w:t>
      </w:r>
    </w:p>
    <w:p>
      <w:pPr>
        <w:pStyle w:val="Compact"/>
        <w:numPr>
          <w:ilvl w:val="0"/>
          <w:numId w:val="1007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Defense-in-depth: FL + Secure Enclaves + Differential Privacy — стандарт де-факто для sensitive medical data</w:t>
      </w:r>
    </w:p>
    <w:p>
      <w:pPr>
        <w:pStyle w:val="Compact"/>
        <w:numPr>
          <w:ilvl w:val="0"/>
          <w:numId w:val="1007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Secure Aggregation: сервер видит только агрегат, никогда индивидуальные апдейты</w:t>
      </w:r>
    </w:p>
    <w:p>
      <w:pPr>
        <w:pStyle w:val="Compact"/>
        <w:numPr>
          <w:ilvl w:val="0"/>
          <w:numId w:val="1007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DP + calibrated noise → математическая гарантия privacy при gradient leakage</w:t>
      </w:r>
    </w:p>
    <w:p>
      <w:pPr>
        <w:pStyle w:val="Compact"/>
        <w:numPr>
          <w:ilvl w:val="0"/>
          <w:numId w:val="1007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HIPAA + GDPR compliance теперь реализуется через federated архитектуры напрямую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→ Дублировано в FCLC/KNOWLEDGE.md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[Ze] EEG-based Brain Age Clock — прорыв 2026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Источники:</w:t>
      </w:r>
    </w:p>
    <w:p>
      <w:pPr>
        <w:pStyle w:val="Compact"/>
        <w:numPr>
          <w:ilvl w:val="0"/>
          <w:numId w:val="1008"/>
        </w:numPr>
        <w:spacing w:before="0" w:after="200" w:line="276" w:lineRule="auto"/>
        <w:jc w:val="both"/>
      </w:pPr>
      <w:hyperlink r:id="rId27">
        <w:r>
          <w:rPr>
            <w:rStyle w:val="Hyperlink"/>
          </w:rPr>
          <w:t xml:space="preserve">BrainYears: EEG Brain Age Clock — bioRxiv 2026</w:t>
        </w:r>
      </w:hyperlink>
    </w:p>
    <w:p>
      <w:pPr>
        <w:pStyle w:val="Compact"/>
        <w:numPr>
          <w:ilvl w:val="0"/>
          <w:numId w:val="1008"/>
        </w:numPr>
        <w:spacing w:before="0" w:after="200" w:line="276" w:lineRule="auto"/>
        <w:jc w:val="both"/>
      </w:pPr>
      <w:hyperlink r:id="rId28">
        <w:r>
          <w:rPr>
            <w:rStyle w:val="Hyperlink"/>
          </w:rPr>
          <w:t xml:space="preserve">Wearable Aging Clock — Nature Communications 2025</w:t>
        </w:r>
      </w:hyperlink>
    </w:p>
    <w:p>
      <w:pPr>
        <w:pStyle w:val="Compact"/>
        <w:numPr>
          <w:ilvl w:val="0"/>
          <w:numId w:val="1008"/>
        </w:numPr>
        <w:spacing w:before="0" w:after="200" w:line="276" w:lineRule="auto"/>
        <w:jc w:val="both"/>
      </w:pPr>
      <w:hyperlink r:id="rId29">
        <w:r>
          <w:rPr>
            <w:rStyle w:val="Hyperlink"/>
          </w:rPr>
          <w:t xml:space="preserve">WHOOP 2026 Health Report: Rise of Healthspan — The Manual</w:t>
        </w:r>
      </w:hyperlink>
    </w:p>
    <w:p>
      <w:pPr>
        <w:pStyle w:val="Compact"/>
        <w:numPr>
          <w:ilvl w:val="0"/>
          <w:numId w:val="1008"/>
        </w:numPr>
        <w:spacing w:before="0" w:after="200" w:line="276" w:lineRule="auto"/>
        <w:jc w:val="both"/>
      </w:pPr>
      <w:hyperlink r:id="rId30">
        <w:r>
          <w:rPr>
            <w:rStyle w:val="Hyperlink"/>
          </w:rPr>
          <w:t xml:space="preserve">HRV-CV as Digital Biomarker 2026 — Science for ME</w:t>
        </w:r>
      </w:hyperlink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Ключевые тезисы:</w:t>
      </w:r>
    </w:p>
    <w:p>
      <w:pPr>
        <w:pStyle w:val="Compact"/>
        <w:numPr>
          <w:ilvl w:val="0"/>
          <w:numId w:val="1009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BrainYears (bioRxiv, март 2026):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EEG brain age clock на ML — Pearson r =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0.92</w:t>
      </w:r>
      <w:r>
        <w:rPr>
          <w:rFonts w:ascii="Cambria" w:hAnsi="Cambria" w:cs="Cambria" w:eastAsia="Cambria"/>
          <w:sz w:val="22"/>
        </w:rPr>
        <w:t xml:space="preserve">, MAE =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4.43 лет</w:t>
      </w:r>
      <w:r>
        <w:rPr>
          <w:rFonts w:ascii="Cambria" w:hAnsi="Cambria" w:cs="Cambria" w:eastAsia="Cambria"/>
          <w:sz w:val="22"/>
        </w:rPr>
        <w:t xml:space="preserve">. Нейромодуляционная интервенция снизила predicted brain age на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−5.18 лет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в группе. Нет MRI — только EEG. Portable, cost-effective, повторяемые измерения дома</w:t>
      </w:r>
    </w:p>
    <w:p>
      <w:pPr>
        <w:pStyle w:val="Compact"/>
        <w:numPr>
          <w:ilvl w:val="0"/>
          <w:numId w:val="1009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Nature Communications (2025):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Wearable PPG aging clock сильно ассоциирует с болезнями, поведением, продольными изменениями. Подтверждает: wearable bio-age viable</w:t>
      </w:r>
    </w:p>
    <w:p>
      <w:pPr>
        <w:pStyle w:val="Compact"/>
        <w:numPr>
          <w:ilvl w:val="0"/>
          <w:numId w:val="1009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HRV-CV (2026):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coefficient of variation HRV за ночь = scalable digital biomarker для поведенческого мониторинга, стратификации риска. Связан с алкоголем, физактивностью, качеством сна</w:t>
      </w:r>
    </w:p>
    <w:p>
      <w:pPr>
        <w:pStyle w:val="Compact"/>
        <w:numPr>
          <w:ilvl w:val="0"/>
          <w:numId w:val="1009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WHOOP Age: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9 параметров (sleep consistency, HRV, time in HR zones и др.) → biological age. Массовый продукт, подтверждающий рыночный спрос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Связь с Ze: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&gt; BrainYears (r=0.92, MAE=4.43 лет) — прямой конкурент/валидатор χ_Ze. Chi_Ze даёт R²=0.84 на EEG+HRV. BrainYears — чисто EEG r=0.92. Нужно: 1) позиционировать χ_Ze как более интерпретируемый (физический смысл vs black-box ML); 2) WHOOP Age = доказательство рынка.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→ Дублировано в Ze/KNOWLEDGE.md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[BioSense] Wearable EEG/HRV для longevity 2026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Источники:</w:t>
      </w:r>
    </w:p>
    <w:p>
      <w:pPr>
        <w:pStyle w:val="Compact"/>
        <w:numPr>
          <w:ilvl w:val="0"/>
          <w:numId w:val="1010"/>
        </w:numPr>
        <w:spacing w:before="0" w:after="200" w:line="276" w:lineRule="auto"/>
        <w:jc w:val="both"/>
      </w:pPr>
      <w:hyperlink r:id="rId32">
        <w:r>
          <w:rPr>
            <w:rStyle w:val="Hyperlink"/>
          </w:rPr>
          <w:t xml:space="preserve">Wearable EEG for MCI Detection — npj Digital Medicine 2026</w:t>
        </w:r>
      </w:hyperlink>
    </w:p>
    <w:p>
      <w:pPr>
        <w:pStyle w:val="Compact"/>
        <w:numPr>
          <w:ilvl w:val="0"/>
          <w:numId w:val="1010"/>
        </w:numPr>
        <w:spacing w:before="0" w:after="200" w:line="276" w:lineRule="auto"/>
        <w:jc w:val="both"/>
      </w:pPr>
      <w:hyperlink r:id="rId33">
        <w:r>
          <w:rPr>
            <w:rStyle w:val="Hyperlink"/>
          </w:rPr>
          <w:t xml:space="preserve">Bioelectric Signal Healthcare Monitoring — npj Biomedical Innovations 2025</w:t>
        </w:r>
      </w:hyperlink>
    </w:p>
    <w:p>
      <w:pPr>
        <w:pStyle w:val="Compact"/>
        <w:numPr>
          <w:ilvl w:val="0"/>
          <w:numId w:val="1010"/>
        </w:numPr>
        <w:spacing w:before="0" w:after="200" w:line="276" w:lineRule="auto"/>
        <w:jc w:val="both"/>
      </w:pPr>
      <w:hyperlink r:id="rId34">
        <w:r>
          <w:rPr>
            <w:rStyle w:val="Hyperlink"/>
          </w:rPr>
          <w:t xml:space="preserve">Hume Band: Biological Age Wearable 2026 — Newswire</w:t>
        </w:r>
      </w:hyperlink>
    </w:p>
    <w:p>
      <w:pPr>
        <w:pStyle w:val="Compact"/>
        <w:numPr>
          <w:ilvl w:val="0"/>
          <w:numId w:val="1010"/>
        </w:numPr>
        <w:spacing w:before="0" w:after="200" w:line="276" w:lineRule="auto"/>
        <w:jc w:val="both"/>
      </w:pPr>
      <w:hyperlink r:id="rId35">
        <w:r>
          <w:rPr>
            <w:rStyle w:val="Hyperlink"/>
          </w:rPr>
          <w:t xml:space="preserve">10 Top HRV Biofeedback Monitors 2026 — Outliyr</w:t>
        </w:r>
      </w:hyperlink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Ключевые тезисы:</w:t>
      </w:r>
    </w:p>
    <w:p>
      <w:pPr>
        <w:pStyle w:val="Compact"/>
        <w:numPr>
          <w:ilvl w:val="0"/>
          <w:numId w:val="101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npj Digital Medicine (2026):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Wearable EEG показывает высокий потенциал как скрининговый инструмент MCI (mild cognitive impairment) — прямое измерение нейронных осцилляций и функциональной связности</w:t>
      </w:r>
    </w:p>
    <w:p>
      <w:pPr>
        <w:pStyle w:val="Compact"/>
        <w:numPr>
          <w:ilvl w:val="0"/>
          <w:numId w:val="101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Hume Band 2026: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коммерческий wearable с HRV, SpO2, sleep, temperature → longevity feedback + biological age. Рынок wearable sleep-tracking к 2026 достиг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$7B</w:t>
      </w:r>
    </w:p>
    <w:p>
      <w:pPr>
        <w:pStyle w:val="Compact"/>
        <w:numPr>
          <w:ilvl w:val="0"/>
          <w:numId w:val="101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Биоэлектрические сигналы: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multi-sensor EEG+PPG → real-time brain activity + blood flow + cognitive performance + emotional regulation — всё в одном устройстве</w:t>
      </w:r>
    </w:p>
    <w:p>
      <w:pPr>
        <w:pStyle w:val="Compact"/>
        <w:numPr>
          <w:ilvl w:val="0"/>
          <w:numId w:val="101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Основная проблема consumer EEG: overestimation sleep, underestimation wakefulness vs polysomnography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Связь с BioSense: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&gt; Hume Band — прямой аналог BioSense MVP. BioSense должен позиционироваться: 1) открытый стандарт (не закрытый Hume), 2) χ_Ze как теоретически обоснованный индекс (не proprietary black-box), 3) интеграция с CommonHealth/FCLC.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→ Дублировано в BioSense/KNOWLEDGE.md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[CDATA] Центросомы, старение и сенесценция 2025–2026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Источники:</w:t>
      </w:r>
    </w:p>
    <w:p>
      <w:pPr>
        <w:pStyle w:val="Compact"/>
        <w:numPr>
          <w:ilvl w:val="0"/>
          <w:numId w:val="1012"/>
        </w:numPr>
        <w:spacing w:before="0" w:after="200" w:line="276" w:lineRule="auto"/>
        <w:jc w:val="both"/>
      </w:pPr>
      <w:hyperlink r:id="rId37">
        <w:r>
          <w:rPr>
            <w:rStyle w:val="Hyperlink"/>
          </w:rPr>
          <w:t xml:space="preserve">Drivers of Centrosome Abnormalities: Senescence Progression and Tumor Immune Escape — ScienceDirect 2025</w:t>
        </w:r>
      </w:hyperlink>
    </w:p>
    <w:p>
      <w:pPr>
        <w:pStyle w:val="Compact"/>
        <w:numPr>
          <w:ilvl w:val="0"/>
          <w:numId w:val="1012"/>
        </w:numPr>
        <w:spacing w:before="0" w:after="200" w:line="276" w:lineRule="auto"/>
        <w:jc w:val="both"/>
      </w:pPr>
      <w:hyperlink r:id="rId38">
        <w:r>
          <w:rPr>
            <w:rStyle w:val="Hyperlink"/>
          </w:rPr>
          <w:t xml:space="preserve">PLK4: Master Regulator of Centriole Duplication — Cytoskeleton 2025</w:t>
        </w:r>
      </w:hyperlink>
    </w:p>
    <w:p>
      <w:pPr>
        <w:pStyle w:val="Compact"/>
        <w:numPr>
          <w:ilvl w:val="0"/>
          <w:numId w:val="1012"/>
        </w:numPr>
        <w:spacing w:before="0" w:after="200" w:line="276" w:lineRule="auto"/>
        <w:jc w:val="both"/>
      </w:pPr>
      <w:hyperlink r:id="rId39">
        <w:r>
          <w:rPr>
            <w:rStyle w:val="Hyperlink"/>
          </w:rPr>
          <w:t xml:space="preserve">Senescence in Cancer — Cancer Cell 2025</w:t>
        </w:r>
      </w:hyperlink>
    </w:p>
    <w:p>
      <w:pPr>
        <w:pStyle w:val="Compact"/>
        <w:numPr>
          <w:ilvl w:val="0"/>
          <w:numId w:val="1012"/>
        </w:numPr>
        <w:spacing w:before="0" w:after="200" w:line="276" w:lineRule="auto"/>
        <w:jc w:val="both"/>
      </w:pPr>
      <w:hyperlink r:id="rId40">
        <w:r>
          <w:rPr>
            <w:rStyle w:val="Hyperlink"/>
          </w:rPr>
          <w:t xml:space="preserve">Centrosome Dysfunction: Link Between Senescence and Tumor Immunity — Nature STTT</w:t>
        </w:r>
      </w:hyperlink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Ключевые тезисы:</w:t>
      </w:r>
    </w:p>
    <w:p>
      <w:pPr>
        <w:pStyle w:val="Compact"/>
        <w:numPr>
          <w:ilvl w:val="0"/>
          <w:numId w:val="101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ScienceDirect 2025: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Центросомные аберрации — hallmarks рака + сенесценции. ECASP (extra centrosome-associated secretory phenotype) через хроническую NF-κB активацию → IL-8, GDF-15, ANGPTL4. IL-8 = компонент SASP → иммуносупрессивное микроокружение</w:t>
      </w:r>
    </w:p>
    <w:p>
      <w:pPr>
        <w:pStyle w:val="Compact"/>
        <w:numPr>
          <w:ilvl w:val="0"/>
          <w:numId w:val="101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PLK4 клинические испытания (2025):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PLK4 — master regulator дупликации центриолей. Ингибитор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RP-1664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(orally bioavailable) вошёл в клинические испытания</w:t>
      </w:r>
    </w:p>
    <w:p>
      <w:pPr>
        <w:pStyle w:val="Compact"/>
        <w:numPr>
          <w:ilvl w:val="0"/>
          <w:numId w:val="101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Cancer Cell 2025: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Сенесценция играет двойную роль в предраке: сначала тумор-супрессорный барьер, потом про-туморальный PreTME через паракринный SASP</w:t>
      </w:r>
    </w:p>
    <w:p>
      <w:pPr>
        <w:pStyle w:val="Compact"/>
        <w:numPr>
          <w:ilvl w:val="0"/>
          <w:numId w:val="101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Центросомная амплификация — наиболее частый дефект в опухолях; связана с геномной нестабильностью и ускоренным старением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Связь с CDATA: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&gt; PLK4 ингибитор в клинике — прямое подтверждение терапевтического направления #2 (протеасомальная очистка / регуляция дупликации). ECASP + NF-κB путь хорошо согласуется с CDATA моделью: поврежденные центриоли → SASP → сенесценция → старение ткани. Обновить MCAI-модель с учётом ECASP компонента.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→ Дублировано в CDATA/KNOWLEDGE.md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Ссылки для дальнейшего чтения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Тема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Приоритет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Ссылка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BrainYears preprint (полный текст)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ВЫСОКИЙ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https://www.biorxiv.org/content/10.64898/2026.03.26.714124v1.full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Federated Microservices + Blockchain (Nature)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ВЫСОКИЙ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https://www.nature.com/articles/s41598-026-39837-1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PLK4 inhibitor RP-1664 clinical trial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ВЫСОКИЙ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https://onlinelibrary.wiley.com/doi/full/10.1002/cm.22031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Wearable EEG for MCI (npj Digital Med)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СРЕДНИЙ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https://www.nature.com/articles/s41746-026-02342-w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DiScO — Digital Citizen Science Observatory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СРЕДНИЙ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https://www.frontiersin.org/journals/digital-health/articles/10.3389/fdgth.2024.1399992/full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SHIRE platform UNC (08.04.2026)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СРЕДНИЙ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https://www.unc.edu/posts/2026/04/08/university-unc-health-unveil-shire-health-care-innovation-platform/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Senescence in Cancer (Cancer Cell 2025)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СРЕДНИЙ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https://www.cell.com/cancer-cell/fulltext/S1535-6108(25)00224-7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HRV-CV biomarker 2026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НИЗКИЙ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https://www.s4me.info/threads/heart-rate-variability-coefficient-of-variation-during-sleep-as-a-digital-biomarker-that-reflects-behavior-and-varies-by-age-and-sex-2026-grosicki.49521/</w:t>
            </w:r>
          </w:p>
        </w:tc>
      </w:tr>
    </w:tbl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i/>
          <w:iCs/>
          <w:sz w:val="22"/>
        </w:rPr>
        <w:t xml:space="preserve">NEWS.md — файл ядра CommonHealth | обновлять при каждой сессии</w:t>
      </w:r>
    </w:p>
    <w:sectPr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mbria" w:hAnsi="Cambri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https://academic.oup.com/jlb/article/8/2/lsab023/6380070" TargetMode="External"/><Relationship Id="rId17" Type="http://schemas.openxmlformats.org/officeDocument/2006/relationships/hyperlink" Target="https://bmcmedethics.biomedcentral.com/articles/10.1186/s12910-022-00848-y" TargetMode="External"/><Relationship Id="rId15" Type="http://schemas.openxmlformats.org/officeDocument/2006/relationships/hyperlink" Target="https://newsletter.longevitydocs.org/p/2026-the-longevity-medicine-manifesto" TargetMode="External"/><Relationship Id="rId38" Type="http://schemas.openxmlformats.org/officeDocument/2006/relationships/hyperlink" Target="https://onlinelibrary.wiley.com/doi/full/10.1002/cm.22031" TargetMode="External"/><Relationship Id="rId18" Type="http://schemas.openxmlformats.org/officeDocument/2006/relationships/hyperlink" Target="https://openloophealth.com/blog/recent-digital-health-trends-and-news-february-2026" TargetMode="External"/><Relationship Id="rId35" Type="http://schemas.openxmlformats.org/officeDocument/2006/relationships/hyperlink" Target="https://outliyr.com/best-hrv-biofeedback-monitors" TargetMode="External"/><Relationship Id="rId11" Type="http://schemas.openxmlformats.org/officeDocument/2006/relationships/hyperlink" Target="https://pmc.ncbi.nlm.nih.gov/articles/PMC7299478/" TargetMode="External"/><Relationship Id="rId27" Type="http://schemas.openxmlformats.org/officeDocument/2006/relationships/hyperlink" Target="https://www.biorxiv.org/content/10.64898/2026.03.26.714124v1.full" TargetMode="External"/><Relationship Id="rId39" Type="http://schemas.openxmlformats.org/officeDocument/2006/relationships/hyperlink" Target="https://www.cell.com/cancer-cell/fulltext/S1535-6108(25)00224-7" TargetMode="External"/><Relationship Id="rId12" Type="http://schemas.openxmlformats.org/officeDocument/2006/relationships/hyperlink" Target="https://www.dcinetwork.org/patients2026" TargetMode="External"/><Relationship Id="rId25" Type="http://schemas.openxmlformats.org/officeDocument/2006/relationships/hyperlink" Target="https://www.frontiersin.org/journals/computer-science/articles/10.3389/fcomp.2026.1725597/full" TargetMode="External"/><Relationship Id="rId13" Type="http://schemas.openxmlformats.org/officeDocument/2006/relationships/hyperlink" Target="https://www.frontiersin.org/journals/digital-health/articles/10.3389/fdgth.2024.1399992/full" TargetMode="External"/><Relationship Id="rId20" Type="http://schemas.openxmlformats.org/officeDocument/2006/relationships/hyperlink" Target="https://www.jmir.org/2026/1/e79052" TargetMode="External"/><Relationship Id="rId24" Type="http://schemas.openxmlformats.org/officeDocument/2006/relationships/hyperlink" Target="https://www.mdpi.com/2079-9292/14/16/3261" TargetMode="External"/><Relationship Id="rId40" Type="http://schemas.openxmlformats.org/officeDocument/2006/relationships/hyperlink" Target="https://www.nature.com/articles/s41392-020-00214-7" TargetMode="External"/><Relationship Id="rId28" Type="http://schemas.openxmlformats.org/officeDocument/2006/relationships/hyperlink" Target="https://www.nature.com/articles/s41467-025-64275-4" TargetMode="External"/><Relationship Id="rId22" Type="http://schemas.openxmlformats.org/officeDocument/2006/relationships/hyperlink" Target="https://www.nature.com/articles/s41598-026-39837-1" TargetMode="External"/><Relationship Id="rId32" Type="http://schemas.openxmlformats.org/officeDocument/2006/relationships/hyperlink" Target="https://www.nature.com/articles/s41746-026-02342-w" TargetMode="External"/><Relationship Id="rId33" Type="http://schemas.openxmlformats.org/officeDocument/2006/relationships/hyperlink" Target="https://www.nature.com/articles/s44385-025-00061-7" TargetMode="External"/><Relationship Id="rId34" Type="http://schemas.openxmlformats.org/officeDocument/2006/relationships/hyperlink" Target="https://www.newswire.com/news/hume-band-review-2026-biological-age-metabolic-health-wearable" TargetMode="External"/><Relationship Id="rId21" Type="http://schemas.openxmlformats.org/officeDocument/2006/relationships/hyperlink" Target="https://www.programming-helper.com/tech/federated-learning-2026-privacy-first-ai-training" TargetMode="External"/><Relationship Id="rId30" Type="http://schemas.openxmlformats.org/officeDocument/2006/relationships/hyperlink" Target="https://www.s4me.info/threads/heart-rate-variability-coefficient-of-variation-during-sleep-as-a-digital-biomarker-that-reflects-behavior-and-varies-by-age-and-sex-2026-grosicki.49521/" TargetMode="External"/><Relationship Id="rId37" Type="http://schemas.openxmlformats.org/officeDocument/2006/relationships/hyperlink" Target="https://www.sciencedirect.com/science/article/abs/pii/S1044579X25000173" TargetMode="External"/><Relationship Id="rId23" Type="http://schemas.openxmlformats.org/officeDocument/2006/relationships/hyperlink" Target="https://www.sciencedirect.com/science/article/pii/S2590123025025538" TargetMode="External"/><Relationship Id="rId10" Type="http://schemas.openxmlformats.org/officeDocument/2006/relationships/hyperlink" Target="https://www.tandfonline.com/doi/full/10.1080/15265161.2019.1619859" TargetMode="External"/><Relationship Id="rId29" Type="http://schemas.openxmlformats.org/officeDocument/2006/relationships/hyperlink" Target="https://www.themanual.com/fitness/whoop-2026-health-report/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academic.oup.com/jlb/article/8/2/lsab023/6380070" TargetMode="External"/><Relationship Id="rId17" Type="http://schemas.openxmlformats.org/officeDocument/2006/relationships/hyperlink" Target="https://bmcmedethics.biomedcentral.com/articles/10.1186/s12910-022-00848-y" TargetMode="External"/><Relationship Id="rId15" Type="http://schemas.openxmlformats.org/officeDocument/2006/relationships/hyperlink" Target="https://newsletter.longevitydocs.org/p/2026-the-longevity-medicine-manifesto" TargetMode="External"/><Relationship Id="rId38" Type="http://schemas.openxmlformats.org/officeDocument/2006/relationships/hyperlink" Target="https://onlinelibrary.wiley.com/doi/full/10.1002/cm.22031" TargetMode="External"/><Relationship Id="rId18" Type="http://schemas.openxmlformats.org/officeDocument/2006/relationships/hyperlink" Target="https://openloophealth.com/blog/recent-digital-health-trends-and-news-february-2026" TargetMode="External"/><Relationship Id="rId35" Type="http://schemas.openxmlformats.org/officeDocument/2006/relationships/hyperlink" Target="https://outliyr.com/best-hrv-biofeedback-monitors" TargetMode="External"/><Relationship Id="rId11" Type="http://schemas.openxmlformats.org/officeDocument/2006/relationships/hyperlink" Target="https://pmc.ncbi.nlm.nih.gov/articles/PMC7299478/" TargetMode="External"/><Relationship Id="rId27" Type="http://schemas.openxmlformats.org/officeDocument/2006/relationships/hyperlink" Target="https://www.biorxiv.org/content/10.64898/2026.03.26.714124v1.full" TargetMode="External"/><Relationship Id="rId39" Type="http://schemas.openxmlformats.org/officeDocument/2006/relationships/hyperlink" Target="https://www.cell.com/cancer-cell/fulltext/S1535-6108(25)00224-7" TargetMode="External"/><Relationship Id="rId12" Type="http://schemas.openxmlformats.org/officeDocument/2006/relationships/hyperlink" Target="https://www.dcinetwork.org/patients2026" TargetMode="External"/><Relationship Id="rId25" Type="http://schemas.openxmlformats.org/officeDocument/2006/relationships/hyperlink" Target="https://www.frontiersin.org/journals/computer-science/articles/10.3389/fcomp.2026.1725597/full" TargetMode="External"/><Relationship Id="rId13" Type="http://schemas.openxmlformats.org/officeDocument/2006/relationships/hyperlink" Target="https://www.frontiersin.org/journals/digital-health/articles/10.3389/fdgth.2024.1399992/full" TargetMode="External"/><Relationship Id="rId20" Type="http://schemas.openxmlformats.org/officeDocument/2006/relationships/hyperlink" Target="https://www.jmir.org/2026/1/e79052" TargetMode="External"/><Relationship Id="rId24" Type="http://schemas.openxmlformats.org/officeDocument/2006/relationships/hyperlink" Target="https://www.mdpi.com/2079-9292/14/16/3261" TargetMode="External"/><Relationship Id="rId40" Type="http://schemas.openxmlformats.org/officeDocument/2006/relationships/hyperlink" Target="https://www.nature.com/articles/s41392-020-00214-7" TargetMode="External"/><Relationship Id="rId28" Type="http://schemas.openxmlformats.org/officeDocument/2006/relationships/hyperlink" Target="https://www.nature.com/articles/s41467-025-64275-4" TargetMode="External"/><Relationship Id="rId22" Type="http://schemas.openxmlformats.org/officeDocument/2006/relationships/hyperlink" Target="https://www.nature.com/articles/s41598-026-39837-1" TargetMode="External"/><Relationship Id="rId32" Type="http://schemas.openxmlformats.org/officeDocument/2006/relationships/hyperlink" Target="https://www.nature.com/articles/s41746-026-02342-w" TargetMode="External"/><Relationship Id="rId33" Type="http://schemas.openxmlformats.org/officeDocument/2006/relationships/hyperlink" Target="https://www.nature.com/articles/s44385-025-00061-7" TargetMode="External"/><Relationship Id="rId34" Type="http://schemas.openxmlformats.org/officeDocument/2006/relationships/hyperlink" Target="https://www.newswire.com/news/hume-band-review-2026-biological-age-metabolic-health-wearable" TargetMode="External"/><Relationship Id="rId21" Type="http://schemas.openxmlformats.org/officeDocument/2006/relationships/hyperlink" Target="https://www.programming-helper.com/tech/federated-learning-2026-privacy-first-ai-training" TargetMode="External"/><Relationship Id="rId30" Type="http://schemas.openxmlformats.org/officeDocument/2006/relationships/hyperlink" Target="https://www.s4me.info/threads/heart-rate-variability-coefficient-of-variation-during-sleep-as-a-digital-biomarker-that-reflects-behavior-and-varies-by-age-and-sex-2026-grosicki.49521/" TargetMode="External"/><Relationship Id="rId37" Type="http://schemas.openxmlformats.org/officeDocument/2006/relationships/hyperlink" Target="https://www.sciencedirect.com/science/article/abs/pii/S1044579X25000173" TargetMode="External"/><Relationship Id="rId23" Type="http://schemas.openxmlformats.org/officeDocument/2006/relationships/hyperlink" Target="https://www.sciencedirect.com/science/article/pii/S2590123025025538" TargetMode="External"/><Relationship Id="rId10" Type="http://schemas.openxmlformats.org/officeDocument/2006/relationships/hyperlink" Target="https://www.tandfonline.com/doi/full/10.1080/15265161.2019.1619859" TargetMode="External"/><Relationship Id="rId29" Type="http://schemas.openxmlformats.org/officeDocument/2006/relationships/hyperlink" Target="https://www.themanual.com/fitness/whoop-2026-health-re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2026-04-17T00:40:14Z</dcterms:created>
  <dcterms:modified xsi:type="dcterms:W3CDTF">2026-04-17T00:40:14Z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