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Candidate Suggestions for Supervisory Board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Category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Name / Profile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Role / Current Affiliation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Credibility for EIC Reviewer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Likely Availability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How to Reach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Senior Georgian Medical Doctor/Researcher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Zurab Vadachkoria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Medical Director, Aversi Clinic; Professor of Cardiology, Tbilisi State Medical University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Recognized clinical leader; EU-funded project experience; publishes in international journals.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Busy but approachable for advisory roles.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Email via Aversi Clinic contact; LinkedIn profile active.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Senior Georgian Medical Doctor/Researcher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Amiran Gamkrelidze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Director General, National Center for Disease Control and Public Health (NCDC)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High-level public health authority; experience with EU/WHO collaborations; strong governance background.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Very busy but may consider impactful NGO roles.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Official NCDC email; connect via public health conferences.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Georgian Academic Scientist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George Gvasalia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Rector, Tbilisi State Medical University; Professor of Pharmacology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Senior academic leadership; understands research integrity &amp; EU funding requirements.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Extremely busy; requires formal invitation.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Email via TSMU rector’s office; academic networks.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Georgian Academic Scientist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PROFILE NEEDED: Senior Professor of Biochemistry/Biogerontology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Affiliation: Ilia State University or Tbilisi State University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Expertise in aging biology; track record of international publications; lends scientific weight.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Approachable if aligned with research interests.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Find via university website publications; contact via department email.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International Researcher with Georgian Ties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PROFILE NEEDED: EU-based Aging Researcher with Georgian Heritage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Affiliation: European research institute (e.g., Max Planck, Karolinska)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EU reputation; bridges Georgian &amp; EU science; mitigates COI perceptions.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Variable; may be engaged remotely.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Identify via diaspora networks; LinkedIn search by field + Georgian keywords.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Georgian Legal/Financial Expert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Tamar Khidasheli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Partner, BLC Law Office; expertise in corporate governance &amp; compliance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Experience with NGO law, EU grant compliance; independent legal oversight.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Approachable for board positions.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Law firm contact; Georgian Bar Association referral.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Georgian Legal/Financial Expert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PROFILE NEEDED: Audit Firm Partner in Tbilisi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Affiliation: Big Four or leading local audit firm (e.g., PwC Georgia, Grant Thornton)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Direct experience with EU project auditing; ensures financial accountability.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Busy but firm may assign a partner.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Contact firm’s office for partnership inquiries.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Patient Advocacy / Civil Society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Irma Kakhurashvili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Chairperson, Georgian Patients’ Union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Represents patient interests; experience in health policy advocacy; trusted public voice.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Approachable and engaged in civil society.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Email via Patients’ Union; public health forums.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Patient Advocacy / Civil Society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PROFILE NEEDED: Head of Georgian NGO focused on aging or chronic diseases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Affiliation: e.g., Georgian Association of Gerontology or similar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Direct link to mission; ensures societal impact perspective.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Likely approachable if mission-aligned.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Search NGO directories; attend local civil society events.</w:t>
            </w:r>
          </w:p>
        </w:tc>
      </w:tr>
    </w:tbl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Outreach Strategy for the Next 7 Days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Immediate actions should focus on leveraging existing networks and clear value propositions.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Start by drafting a concise, formal invitation outlining the board’s role, time commitment (expected 2-4 meetings/year), and its critical function in ensuring EIC compliance and mission credibility. For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Category 1-2 candidates</w:t>
      </w:r>
      <w:r>
        <w:rPr>
          <w:rFonts w:ascii="Cambria" w:hAnsi="Cambria" w:cs="Cambria" w:eastAsia="Cambria"/>
          <w:sz w:val="22"/>
        </w:rPr>
        <w:t xml:space="preserve">, use trusted medical academia connectors (e.g., deans of relevant faculties) to make warm introductions, highlighting the opportunity to shape Georgia’s role in longevity science. For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Category 3</w:t>
      </w:r>
      <w:r>
        <w:rPr>
          <w:rFonts w:ascii="Cambria" w:hAnsi="Cambria" w:cs="Cambria" w:eastAsia="Cambria"/>
          <w:sz w:val="22"/>
        </w:rPr>
        <w:t xml:space="preserve">, tap into Georgian scientific diaspora networks via platforms like LinkedIn and ResearchGate, emphasizing the chance to contribute to homeland science. For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Category 4</w:t>
      </w:r>
      <w:r>
        <w:rPr>
          <w:rFonts w:ascii="Cambria" w:hAnsi="Cambria" w:cs="Cambria" w:eastAsia="Cambria"/>
          <w:sz w:val="22"/>
        </w:rPr>
        <w:t xml:space="preserve">, direct outreach to law/audit firms should come from the NGO’s founding team, stressing the non-profit mission and modest honorarium if applicable. For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Category 5</w:t>
      </w:r>
      <w:r>
        <w:rPr>
          <w:rFonts w:ascii="Cambria" w:hAnsi="Cambria" w:cs="Cambria" w:eastAsia="Cambria"/>
          <w:sz w:val="22"/>
        </w:rPr>
        <w:t xml:space="preserve">, contact via established civil society coalitions, framing the board as a bridge between research and public benefit. Prioritize email contact first, followed by a LinkedIn connection request referencing a specific common interest or mutual contact. Aim to secure 2-3 initial expressions of interest within the week to demonstrate momentum.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2026-04-17T00:11:40Z</dcterms:created>
  <dcterms:modified xsi:type="dcterms:W3CDTF">2026-04-17T00:11:40Z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