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240" w:after="120" w:line="276" w:lineRule="auto"/>
        <w:jc w:val="left"/>
      </w:pPr>
      <w:r>
        <w:rPr>
          <w:rFonts w:ascii="Calibri" w:hAnsi="Calibri" w:cs="Calibri" w:eastAsia="Calibri"/>
          <w:b/>
          <w:color w:val="17365D"/>
          <w:sz w:val="52"/>
        </w:rPr>
        <w:t xml:space="preserve">CommonHealth — Concept Note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Integrated Longevity Research Platform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EIC Pathfinder Open 2026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Field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Coordinator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NGO Georgia Longevity Alliance (Reg. №404506520, ა.ა.ი.პ / non-profit)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Country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Georgia (Horizon Europe Associated Country since 2023)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Principal Investigator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Dr. Jaba Tkemaladze, MD — 150+ publications, Editor-in-Chief</w:t>
            </w:r>
            <w:r>
              <w:rPr>
                <w:rFonts w:ascii="Cambria" w:hAnsi="Cambria" w:cs="Cambria" w:eastAsia="Cambria"/>
                <w:sz w:val="20"/>
              </w:rPr>
              <w:t xml:space="preserve"> </w:t>
            </w:r>
            <w:r>
              <w:rPr>
                <w:rFonts w:ascii="Cambria" w:hAnsi="Cambria" w:cs="Cambria" w:eastAsia="Cambria"/>
                <w:i/>
                <w:iCs/>
                <w:sz w:val="20"/>
              </w:rPr>
              <w:t xml:space="preserve">Longevity Horizon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Budget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€3.0M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Duration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36 months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Call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EIC Pathfinder Open 2026 — deadline 12 May 2026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Contact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jaba@longevity.ge · +995 555 185 161 (Tbilisi, GMT+4)</w:t>
            </w:r>
          </w:p>
        </w:tc>
      </w:tr>
    </w:tbl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Vision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To transition longevity research from fragmented, descriptive, single-mechanism studies to an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integrated, systems-level science of aging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enabled by privacy-preserving federated infrastructure that unifies multi-modal data streams (molecular, physiological, clinical, traditional) without centralizing sensitive data.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Breakthrough Claim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CommonHealth delivers the first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theory-to-bedside pipeline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that integrates: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A novel mechanistic theory (CDATA — Centriolar Damage Accumulation Theory of Aging)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A falsifiable physiological biomarker (χ_Ze from Ze Vectors Theory)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Open-source federated learning infrastructure (FCLC) meeting EU AI Act Article 22 compliance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Wearable biomarker hardware (BioSense, TRL 1→3)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A real-world clinical pilot (Aqtivirebuli — traditional Georgian nutritional intervention for iron-deficiency anemia)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Work Packages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WP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Title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Budget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Duration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TRL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WP1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FCLC — Federated learning infrastructure with DP ε ≤ 1.0, SecAgg+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€0.6M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12 mo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3→5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WP2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Ze — χ_Ze biomarker validation (MPI-LEMON, Dortmund, Cuban N=196)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€0.5M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12 mo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2→4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WP3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CDATA — Centriolar aging Phase 0 (TTLL6, CCP1, serial BMT mice)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€0.8M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24 mo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2→4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WP4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BioSense — EEG+HRV wearable prototype with onboard χ_Ze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€0.6M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18 mo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1→3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WP5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Aqtivirebuli — Clinical pilot N=50 anemic patients, 8 weeks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€0.5M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12 mo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4→6</w:t>
            </w:r>
          </w:p>
        </w:tc>
      </w:tr>
    </w:tbl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Partners (current status 2026-04-17)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✅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Coordinator confirmed: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NGO Georgia Longevity Alliance (host)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✅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Industry confirmed: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BioViva (Liz Parrish) — CDATA WP3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✅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Clinical partner confirmed: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Dr. Shashviashvili (Georgia) — WP5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🟡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EU technical partner: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In recruitment (Fraunhofer IESE / KU Leuven COSIC — LoI requested)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🟡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HSC experimental collaborator: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Prof. Hartmut Geiger (Ulm) — letter sent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Impact Pathways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Scientific: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First unified mechanistic theory + biomarker + federated data architecture for aging research.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Technological: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Open-source FCLC platform deployable across EU health systems; wearable BioSense prototype.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Societal: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Democratized longevity research; anemia intervention model scalable to 2 billion affected globally.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Economic: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Spinoff potential in medical devices (BioSense) and functional foods (Aqtivirebuli); Georgia positioned as Horizon Europe longevity hub.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Honest Disclosures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PI does not hold PhD (mitigated: 150 publications, Editor-in-Chief role, Georgia’s eligibility)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Structural COI: PI = President of Host (full mitigation in separate COI Declaration with Supervisory Board + annual external audit)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χ_Ze is research-stage, NOT clinically validated (Phase 1 validation in WP2)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CDATA BHCA score: 8/27 currently (Class WEAK) — Phase 0 WP3 designed to upgrade to ≥18/27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i/>
          <w:iCs/>
          <w:sz w:val="22"/>
        </w:rPr>
        <w:t xml:space="preserve">Full Part A + Part B drafts available on request. Letters of Support required by 25 April 2026.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2026-04-17T10:39:32Z</dcterms:created>
  <dcterms:modified xsi:type="dcterms:W3CDTF">2026-04-17T10:39:32Z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