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240" w:after="120" w:line="276" w:lineRule="auto"/>
        <w:jc w:val="left"/>
      </w:pPr>
      <w:r>
        <w:rPr>
          <w:rFonts w:ascii="Calibri" w:hAnsi="Calibri" w:cs="Calibri" w:eastAsia="Calibri"/>
          <w:b/>
          <w:color w:val="17365D"/>
          <w:sz w:val="52"/>
        </w:rPr>
        <w:t xml:space="preserve">Cryptographic Scope for KU Leuven ESAT/COSIC</w: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Advisory and Audit Role — CommonHealth EIC Pathfinder Open 2026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WP1 (FCLC) + WP3 (CDATA data integration)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· €3M total project, €0.6M WP1 · 36 months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Why COSIC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World-leading cryptography group (Preneel, Vercauteren, Rijmen, Verbauwhede, Smart) with: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AES standardization track record (Rijmen)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Secure aggregation / threshold cryptography (Preneel)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Post-quantum + homomorphic encryption (Vercauteren)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Hardware security + side-channel (Verbauwhede)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CommonHealth cryptographic core must survive EU AI Act Art. 22 scrutiny and independent academic audit.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Only a COSIC-grade advisory ensures this.</w: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Current cryptographic stack (to be audited)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Component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Current implementation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Audit focus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Secure aggregation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SecAgg+ with ChaCha20-Poly1305 authenticated encryption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Verify protocol correctness, threat model soundness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Seed derivation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SHA-256 based PRG for Shamir secret sharing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Assess collision resistance, key management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Dropout recovery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Shamir GF(257) t-out-of-n threshold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Verify threshold parameters, resilience to collusion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Differential privacy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Laplace mechanism, Rényi DP accounting, ε = 2.0 currently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Advise on ε ≤ 1.0 via PATE/DP-SGD redesign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End-to-end encryption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Client↔coordinator TLS 1.3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Standard audit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Backward compatibility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None — new protocol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Greenfield formal analysis</w:t>
            </w:r>
          </w:p>
        </w:tc>
      </w:tr>
    </w:tbl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Requested COSIC role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1. Design advisory (WP1, Months 3-12)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Review architecture T1.1 (threat model)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Recommend DP mechanism refinement for ε ≤ 1.0 target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Advise on post-quantum readiness of chosen primitives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Propose formal verification targets (e.g., ProVerif, Tamarin model)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2. Independent audit (WP1, Months 15-18)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Code-level security audit of SecAgg+ implementation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Formal protocol analysis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Side-channel analysis if hardware BioSense (WP4) handles keys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Audit report → Deliverable D1.3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3. WP3 integration (Months 18-30)</w:t>
      </w:r>
    </w:p>
    <w:p>
      <w:pPr>
        <w:pStyle w:val="Compact"/>
        <w:numPr>
          <w:ilvl w:val="0"/>
          <w:numId w:val="100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Extend SecAgg+ to CDATA biological data aggregation</w:t>
      </w:r>
    </w:p>
    <w:p>
      <w:pPr>
        <w:pStyle w:val="Compact"/>
        <w:numPr>
          <w:ilvl w:val="0"/>
          <w:numId w:val="100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Advise on multi-institutional genomics data privacy (if applicable to Phase 0)</w:t>
      </w:r>
    </w:p>
    <w:p>
      <w:pPr>
        <w:pStyle w:val="Compact"/>
        <w:numPr>
          <w:ilvl w:val="0"/>
          <w:numId w:val="100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Homomorphic encryption feasibility for specific queries (optional, if Vercauteren’s group interested)</w: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Budget allocation within WP1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~€60-80K of WP1 €0.6M allocated to COSIC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(exact figure depends on COSIC preference):</w:t>
      </w:r>
    </w:p>
    <w:p>
      <w:pPr>
        <w:pStyle w:val="Compact"/>
        <w:numPr>
          <w:ilvl w:val="0"/>
          <w:numId w:val="1005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10-15% advisory (Months 3-12)</w:t>
      </w:r>
    </w:p>
    <w:p>
      <w:pPr>
        <w:pStyle w:val="Compact"/>
        <w:numPr>
          <w:ilvl w:val="0"/>
          <w:numId w:val="1005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Code audit (Months 15-18) — can be subcontracted or fixed-price</w:t>
      </w:r>
    </w:p>
    <w:p>
      <w:pPr>
        <w:pStyle w:val="Compact"/>
        <w:numPr>
          <w:ilvl w:val="0"/>
          <w:numId w:val="1005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Optional: student/postdoc rotation to COSIC for knowledge transfer</w: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Deliverables COSIC would co-author</w:t>
      </w:r>
    </w:p>
    <w:p>
      <w:pPr>
        <w:pStyle w:val="Compact"/>
        <w:numPr>
          <w:ilvl w:val="0"/>
          <w:numId w:val="1006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D1.1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(M6): Threat model document</w:t>
      </w:r>
    </w:p>
    <w:p>
      <w:pPr>
        <w:pStyle w:val="Compact"/>
        <w:numPr>
          <w:ilvl w:val="0"/>
          <w:numId w:val="1006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D1.3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(M18): Cryptographic audit report (public, open-source)</w:t>
      </w:r>
    </w:p>
    <w:p>
      <w:pPr>
        <w:pStyle w:val="Compact"/>
        <w:numPr>
          <w:ilvl w:val="0"/>
          <w:numId w:val="1006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Joint publication: one security/privacy conference paper (e.g., CCS, USENIX, PETS)</w: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Why this is low-risk, high-reward for COSIC</w:t>
      </w:r>
    </w:p>
    <w:p>
      <w:pPr>
        <w:pStyle w:val="Compact"/>
        <w:numPr>
          <w:ilvl w:val="0"/>
          <w:numId w:val="1007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Non-binding at LoI stage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decision to formally join delayed to Grant Agreement</w:t>
      </w:r>
    </w:p>
    <w:p>
      <w:pPr>
        <w:pStyle w:val="Compact"/>
        <w:numPr>
          <w:ilvl w:val="0"/>
          <w:numId w:val="1007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Aligned with EU public research mission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medical AI for longevity, Associated Country coordinator</w:t>
      </w:r>
    </w:p>
    <w:p>
      <w:pPr>
        <w:pStyle w:val="Compact"/>
        <w:numPr>
          <w:ilvl w:val="0"/>
          <w:numId w:val="1007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Low PM commitment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advisory + audit, ~15-25 PMs over 36 months</w:t>
      </w:r>
    </w:p>
    <w:p>
      <w:pPr>
        <w:pStyle w:val="Compact"/>
        <w:numPr>
          <w:ilvl w:val="0"/>
          <w:numId w:val="1007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Publication opportunity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production deployment of modern secure aggregation in clinical FL context</w:t>
      </w:r>
    </w:p>
    <w:p>
      <w:pPr>
        <w:pStyle w:val="Compact"/>
        <w:numPr>
          <w:ilvl w:val="0"/>
          <w:numId w:val="1007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Independence preserved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COSIC audits, doesn’t implement (removes COI concerns)</w: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Alternative roles (if advisory role too committed)</w:t>
      </w:r>
    </w:p>
    <w:p>
      <w:pPr>
        <w:pStyle w:val="Compact"/>
        <w:numPr>
          <w:ilvl w:val="0"/>
          <w:numId w:val="1008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Letter of Endorsement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(non-contractual) — supports credibility without formal consortium role</w:t>
      </w:r>
    </w:p>
    <w:p>
      <w:pPr>
        <w:pStyle w:val="Compact"/>
        <w:numPr>
          <w:ilvl w:val="0"/>
          <w:numId w:val="1008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External audit contract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(post-award) — single paid engagement for D1.3</w:t>
      </w:r>
    </w:p>
    <w:p>
      <w:pPr>
        <w:pStyle w:val="Compact"/>
        <w:numPr>
          <w:ilvl w:val="0"/>
          <w:numId w:val="1008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Student thesis topic co-supervision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lighter touch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i/>
          <w:iCs/>
          <w:sz w:val="22"/>
        </w:rPr>
        <w:t xml:space="preserve">We are flexible. Primary request: one-page Letter of Support for 25 April 2026 LoI deadline. Formal scope refinement follows.</w:t>
      </w:r>
    </w:p>
    <w:sectPr>
      <w:footnotePr>
        <w:numRestart w:val="eachSect"/>
      </w:footnote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mbria" w:hAnsi="Cambri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2026-04-17T10:39:33Z</dcterms:created>
  <dcterms:modified xsi:type="dcterms:W3CDTF">2026-04-17T10:39:33Z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