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WP1 — FCLC Federated Clinical Learning Cooperative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Scope for Fraunhofer IESE Technical Partnership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EIC Pathfinder Open 2026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· CommonHealth · €0.6M · 12 months · TRL 3→5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Objective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Build a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production-grade, EU-compliant federated learning infrastructure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for multi-institutional clinical data analysis, achieving system-level privacy guarantee ε ≤ 1.0 and demonstrating functionality in a real-world clinical pilot (WP5 — anemia cohort N=50) by Month 24.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Technical stack (current v6.2, to be hardened)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Layer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Technology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Current status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Secure aggregation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SecAgg+ with ChaCha20-Poly1305 + SHA-256 seed + Shamir GF(257) dropout recovery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✅ Implemented, 96/96 tests pass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Production audit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Differential privacy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Laplace mechanism + Rényi DP accounting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ε = 2.0 (research prototype)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ε ≤ 1.0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(compliance target)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Coordination layer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Elixir/Phoenix LiveView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Functional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Multi-node scaling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Data schema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BioSenseExport JSON, FHIR-compatible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✅ Specified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FHIR-Starter integration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Compliance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GDPR Art. 28 DPA template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✅ Drafted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EU AI Act Art. 22 alignment</w:t>
            </w:r>
          </w:p>
        </w:tc>
      </w:tr>
    </w:tbl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Tasks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Task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Months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Lead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Effort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T1.1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Architecture refinement + security threat model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1-6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Fraunhofer IESE (proposed)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6 PM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T1.2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DP hardening to ε ≤ 1.0 (PATE/DP-SGD redesign)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3-12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Fraunhofer + GLA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10 PM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T1.3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Multi-node production deployment (3-node Synthea demo)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6-15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GLA + Fraunhofer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8 PM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T1.4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WP5 clinical integration (anemia cohort FL)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12-24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GLA clinical + Fraunhofer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6 PM</w:t>
            </w:r>
          </w:p>
        </w:tc>
      </w:tr>
    </w:tbl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Deliverables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D1.1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(M6): Architecture specification + threat model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D1.2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(M12): FCLC v2.0 open-source release (GitHub)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D1.3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(M18): Independent cryptographic + privacy audit report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D1.4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(M24): Multi-institutional clinical deployment demo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Milestones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M1.1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(M6): Target ε ≤ 1.0 achieved on synthetic data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M1.2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(M18): 3-node production demo complete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M1.3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(M24): WP5 clinical integration live (Aqtivirebuli anemia pilot)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Role for Fraunhofer IESE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Co-lead WP1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with Georgia Longevity Alliance. Primary responsibilities: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Production-grade software engineering rigor (CI/CD, compliance testing)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Regulatory alignment (EU AI Act Art. 22 for high-risk medical AI)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FHIR/medical data standards integration (leverage FHIR-Starter expertise)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Cryptographic audit coordination with partner (KU Leuven COSIC proposed)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Technical deliverables D1.1-D1.4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Budget allocation (indicative)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Category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%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Personnel (software engineers + researchers)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65%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Equipment (compute, test infrastructure)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5%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Travel (consortium meetings, conferences)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Subcontracting (external audit)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15%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Other (dissemination, overhead)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5%</w:t>
            </w:r>
          </w:p>
        </w:tc>
      </w:tr>
    </w:tbl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Risks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Risk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Impact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ε ≤ 1.0 target technically challenging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PATE/DP-SGD hybrid redesign in T1.2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EU AI Act Art. 22 evolving interpretation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Medium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Fraunhofer regulatory expertise; quarterly review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Clinical data availability (WP5 dependency)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Medium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Synthea synthetic data for pre-deployment testing</w:t>
            </w:r>
          </w:p>
        </w:tc>
      </w:tr>
    </w:tbl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Why Fraunhofer IESE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Institute mission alignment: Digital Health + medical AI software engineering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Existing project reference: FHIR-Starter (AI-based software for structuring medical data)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Production-grade engineering rigor — critical differentiator vs. academic-only partners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Regulatory compliance track record in EU medical AI context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Geographic/institutional independence from Host (strengthens Consortium quality section)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i/>
          <w:iCs/>
          <w:sz w:val="22"/>
        </w:rPr>
        <w:t xml:space="preserve">This scope is non-binding at LoI stage. Detailed PM allocation, budget, and deliverable refinement will follow Grant Agreement negotiation.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2026-04-17T10:39:32Z</dcterms:created>
  <dcterms:modified xsi:type="dcterms:W3CDTF">2026-04-17T10:39:32Z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