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Cover Letter — Chaos, Solitons &amp; Fractals</w:t>
      </w:r>
    </w:p>
    <w:p>
      <w:pPr>
        <w:jc w:val="both"/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16 June 2026</w:t>
      </w:r>
    </w:p>
    <w:p>
      <w:pPr>
        <w:jc w:val="both"/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The Editor-in-Chief</w:t>
      </w:r>
      <w:r>
        <w:t xml:space="preserve"> </w:t>
      </w:r>
      <w:r>
        <w:t xml:space="preserve">Chaos, Solitons &amp; Fractals (Elsevier)</w:t>
      </w:r>
      <w:r>
        <w:t xml:space="preserve"> </w:t>
      </w:r>
      <w:r>
        <w:t xml:space="preserve">Submission: https://www.editorialmanager.com/chaos/</w:t>
      </w:r>
    </w:p>
    <w:p>
      <w:pPr>
        <w:jc w:val="both"/>
        <w:pStyle w:val="BodyText"/>
      </w:pPr>
      <w:r>
        <w:t xml:space="preserve">Dear Editor,</w:t>
      </w:r>
    </w:p>
    <w:p>
      <w:pPr>
        <w:jc w:val="both"/>
        <w:pStyle w:val="BodyText"/>
      </w:pPr>
      <w:r>
        <w:t xml:space="preserve">We submit our manuscript entitled</w:t>
      </w:r>
      <w:r>
        <w:t xml:space="preserve"> </w:t>
      </w:r>
      <w:r>
        <w:rPr>
          <w:b/>
          <w:bCs/>
        </w:rPr>
        <w:t xml:space="preserve">«Hepato-Affective Dynamics: A Nonlinear Dynamical Systems Framework for Bifurcation-Driven Affective Transitions»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/>
          <w:iCs/>
        </w:rPr>
        <w:t xml:space="preserve">Chaos, Solitons &amp; Fractals</w:t>
      </w:r>
      <w:r>
        <w:t xml:space="preserve">.</w:t>
      </w:r>
    </w:p>
    <w:p>
      <w:pPr>
        <w:jc w:val="both"/>
        <w:pStyle w:val="BodyText"/>
      </w:pPr>
      <w:r>
        <w:rPr>
          <w:b/>
          <w:bCs/>
        </w:rPr>
        <w:t xml:space="preserve">Why Chaos, Solitons &amp; Fractals?</w:t>
      </w:r>
    </w:p>
    <w:p>
      <w:pPr>
        <w:jc w:val="both"/>
        <w:pStyle w:val="BodyText"/>
      </w:pPr>
      <w:r>
        <w:t xml:space="preserve">This manuscript presents a novel 6-variable nonlinear dynamical system that captures the feedback loops between hepatic steroid output, brain steroid sensitivity, affective circuit integrity, inflammation, HPA axis activity, and metabolic state. The core contribution is a</w:t>
      </w:r>
      <w:r>
        <w:t xml:space="preserve"> </w:t>
      </w:r>
      <w:r>
        <w:rPr>
          <w:b/>
          <w:bCs/>
        </w:rPr>
        <w:t xml:space="preserve">bifurcation-driven mechanism</w:t>
      </w:r>
      <w:r>
        <w:t xml:space="preserve"> </w:t>
      </w:r>
      <w:r>
        <w:t xml:space="preserve">for the emergence of affective states across Bilateria — the model exhibits a sharp saddle-node bifurcation at a critical hepatic steroid threshold (L_basal ≈ 0), providing the first mathematical expression of the necessary condition for affect.</w:t>
      </w:r>
    </w:p>
    <w:p>
      <w:pPr>
        <w:jc w:val="both"/>
        <w:pStyle w:val="BodyText"/>
      </w:pPr>
      <w:r>
        <w:t xml:space="preserve">This work aligns with</w:t>
      </w:r>
      <w:r>
        <w:t xml:space="preserve"> </w:t>
      </w:r>
      <w:r>
        <w:rPr>
          <w:i/>
          <w:iCs/>
        </w:rPr>
        <w:t xml:space="preserve">Chaos, Solitons &amp; Fractals</w:t>
      </w:r>
      <w:r>
        <w:t xml:space="preserve">’ interdisciplinary mission at the intersection of nonlinear science and complex systems. The manuscript contributes:</w:t>
      </w:r>
      <w:r>
        <w:t xml:space="preserve"> </w:t>
      </w:r>
      <w:r>
        <w:t xml:space="preserve">- A new biologically grounded ODE system with rich dynamical behaviour</w:t>
      </w:r>
      <w:r>
        <w:t xml:space="preserve"> </w:t>
      </w:r>
      <w:r>
        <w:t xml:space="preserve">- Rigorous bifurcation analysis identifying critical transitions</w:t>
      </w:r>
      <w:r>
        <w:t xml:space="preserve"> </w:t>
      </w:r>
      <w:r>
        <w:t xml:space="preserve">- Global sensitivity analysis (Morris + Sobol) quantifying parameter dominance</w:t>
      </w:r>
      <w:r>
        <w:t xml:space="preserve"> </w:t>
      </w:r>
      <w:r>
        <w:t xml:space="preserve">- Demonstration of structural stability under stochastic perturbation</w:t>
      </w:r>
    </w:p>
    <w:p>
      <w:pPr>
        <w:jc w:val="both"/>
        <w:pStyle w:val="BodyText"/>
      </w:pPr>
      <w:r>
        <w:rPr>
          <w:b/>
          <w:bCs/>
        </w:rPr>
        <w:t xml:space="preserve">Key contributions: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6-variable ODE model</w:t>
      </w:r>
      <w:r>
        <w:t xml:space="preserve"> </w:t>
      </w:r>
      <w:r>
        <w:t xml:space="preserve">coupling hepatic, neural, inflammatory, endocrine, and metabolic dynamics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Saddle-node bifurcation</w:t>
      </w:r>
      <w:r>
        <w:t xml:space="preserve"> </w:t>
      </w:r>
      <w:r>
        <w:t xml:space="preserve">at L_basal ≈ 0 — the critical hepatic threshold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Global sensitivity analysis</w:t>
      </w:r>
      <w:r>
        <w:t xml:space="preserve"> </w:t>
      </w:r>
      <w:r>
        <w:t xml:space="preserve">(Morris + Sobol) — hepatic threshold parameter θ_L dominates (Sobol ST = 0.75), confirming hepatic parameters drive the system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Bifurcation boundary mapping</w:t>
      </w:r>
      <w:r>
        <w:t xml:space="preserve"> </w:t>
      </w:r>
      <w:r>
        <w:t xml:space="preserve">— 2D scan (L_basal × θ_L, 900 simulations) delineating the affect/no-affect phase boundary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Stochastic robustness</w:t>
      </w:r>
      <w:r>
        <w:t xml:space="preserve"> </w:t>
      </w:r>
      <w:r>
        <w:t xml:space="preserve">— white noise CV = 0.78%, Ornstein-Uhlenbeck coloured noise CV = 1.59%</w:t>
      </w:r>
    </w:p>
    <w:p>
      <w:pPr>
        <w:jc w:val="both"/>
        <w:pStyle w:val="Compact"/>
        <w:numPr>
          <w:ilvl w:val="0"/>
          <w:numId w:val="1001"/>
        </w:numPr>
      </w:pPr>
      <w:r>
        <w:rPr>
          <w:b/>
          <w:bCs/>
        </w:rPr>
        <w:t xml:space="preserve">In silico ablation experiments</w:t>
      </w:r>
      <w:r>
        <w:t xml:space="preserve"> </w:t>
      </w:r>
      <w:r>
        <w:t xml:space="preserve">reproducing the central biological prediction: hepatic ablation before critical window → A ≈ 0</w:t>
      </w:r>
    </w:p>
    <w:p>
      <w:pPr>
        <w:jc w:val="both"/>
        <w:pStyle w:val="FirstParagraph"/>
      </w:pPr>
      <w:r>
        <w:rPr>
          <w:b/>
          <w:bCs/>
        </w:rPr>
        <w:t xml:space="preserve">Interdisciplinary relevance:</w:t>
      </w:r>
    </w:p>
    <w:p>
      <w:pPr>
        <w:jc w:val="both"/>
        <w:pStyle w:val="BodyText"/>
      </w:pPr>
      <w:r>
        <w:t xml:space="preserve">The model bridges nonlinear dynamics with comparative biology and clinical medicine. It generates specific, falsifiable predictions for:</w:t>
      </w:r>
      <w:r>
        <w:t xml:space="preserve"> </w:t>
      </w:r>
      <w:r>
        <w:t xml:space="preserve">- Conditional knockout experiments (zebrafish)</w:t>
      </w:r>
      <w:r>
        <w:t xml:space="preserve"> </w:t>
      </w:r>
      <w:r>
        <w:t xml:space="preserve">- Pharmacological interventions (FXR/TGR5 agonists)</w:t>
      </w:r>
      <w:r>
        <w:t xml:space="preserve"> </w:t>
      </w:r>
      <w:r>
        <w:t xml:space="preserve">- Clinical biomarker studies (NAFLD-depression comorbidity, meta-analysis N = 2,126,593)</w:t>
      </w:r>
    </w:p>
    <w:p>
      <w:pPr>
        <w:jc w:val="both"/>
        <w:pStyle w:val="BodyText"/>
      </w:pPr>
      <w:r>
        <w:rPr>
          <w:b/>
          <w:bCs/>
        </w:rPr>
        <w:t xml:space="preserve">Novelty:</w:t>
      </w:r>
      <w:r>
        <w:t xml:space="preserve"> </w:t>
      </w:r>
      <w:r>
        <w:t xml:space="preserve">To our knowledge, this is the first application of bifurcation theory to the phylogenetic emergence of affective states, and the first mathematical model to position the liver — not the brain — as the primary dynamical driver of affect.</w:t>
      </w:r>
    </w:p>
    <w:p>
      <w:pPr>
        <w:jc w:val="both"/>
        <w:pStyle w:val="BodyText"/>
      </w:pPr>
      <w:r>
        <w:rPr>
          <w:b/>
          <w:bCs/>
        </w:rPr>
        <w:t xml:space="preserve">Prior publication:</w:t>
      </w:r>
      <w:r>
        <w:t xml:space="preserve"> </w:t>
      </w:r>
      <w:r>
        <w:t xml:space="preserve">The underlying theory was published as Tqemaladze, J. (2026) DOI: 10.65649/d76f6c48. An earlier preprint explored an initial formulation (El Fettahi &amp; Tqemaladze, 2025, Preprints.org); the co-author withdrew in June 2026. The present manuscript is a sole-author, substantially revised version with new sensitivity analysis, stochastic robustness testing, 2D parameter scanning, and extended clinical validation not present in any prior version.</w:t>
      </w:r>
    </w:p>
    <w:p>
      <w:pPr>
        <w:jc w:val="both"/>
        <w:pStyle w:val="BodyText"/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None declared.</w:t>
      </w:r>
    </w:p>
    <w:p>
      <w:pPr>
        <w:jc w:val="both"/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This work received no specific funding.</w:t>
      </w:r>
    </w:p>
    <w:p>
      <w:pPr>
        <w:jc w:val="both"/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Jaba Tqemaladze, MD — Georgia Longevity Alliance, Tbilisi, Georgia (ORCID: 0000-0001-8651-7243)</w:t>
      </w:r>
    </w:p>
    <w:p>
      <w:pPr>
        <w:jc w:val="both"/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jaba@longevity.ge</w:t>
      </w:r>
    </w:p>
    <w:p>
      <w:pPr>
        <w:jc w:val="both"/>
        <w:pStyle w:val="BodyText"/>
      </w:pPr>
      <w:r>
        <w:t xml:space="preserve">We confirm that this manuscript has not been published elsewhere and is not under consideration by another journal.</w:t>
      </w:r>
    </w:p>
    <w:p>
      <w:pPr>
        <w:jc w:val="both"/>
        <w:pStyle w:val="BodyText"/>
      </w:pPr>
      <w:r>
        <w:t xml:space="preserve">We would be grateful for your consideration.</w:t>
      </w:r>
    </w:p>
    <w:p>
      <w:pPr>
        <w:jc w:val="both"/>
        <w:pStyle w:val="BodyText"/>
      </w:pPr>
      <w:r>
        <w:t xml:space="preserve">Sincerely,</w:t>
      </w:r>
    </w:p>
    <w:p>
      <w:pPr>
        <w:jc w:val="both"/>
        <w:pStyle w:val="BodyText"/>
      </w:pPr>
      <w:r>
        <w:rPr>
          <w:b/>
          <w:bCs/>
        </w:rPr>
        <w:t xml:space="preserve">Jaba Tqemaladze, MD</w:t>
      </w:r>
      <w:r>
        <w:t xml:space="preserve"> </w:t>
      </w:r>
      <w:r>
        <w:t xml:space="preserve">President, Georgia Longevity Alliance</w:t>
      </w:r>
      <w:r>
        <w:t xml:space="preserve"> </w:t>
      </w:r>
      <w:r>
        <w:t xml:space="preserve">ORCID: 0000-0001-8651-7243</w:t>
      </w:r>
      <w:r>
        <w:t xml:space="preserve"> </w:t>
      </w:r>
      <w:r>
        <w:t xml:space="preserve">jaba@longevity.ge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/>
      <w:sz w:val="24"/>
      <w:szCs w:val="24"/>
    </w:rPr>
    <w:pPr>
      <w:spacing w:line="276" w:lineRule="auto" w:after="0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qFormat/>
    <w:rPr>
      <w:rFonts w:ascii="Arial" w:hAnsi="Arial" w:cs="Arial"/>
      <w:sz w:val="56"/>
      <w:szCs w:val="56"/>
    </w:rPr>
    <w:pPr>
      <w:jc w:val="center"/>
      <w:spacing w:line="240" w:after="120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qFormat/>
    <w:rPr>
      <w:rFonts w:ascii="Arial" w:hAnsi="Arial" w:cs="Arial"/>
      <w:sz w:val="28"/>
      <w:szCs w:val="28"/>
    </w:rPr>
    <w:pPr>
      <w:jc w:val="center"/>
      <w:spacing w:line="240" w:after="120"/>
    </w:p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rPr>
      <w:rFonts w:ascii="Arial" w:hAnsi="Arial" w:cs="Arial"/>
      <w:b/>
      <w:sz w:val="40"/>
      <w:szCs w:val="40"/>
    </w:rPr>
    <w:pPr>
      <w:keepNext/>
      <w:keepLines/>
      <w:spacing w:after="120" w:before="360"/>
      <w:outlineLvl w:val="0"/>
    </w:pPr>
  </w:style>
  <w:style w:styleId="Heading2" w:type="paragraph">
    <w:name w:val="heading 2"/>
    <w:basedOn w:val="Normal"/>
    <w:next w:val="Normal"/>
    <w:link w:val="Heading2Char"/>
    <w:uiPriority w:val="9"/>
    <w:qFormat/>
    <w:rPr>
      <w:rFonts w:ascii="Arial" w:hAnsi="Arial" w:cs="Arial"/>
      <w:b/>
      <w:sz w:val="32"/>
      <w:szCs w:val="32"/>
    </w:rPr>
    <w:pPr>
      <w:keepNext/>
      <w:keepLines/>
      <w:spacing w:after="80" w:before="240"/>
      <w:outlineLvl w:val="1"/>
    </w:pPr>
  </w:style>
  <w:style w:styleId="Heading3" w:type="paragraph">
    <w:name w:val="heading 3"/>
    <w:basedOn w:val="Normal"/>
    <w:next w:val="Normal"/>
    <w:link w:val="Heading3Char"/>
    <w:uiPriority w:val="9"/>
    <w:qFormat/>
    <w:rPr>
      <w:rFonts w:ascii="Arial" w:hAnsi="Arial" w:cs="Arial"/>
      <w:b/>
      <w:sz w:val="24"/>
      <w:szCs w:val="24"/>
    </w:rPr>
    <w:pPr>
      <w:keepNext/>
      <w:keepLines/>
      <w:spacing w:after="60" w:before="200"/>
      <w:outlineLvl w:val="2"/>
    </w:p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2026-06-16T14:50:26Z</dcterms:created>
  <dcterms:modified xsi:type="dcterms:W3CDTF">2026-06-16T14:50:26Z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