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Protocol v2.3 — Dynamic Biomarkers of Affective-Cognitive Regulation: A Systematic Map with Quality Assessment</w:t>
      </w:r>
    </w:p>
    <w:p>
      <w:pPr>
        <w:jc w:val="both"/>
        <w:pStyle w:val="FirstParagraph"/>
      </w:pPr>
      <w:r>
        <w:rPr>
          <w:b/>
          <w:bCs/>
        </w:rPr>
        <w:t xml:space="preserve">Date:</w:t>
      </w:r>
      <w:r>
        <w:t xml:space="preserve"> </w:t>
      </w:r>
      <w:r>
        <w:t xml:space="preserve">2026-06-15</w:t>
      </w:r>
      <w:r>
        <w:t xml:space="preserve"> </w:t>
      </w:r>
      <w:r>
        <w:rPr>
          <w:b/>
          <w:bCs/>
        </w:rPr>
        <w:t xml:space="preserve">Authors:</w:t>
      </w:r>
      <w:r>
        <w:t xml:space="preserve"> </w:t>
      </w:r>
      <w:r>
        <w:t xml:space="preserve">Jaba Tqemaladze (GLA), Afaf El Fettahi</w:t>
      </w:r>
      <w:r>
        <w:t xml:space="preserve"> </w:t>
      </w:r>
      <w:r>
        <w:rPr>
          <w:b/>
          <w:bCs/>
        </w:rPr>
        <w:t xml:space="preserve">Framework:</w:t>
      </w:r>
      <w:r>
        <w:t xml:space="preserve"> </w:t>
      </w:r>
      <w:r>
        <w:t xml:space="preserve">PRISMA 2020 + SWiM (Synthesis Without Meta-Analysis) + JBI Critical Appraisal</w:t>
      </w:r>
      <w:r>
        <w:t xml:space="preserve"> </w:t>
      </w:r>
      <w:r>
        <w:rPr>
          <w:b/>
          <w:bCs/>
        </w:rPr>
        <w:t xml:space="preserve">Registration:</w:t>
      </w:r>
      <w:r>
        <w:t xml:space="preserve"> </w:t>
      </w:r>
      <w:r>
        <w:t xml:space="preserve">OSF (PROSPERO не принимает scoping reviews)</w:t>
      </w:r>
      <w:r>
        <w:t xml:space="preserve"> </w:t>
      </w:r>
      <w:r>
        <w:rPr>
          <w:b/>
          <w:bCs/>
        </w:rPr>
        <w:t xml:space="preserve">Note:</w:t>
      </w:r>
      <w:r>
        <w:t xml:space="preserve"> </w:t>
      </w:r>
      <w:r>
        <w:t xml:space="preserve">This review conducts formal critical appraisal (JBI) — exceeding standard PRISMA-ScR requirements. PRISMA 2020 is used for reporting; SWiM guidelines for synthesis without meta-analysis.</w:t>
      </w:r>
      <w:r>
        <w:t xml:space="preserve"> </w:t>
      </w:r>
      <w:r>
        <w:rPr>
          <w:b/>
          <w:bCs/>
        </w:rPr>
        <w:t xml:space="preserve">Status:</w:t>
      </w:r>
      <w:r>
        <w:t xml:space="preserve"> </w:t>
      </w:r>
      <w:r>
        <w:t xml:space="preserve">Conditional Accept after Minor Revisions (v2.3)</w:t>
      </w:r>
    </w:p>
    <w:p>
      <w:pPr>
        <w:pStyle w:val="Subtitle"/>
        <w:jc w:val="center"/>
      </w:pPr>
      <w:r>
        <w:t xml:space="preserve">1. Research Question</w:t>
      </w:r>
    </w:p>
    <w:p>
      <w:pPr>
        <w:jc w:val="both"/>
        <w:pStyle w:val="BlockText"/>
      </w:pPr>
      <w:r>
        <w:rPr>
          <w:b/>
          <w:bCs/>
        </w:rPr>
        <w:t xml:space="preserve">Which peripheral and central biomarkers index dynamic transitions in affective-cognitive regulation in healthy adults, particularly under acute stress, uncertainty, or cognitive challenge?</w:t>
      </w:r>
    </w:p>
    <w:p>
      <w:pPr>
        <w:pStyle w:val="Heading3"/>
      </w:pPr>
      <w:r>
        <w:t xml:space="preserve">PCC Framework</w:t>
      </w:r>
    </w:p>
    <w:tbl>
      <w:tblPr>
        <w:tblStyle w:val="Table"/>
        <w:tblW w:w="9026" w:type="dxa"/>
        <w:tblLayout w:type="fixed"/>
        <w:tblLook w:firstRow="1" w:lastRow="0" w:firstColumn="0" w:lastColumn="0" w:noHBand="0" w:noVBand="0" w:val="0020"/>
        <w:jc w:val="center"/>
      </w:tblPr>
      <w:tblGrid>
        <w:gridCol w:w="3787"/>
        <w:gridCol w:w="4132"/>
      </w:tblGrid>
      <w:tr>
        <w:trPr>
          <w:tblHeader w:val="on"/>
        </w:trPr>
        <w:tc>
          <w:tcPr/>
          <w:p>
            <w:pPr>
              <w:jc w:val="both"/>
              <w:pStyle w:val="Compact"/>
            </w:pPr>
            <w:r>
              <w:t xml:space="preserve">Component</w:t>
            </w:r>
          </w:p>
        </w:tc>
        <w:tc>
          <w:tcPr/>
          <w:p>
            <w:pPr>
              <w:jc w:val="both"/>
              <w:pStyle w:val="Compact"/>
            </w:pPr>
            <w:r>
              <w:t xml:space="preserve">Definition</w:t>
            </w:r>
          </w:p>
        </w:tc>
      </w:tr>
      <w:tr>
        <w:tc>
          <w:tcPr/>
          <w:p>
            <w:pPr>
              <w:jc w:val="both"/>
              <w:pStyle w:val="Compact"/>
            </w:pPr>
            <w:r>
              <w:rPr>
                <w:sz w:val="18"/>
                <w:szCs w:val="18"/>
                <w:b/>
                <w:bCs/>
              </w:rPr>
              <w:t xml:space="preserve">P</w:t>
            </w:r>
            <w:r>
              <w:t xml:space="preserve">opulation</w:t>
            </w:r>
          </w:p>
        </w:tc>
        <w:tc>
          <w:tcPr/>
          <w:p>
            <w:pPr>
              <w:jc w:val="both"/>
              <w:pStyle w:val="Compact"/>
            </w:pPr>
            <w:r>
              <w:t xml:space="preserve">Healthy adults (≥18 yr), human studies only</w:t>
            </w:r>
          </w:p>
        </w:tc>
      </w:tr>
      <w:tr>
        <w:tc>
          <w:tcPr/>
          <w:p>
            <w:pPr>
              <w:jc w:val="both"/>
              <w:pStyle w:val="Compact"/>
            </w:pPr>
            <w:r>
              <w:rPr>
                <w:b/>
                <w:bCs/>
              </w:rPr>
              <w:t xml:space="preserve">C</w:t>
            </w:r>
            <w:r>
              <w:t xml:space="preserve">oncept</w:t>
            </w:r>
          </w:p>
        </w:tc>
        <w:tc>
          <w:tcPr/>
          <w:p>
            <w:pPr>
              <w:jc w:val="both"/>
              <w:pStyle w:val="Compact"/>
            </w:pPr>
            <w:r>
              <w:t xml:space="preserve">Dynamic transitions (baseline → activation → adaptation/recovery)</w:t>
            </w:r>
          </w:p>
        </w:tc>
      </w:tr>
      <w:tr>
        <w:tc>
          <w:tcPr/>
          <w:p>
            <w:pPr>
              <w:jc w:val="both"/>
              <w:pStyle w:val="Compact"/>
            </w:pPr>
            <w:r>
              <w:rPr>
                <w:b/>
                <w:bCs/>
              </w:rPr>
              <w:t xml:space="preserve">C</w:t>
            </w:r>
            <w:r>
              <w:t xml:space="preserve">ontext</w:t>
            </w:r>
          </w:p>
        </w:tc>
        <w:tc>
          <w:tcPr/>
          <w:p>
            <w:pPr>
              <w:jc w:val="both"/>
              <w:pStyle w:val="Compact"/>
            </w:pPr>
            <w:r>
              <w:t xml:space="preserve">Acute stress, uncertainty, cognitive challenge paradigms + ambulatory real-world assessment</w:t>
            </w:r>
          </w:p>
        </w:tc>
      </w:tr>
    </w:tbl>
    <w:p>
      <w:pPr>
        <w:pStyle w:val="Heading2"/>
      </w:pPr>
      <w:r>
        <w:t xml:space="preserve">2. Theoretical Framework (Introduction — 1–2 paragraphs only)</w:t>
      </w:r>
    </w:p>
    <w:p>
      <w:pPr>
        <w:jc w:val="both"/>
        <w:pStyle w:val="FirstParagraph"/>
      </w:pPr>
      <w:r>
        <w:t xml:space="preserve">The review is grounded in a</w:t>
      </w:r>
      <w:r>
        <w:t xml:space="preserve"> </w:t>
      </w:r>
      <w:r>
        <w:rPr>
          <w:b/>
          <w:bCs/>
        </w:rPr>
        <w:t xml:space="preserve">dynamic tension framework</w:t>
      </w:r>
      <w:r>
        <w:t xml:space="preserve">:</w:t>
      </w:r>
    </w:p>
    <w:p>
      <w:pPr>
        <w:jc w:val="both"/>
        <w:pStyle w:val="Compact"/>
        <w:numPr>
          <w:ilvl w:val="0"/>
          <w:numId w:val="1001"/>
        </w:numPr>
      </w:pPr>
      <w:r>
        <w:rPr>
          <w:b/>
          <w:bCs/>
        </w:rPr>
        <w:t xml:space="preserve">Sensation → Affect:</w:t>
      </w:r>
      <w:r>
        <w:t xml:space="preserve"> </w:t>
      </w:r>
      <w:r>
        <w:t xml:space="preserve">interoceptive registration → emotional valuation</w:t>
      </w:r>
    </w:p>
    <w:p>
      <w:pPr>
        <w:jc w:val="both"/>
        <w:pStyle w:val="Compact"/>
        <w:numPr>
          <w:ilvl w:val="0"/>
          <w:numId w:val="1001"/>
        </w:numPr>
      </w:pPr>
      <w:r>
        <w:rPr>
          <w:b/>
          <w:bCs/>
        </w:rPr>
        <w:t xml:space="preserve">Affect → Cognition:</w:t>
      </w:r>
      <w:r>
        <w:t xml:space="preserve"> </w:t>
      </w:r>
      <w:r>
        <w:t xml:space="preserve">emotional state → cognitive modulation</w:t>
      </w:r>
    </w:p>
    <w:p>
      <w:pPr>
        <w:jc w:val="both"/>
        <w:pStyle w:val="Compact"/>
        <w:numPr>
          <w:ilvl w:val="0"/>
          <w:numId w:val="1001"/>
        </w:numPr>
      </w:pPr>
      <w:r>
        <w:rPr>
          <w:b/>
          <w:bCs/>
        </w:rPr>
        <w:t xml:space="preserve">Cognition → Sensation (feedback):</w:t>
      </w:r>
      <w:r>
        <w:t xml:space="preserve"> </w:t>
      </w:r>
      <w:r>
        <w:t xml:space="preserve">cognitive reappraisal → interoceptive shift</w:t>
      </w:r>
    </w:p>
    <w:p>
      <w:pPr>
        <w:jc w:val="both"/>
        <w:pStyle w:val="FirstParagraph"/>
      </w:pPr>
      <w:r>
        <w:t xml:space="preserve">Each transition is a measurable point where regulatory dynamics can be indexed by biomarkers. The review focuses on</w:t>
      </w:r>
      <w:r>
        <w:t xml:space="preserve"> </w:t>
      </w:r>
      <w:r>
        <w:rPr>
          <w:b/>
          <w:bCs/>
        </w:rPr>
        <w:t xml:space="preserve">transitions</w:t>
      </w:r>
      <w:r>
        <w:t xml:space="preserve"> </w:t>
      </w:r>
      <w:r>
        <w:t xml:space="preserve">rather than static baseline levels, because regulation is inherently dynamic.</w:t>
      </w:r>
    </w:p>
    <w:p>
      <w:pPr>
        <w:jc w:val="both"/>
        <w:pStyle w:val="BodyText"/>
      </w:pPr>
      <w:r>
        <w:rPr>
          <w:i/>
          <w:iCs/>
        </w:rPr>
        <w:t xml:space="preserve">Note: The broader theoretical architecture (microbiome/macrobiome competition, plant/animal/human hierarchy, bacterial proto-cognition) is reserved for a separate theoretical manuscript and does not enter the review’s inclusion criteria or search strategy.</w:t>
      </w:r>
    </w:p>
    <w:p>
      <w:pPr>
        <w:pStyle w:val="Heading2"/>
      </w:pPr>
      <w:r>
        <w:t xml:space="preserve">3. Inclusion Criteria</w:t>
      </w:r>
    </w:p>
    <w:tbl>
      <w:tblPr>
        <w:tblStyle w:val="Table"/>
        <w:tblW w:w="9026" w:type="dxa"/>
        <w:tblLayout w:type="fixed"/>
        <w:tblLook w:firstRow="1" w:lastRow="0" w:firstColumn="0" w:lastColumn="0" w:noHBand="0" w:noVBand="0" w:val="0020"/>
        <w:jc w:val="center"/>
      </w:tblPr>
      <w:tblGrid>
        <w:gridCol w:w="1697"/>
        <w:gridCol w:w="6222"/>
      </w:tblGrid>
      <w:tr>
        <w:trPr>
          <w:tblHeader w:val="on"/>
        </w:trPr>
        <w:tc>
          <w:tcPr/>
          <w:p>
            <w:pPr>
              <w:jc w:val="both"/>
              <w:pStyle w:val="Compact"/>
            </w:pPr>
            <w:r>
              <w:t xml:space="preserve">#</w:t>
            </w:r>
          </w:p>
        </w:tc>
        <w:tc>
          <w:tcPr/>
          <w:p>
            <w:pPr>
              <w:jc w:val="both"/>
              <w:pStyle w:val="Compact"/>
            </w:pPr>
            <w:r>
              <w:t xml:space="preserve">Criterion</w:t>
            </w:r>
          </w:p>
        </w:tc>
      </w:tr>
      <w:tr>
        <w:tc>
          <w:tcPr/>
          <w:p>
            <w:pPr>
              <w:jc w:val="both"/>
              <w:pStyle w:val="Compact"/>
            </w:pPr>
            <w:r>
              <w:t xml:space="preserve">1</w:t>
            </w:r>
          </w:p>
        </w:tc>
        <w:tc>
          <w:tcPr/>
          <w:p>
            <w:pPr>
              <w:jc w:val="both"/>
              <w:pStyle w:val="Compact"/>
            </w:pPr>
            <w:r>
              <w:rPr>
                <w:sz w:val="18"/>
                <w:szCs w:val="18"/>
                <w:b/>
                <w:bCs/>
              </w:rPr>
              <w:t xml:space="preserve">Human studies</w:t>
            </w:r>
            <w:r>
              <w:t xml:space="preserve">, healthy adult participants (≥18 yr)</w:t>
            </w:r>
          </w:p>
        </w:tc>
      </w:tr>
      <w:tr>
        <w:tc>
          <w:tcPr/>
          <w:p>
            <w:pPr>
              <w:jc w:val="both"/>
              <w:pStyle w:val="Compact"/>
            </w:pPr>
            <w:r>
              <w:t xml:space="preserve">2</w:t>
            </w:r>
          </w:p>
        </w:tc>
        <w:tc>
          <w:tcPr/>
          <w:p>
            <w:pPr>
              <w:jc w:val="both"/>
              <w:pStyle w:val="Compact"/>
            </w:pPr>
            <w:r>
              <w:rPr>
                <w:b/>
                <w:bCs/>
              </w:rPr>
              <w:t xml:space="preserve">Mixed clinical-healthy samples</w:t>
            </w:r>
            <w:r>
              <w:t xml:space="preserve"> </w:t>
            </w:r>
            <w:r>
              <w:t xml:space="preserve">— included ONLY if healthy controls are analysed and reported separately</w:t>
            </w:r>
          </w:p>
        </w:tc>
      </w:tr>
      <w:tr>
        <w:tc>
          <w:tcPr/>
          <w:p>
            <w:pPr>
              <w:jc w:val="both"/>
              <w:pStyle w:val="Compact"/>
            </w:pPr>
            <w:r>
              <w:t xml:space="preserve">3</w:t>
            </w:r>
          </w:p>
        </w:tc>
        <w:tc>
          <w:tcPr/>
          <w:p>
            <w:pPr>
              <w:jc w:val="both"/>
              <w:pStyle w:val="Compact"/>
            </w:pPr>
            <w:r>
              <w:t xml:space="preserve">At least one</w:t>
            </w:r>
            <w:r>
              <w:t xml:space="preserve"> </w:t>
            </w:r>
            <w:r>
              <w:rPr>
                <w:b/>
                <w:bCs/>
              </w:rPr>
              <w:t xml:space="preserve">biomarker measured dynamically</w:t>
            </w:r>
            <w:r>
              <w:t xml:space="preserve"> </w:t>
            </w:r>
            <w:r>
              <w:t xml:space="preserve">(≥2 time points with a minimum interval of 5 minutes between measurements within a single session OR repeated measures across conditions)</w:t>
            </w:r>
          </w:p>
        </w:tc>
      </w:tr>
      <w:tr>
        <w:tc>
          <w:tcPr/>
          <w:p>
            <w:pPr>
              <w:jc w:val="both"/>
              <w:pStyle w:val="Compact"/>
            </w:pPr>
            <w:r>
              <w:t xml:space="preserve">4</w:t>
            </w:r>
          </w:p>
        </w:tc>
        <w:tc>
          <w:tcPr/>
          <w:p>
            <w:pPr>
              <w:jc w:val="both"/>
              <w:pStyle w:val="Compact"/>
            </w:pPr>
            <w:r>
              <w:t xml:space="preserve">At least one</w:t>
            </w:r>
            <w:r>
              <w:t xml:space="preserve"> </w:t>
            </w:r>
            <w:r>
              <w:rPr>
                <w:b/>
                <w:bCs/>
              </w:rPr>
              <w:t xml:space="preserve">measure of affective or cognitive state</w:t>
            </w:r>
            <w:r>
              <w:t xml:space="preserve"> </w:t>
            </w:r>
            <w:r>
              <w:t xml:space="preserve">(self-report, behavioural, or physiological)</w:t>
            </w:r>
          </w:p>
        </w:tc>
      </w:tr>
      <w:tr>
        <w:tc>
          <w:tcPr/>
          <w:p>
            <w:pPr>
              <w:jc w:val="both"/>
              <w:pStyle w:val="Compact"/>
            </w:pPr>
            <w:r>
              <w:t xml:space="preserve">5</w:t>
            </w:r>
          </w:p>
        </w:tc>
        <w:tc>
          <w:tcPr/>
          <w:p>
            <w:pPr>
              <w:jc w:val="both"/>
              <w:pStyle w:val="Compact"/>
            </w:pPr>
            <w:r>
              <w:rPr>
                <w:b/>
                <w:bCs/>
              </w:rPr>
              <w:t xml:space="preserve">Dynamic perturbation protocol</w:t>
            </w:r>
            <w:r>
              <w:t xml:space="preserve"> </w:t>
            </w:r>
            <w:r>
              <w:t xml:space="preserve">— acute stress/challenge/uncertainty paradigm OR ambulatory real-world assessment (not resting state only)</w:t>
            </w:r>
          </w:p>
        </w:tc>
      </w:tr>
      <w:tr>
        <w:tc>
          <w:tcPr/>
          <w:p>
            <w:pPr>
              <w:jc w:val="both"/>
              <w:pStyle w:val="Compact"/>
            </w:pPr>
            <w:r>
              <w:t xml:space="preserve">6</w:t>
            </w:r>
          </w:p>
        </w:tc>
        <w:tc>
          <w:tcPr/>
          <w:p>
            <w:pPr>
              <w:jc w:val="both"/>
              <w:pStyle w:val="Compact"/>
            </w:pPr>
            <w:r>
              <w:rPr>
                <w:b/>
                <w:bCs/>
              </w:rPr>
              <w:t xml:space="preserve">Multi-language</w:t>
            </w:r>
            <w:r>
              <w:t xml:space="preserve"> </w:t>
            </w:r>
            <w:r>
              <w:t xml:space="preserve">— English, German, French, Chinese, Spanish (machine-assisted translation via DeepL for non-English articles; articles untranslatable after reasonable effort are documented as «language-barrier exclusion»)</w:t>
            </w:r>
          </w:p>
        </w:tc>
      </w:tr>
      <w:tr>
        <w:tc>
          <w:tcPr/>
          <w:p>
            <w:pPr>
              <w:jc w:val="both"/>
              <w:pStyle w:val="Compact"/>
            </w:pPr>
            <w:r>
              <w:t xml:space="preserve">7</w:t>
            </w:r>
          </w:p>
        </w:tc>
        <w:tc>
          <w:tcPr/>
          <w:p>
            <w:pPr>
              <w:jc w:val="both"/>
              <w:pStyle w:val="Compact"/>
            </w:pPr>
            <w:r>
              <w:t xml:space="preserve">Peer-reviewed primary research, preprints (medRxiv, PsyArXiv), and doctoral dissertations (ProQuest)</w:t>
            </w:r>
          </w:p>
        </w:tc>
      </w:tr>
    </w:tbl>
    <w:p>
      <w:pPr>
        <w:pStyle w:val="Heading2"/>
      </w:pPr>
      <w:r>
        <w:t xml:space="preserve">4. Exclusion Criteria</w:t>
      </w:r>
    </w:p>
    <w:tbl>
      <w:tblPr>
        <w:tblStyle w:val="Table"/>
        <w:tblW w:w="9026" w:type="dxa"/>
        <w:tblLayout w:type="fixed"/>
        <w:tblLook w:firstRow="1" w:lastRow="0" w:firstColumn="0" w:lastColumn="0" w:noHBand="0" w:noVBand="0" w:val="0020"/>
        <w:jc w:val="center"/>
      </w:tblPr>
      <w:tblGrid>
        <w:gridCol w:w="1697"/>
        <w:gridCol w:w="6222"/>
      </w:tblGrid>
      <w:tr>
        <w:trPr>
          <w:tblHeader w:val="on"/>
        </w:trPr>
        <w:tc>
          <w:tcPr/>
          <w:p>
            <w:pPr>
              <w:jc w:val="both"/>
              <w:pStyle w:val="Compact"/>
            </w:pPr>
            <w:r>
              <w:t xml:space="preserve">#</w:t>
            </w:r>
          </w:p>
        </w:tc>
        <w:tc>
          <w:tcPr/>
          <w:p>
            <w:pPr>
              <w:jc w:val="both"/>
              <w:pStyle w:val="Compact"/>
            </w:pPr>
            <w:r>
              <w:t xml:space="preserve">Criterion</w:t>
            </w:r>
          </w:p>
        </w:tc>
      </w:tr>
      <w:tr>
        <w:tc>
          <w:tcPr/>
          <w:p>
            <w:pPr>
              <w:jc w:val="both"/>
              <w:pStyle w:val="Compact"/>
            </w:pPr>
            <w:r>
              <w:t xml:space="preserve">1</w:t>
            </w:r>
          </w:p>
        </w:tc>
        <w:tc>
          <w:tcPr/>
          <w:p>
            <w:pPr>
              <w:jc w:val="both"/>
              <w:pStyle w:val="Compact"/>
            </w:pPr>
            <w:r>
              <w:t xml:space="preserve">Clinical populations only (psychiatric, neurological, metabolic disorders) — unless healthy controls reported separately</w:t>
            </w:r>
          </w:p>
        </w:tc>
      </w:tr>
      <w:tr>
        <w:tc>
          <w:tcPr/>
          <w:p>
            <w:pPr>
              <w:jc w:val="both"/>
              <w:pStyle w:val="Compact"/>
            </w:pPr>
            <w:r>
              <w:t xml:space="preserve">2</w:t>
            </w:r>
          </w:p>
        </w:tc>
        <w:tc>
          <w:tcPr/>
          <w:p>
            <w:pPr>
              <w:jc w:val="both"/>
              <w:pStyle w:val="Compact"/>
            </w:pPr>
            <w:r>
              <w:t xml:space="preserve">Static/baseline biomarker measurement only (single time point)</w:t>
            </w:r>
          </w:p>
        </w:tc>
      </w:tr>
      <w:tr>
        <w:tc>
          <w:tcPr/>
          <w:p>
            <w:pPr>
              <w:jc w:val="both"/>
              <w:pStyle w:val="Compact"/>
            </w:pPr>
            <w:r>
              <w:t xml:space="preserve">3</w:t>
            </w:r>
          </w:p>
        </w:tc>
        <w:tc>
          <w:tcPr/>
          <w:p>
            <w:pPr>
              <w:jc w:val="both"/>
              <w:pStyle w:val="Compact"/>
            </w:pPr>
            <w:r>
              <w:t xml:space="preserve">Animal studies</w:t>
            </w:r>
          </w:p>
        </w:tc>
      </w:tr>
      <w:tr>
        <w:tc>
          <w:tcPr/>
          <w:p>
            <w:pPr>
              <w:jc w:val="both"/>
              <w:pStyle w:val="Compact"/>
            </w:pPr>
            <w:r>
              <w:t xml:space="preserve">4</w:t>
            </w:r>
          </w:p>
        </w:tc>
        <w:tc>
          <w:tcPr/>
          <w:p>
            <w:pPr>
              <w:jc w:val="both"/>
              <w:pStyle w:val="Compact"/>
            </w:pPr>
            <w:r>
              <w:t xml:space="preserve">Case reports, commentaries, editorials</w:t>
            </w:r>
          </w:p>
        </w:tc>
      </w:tr>
      <w:tr>
        <w:tc>
          <w:tcPr/>
          <w:p>
            <w:pPr>
              <w:jc w:val="both"/>
              <w:pStyle w:val="Compact"/>
            </w:pPr>
            <w:r>
              <w:t xml:space="preserve">5</w:t>
            </w:r>
          </w:p>
        </w:tc>
        <w:tc>
          <w:tcPr/>
          <w:p>
            <w:pPr>
              <w:jc w:val="both"/>
              <w:pStyle w:val="Compact"/>
            </w:pPr>
            <w:r>
              <w:t xml:space="preserve">No affective/cognitive outcome measure</w:t>
            </w:r>
          </w:p>
        </w:tc>
      </w:tr>
      <w:tr>
        <w:tc>
          <w:tcPr/>
          <w:p>
            <w:pPr>
              <w:jc w:val="both"/>
              <w:pStyle w:val="Compact"/>
            </w:pPr>
            <w:r>
              <w:t xml:space="preserve">6</w:t>
            </w:r>
          </w:p>
        </w:tc>
        <w:tc>
          <w:tcPr/>
          <w:p>
            <w:pPr>
              <w:jc w:val="both"/>
              <w:pStyle w:val="Compact"/>
            </w:pPr>
            <w:r>
              <w:t xml:space="preserve">Pharmacological intervention studies (unless biomarker response to challenge is the primary outcome)</w:t>
            </w:r>
          </w:p>
        </w:tc>
      </w:tr>
      <w:tr>
        <w:tc>
          <w:tcPr/>
          <w:p>
            <w:pPr>
              <w:jc w:val="both"/>
              <w:pStyle w:val="Compact"/>
            </w:pPr>
            <w:r>
              <w:t xml:space="preserve">7</w:t>
            </w:r>
          </w:p>
        </w:tc>
        <w:tc>
          <w:tcPr/>
          <w:p>
            <w:pPr>
              <w:jc w:val="both"/>
              <w:pStyle w:val="Compact"/>
            </w:pPr>
            <w:r>
              <w:t xml:space="preserve">Focus exclusively on chronic stress (not acute transitions)</w:t>
            </w:r>
          </w:p>
        </w:tc>
      </w:tr>
      <w:tr>
        <w:tc>
          <w:tcPr/>
          <w:p>
            <w:pPr>
              <w:jc w:val="both"/>
              <w:pStyle w:val="Compact"/>
            </w:pPr>
            <w:r>
              <w:t xml:space="preserve">8</w:t>
            </w:r>
          </w:p>
        </w:tc>
        <w:tc>
          <w:tcPr/>
          <w:p>
            <w:pPr>
              <w:jc w:val="both"/>
              <w:pStyle w:val="Compact"/>
            </w:pPr>
            <w:r>
              <w:t xml:space="preserve">Resting-state only (no dynamic manipulation)</w:t>
            </w:r>
          </w:p>
        </w:tc>
      </w:tr>
    </w:tbl>
    <w:p>
      <w:pPr>
        <w:pStyle w:val="Heading2"/>
      </w:pPr>
      <w:r>
        <w:t xml:space="preserve">5. Dynamic Perturbation Protocols (Explicit List)</w:t>
      </w:r>
    </w:p>
    <w:p>
      <w:pPr>
        <w:pStyle w:val="Heading3"/>
      </w:pPr>
      <w:r>
        <w:t xml:space="preserve">Laboratory Protocols</w:t>
      </w:r>
    </w:p>
    <w:tbl>
      <w:tblPr>
        <w:tblStyle w:val="Table"/>
        <w:tblW w:w="9026" w:type="dxa"/>
        <w:tblLayout w:type="fixed"/>
        <w:tblLook w:firstRow="1" w:lastRow="0" w:firstColumn="0" w:lastColumn="0" w:noHBand="0" w:noVBand="0" w:val="0020"/>
        <w:jc w:val="center"/>
      </w:tblPr>
      <w:tblGrid>
        <w:gridCol w:w="3960"/>
        <w:gridCol w:w="3960"/>
      </w:tblGrid>
      <w:tr>
        <w:trPr>
          <w:tblHeader w:val="on"/>
        </w:trPr>
        <w:tc>
          <w:tcPr/>
          <w:p>
            <w:pPr>
              <w:jc w:val="both"/>
              <w:pStyle w:val="Compact"/>
            </w:pPr>
            <w:r>
              <w:t xml:space="preserve">Category</w:t>
            </w:r>
          </w:p>
        </w:tc>
        <w:tc>
          <w:tcPr/>
          <w:p>
            <w:pPr>
              <w:jc w:val="both"/>
              <w:pStyle w:val="Compact"/>
            </w:pPr>
            <w:r>
              <w:t xml:space="preserve">Examples</w:t>
            </w:r>
          </w:p>
        </w:tc>
      </w:tr>
      <w:tr>
        <w:tc>
          <w:tcPr/>
          <w:p>
            <w:pPr>
              <w:jc w:val="both"/>
              <w:pStyle w:val="Compact"/>
            </w:pPr>
            <w:r>
              <w:rPr>
                <w:sz w:val="18"/>
                <w:szCs w:val="18"/>
                <w:b/>
                <w:bCs/>
              </w:rPr>
              <w:t xml:space="preserve">Acute stress</w:t>
            </w:r>
          </w:p>
        </w:tc>
        <w:tc>
          <w:tcPr/>
          <w:p>
            <w:pPr>
              <w:jc w:val="both"/>
              <w:pStyle w:val="Compact"/>
            </w:pPr>
            <w:r>
              <w:t xml:space="preserve">TSST (Trier Social Stress Test), SECPT (Socially Evaluated Cold Pressor Test), MIST (Montreal Imaging Stress Task)</w:t>
            </w:r>
          </w:p>
        </w:tc>
      </w:tr>
      <w:tr>
        <w:tc>
          <w:tcPr/>
          <w:p>
            <w:pPr>
              <w:jc w:val="both"/>
              <w:pStyle w:val="Compact"/>
            </w:pPr>
            <w:r>
              <w:rPr>
                <w:b/>
                <w:bCs/>
              </w:rPr>
              <w:t xml:space="preserve">Cognitive challenge</w:t>
            </w:r>
          </w:p>
        </w:tc>
        <w:tc>
          <w:tcPr/>
          <w:p>
            <w:pPr>
              <w:jc w:val="both"/>
              <w:pStyle w:val="Compact"/>
            </w:pPr>
            <w:r>
              <w:t xml:space="preserve">n-back, Stroop, mental arithmetic, working memory tasks</w:t>
            </w:r>
          </w:p>
        </w:tc>
      </w:tr>
      <w:tr>
        <w:tc>
          <w:tcPr/>
          <w:p>
            <w:pPr>
              <w:jc w:val="both"/>
              <w:pStyle w:val="Compact"/>
            </w:pPr>
            <w:r>
              <w:rPr>
                <w:b/>
                <w:bCs/>
              </w:rPr>
              <w:t xml:space="preserve">Emotional challenge</w:t>
            </w:r>
          </w:p>
        </w:tc>
        <w:tc>
          <w:tcPr/>
          <w:p>
            <w:pPr>
              <w:jc w:val="both"/>
              <w:pStyle w:val="Compact"/>
            </w:pPr>
            <w:r>
              <w:t xml:space="preserve">Affective images (IAPS), film clips, mood induction</w:t>
            </w:r>
          </w:p>
        </w:tc>
      </w:tr>
      <w:tr>
        <w:tc>
          <w:tcPr/>
          <w:p>
            <w:pPr>
              <w:jc w:val="both"/>
              <w:pStyle w:val="Compact"/>
            </w:pPr>
            <w:r>
              <w:rPr>
                <w:b/>
                <w:bCs/>
              </w:rPr>
              <w:t xml:space="preserve">Social-evaluative stress</w:t>
            </w:r>
          </w:p>
        </w:tc>
        <w:tc>
          <w:tcPr/>
          <w:p>
            <w:pPr>
              <w:jc w:val="both"/>
              <w:pStyle w:val="Compact"/>
            </w:pPr>
            <w:r>
              <w:t xml:space="preserve">Public speaking, social rejection (Cyberball), peer evaluation</w:t>
            </w:r>
          </w:p>
        </w:tc>
      </w:tr>
      <w:tr>
        <w:tc>
          <w:tcPr/>
          <w:p>
            <w:pPr>
              <w:jc w:val="both"/>
              <w:pStyle w:val="Compact"/>
            </w:pPr>
            <w:r>
              <w:rPr>
                <w:b/>
                <w:bCs/>
              </w:rPr>
              <w:t xml:space="preserve">Uncertainty</w:t>
            </w:r>
          </w:p>
        </w:tc>
        <w:tc>
          <w:tcPr/>
          <w:p>
            <w:pPr>
              <w:jc w:val="both"/>
              <w:pStyle w:val="Compact"/>
            </w:pPr>
            <w:r>
              <w:t xml:space="preserve">Probabilistic tasks, ambiguity paradigms, unpredictable threat (NPU task)</w:t>
            </w:r>
          </w:p>
        </w:tc>
      </w:tr>
      <w:tr>
        <w:tc>
          <w:tcPr/>
          <w:p>
            <w:pPr>
              <w:jc w:val="both"/>
              <w:pStyle w:val="Compact"/>
            </w:pPr>
            <w:r>
              <w:rPr>
                <w:b/>
                <w:bCs/>
              </w:rPr>
              <w:t xml:space="preserve">Emotion regulation</w:t>
            </w:r>
          </w:p>
        </w:tc>
        <w:tc>
          <w:tcPr/>
          <w:p>
            <w:pPr>
              <w:jc w:val="both"/>
              <w:pStyle w:val="Compact"/>
            </w:pPr>
            <w:r>
              <w:t xml:space="preserve">Reappraisal, suppression, distraction (explicit instruction paradigms)</w:t>
            </w:r>
          </w:p>
        </w:tc>
      </w:tr>
    </w:tbl>
    <w:p>
      <w:pPr>
        <w:pStyle w:val="Heading3"/>
      </w:pPr>
      <w:r>
        <w:t xml:space="preserve">Ambulatory / Real-World Protocols</w:t>
      </w:r>
    </w:p>
    <w:tbl>
      <w:tblPr>
        <w:tblStyle w:val="Table"/>
        <w:tblW w:w="9026" w:type="dxa"/>
        <w:tblLayout w:type="fixed"/>
        <w:tblLook w:firstRow="1" w:lastRow="0" w:firstColumn="0" w:lastColumn="0" w:noHBand="0" w:noVBand="0" w:val="0020"/>
        <w:jc w:val="center"/>
      </w:tblPr>
      <w:tblGrid>
        <w:gridCol w:w="3960"/>
        <w:gridCol w:w="3960"/>
      </w:tblGrid>
      <w:tr>
        <w:trPr>
          <w:tblHeader w:val="on"/>
        </w:trPr>
        <w:tc>
          <w:tcPr/>
          <w:p>
            <w:pPr>
              <w:jc w:val="both"/>
              <w:pStyle w:val="Compact"/>
            </w:pPr>
            <w:r>
              <w:t xml:space="preserve">Category</w:t>
            </w:r>
          </w:p>
        </w:tc>
        <w:tc>
          <w:tcPr/>
          <w:p>
            <w:pPr>
              <w:jc w:val="both"/>
              <w:pStyle w:val="Compact"/>
            </w:pPr>
            <w:r>
              <w:t xml:space="preserve">Examples</w:t>
            </w:r>
          </w:p>
        </w:tc>
      </w:tr>
      <w:tr>
        <w:tc>
          <w:tcPr/>
          <w:p>
            <w:pPr>
              <w:jc w:val="both"/>
              <w:pStyle w:val="Compact"/>
            </w:pPr>
            <w:r>
              <w:rPr>
                <w:sz w:val="18"/>
                <w:szCs w:val="18"/>
                <w:b/>
                <w:bCs/>
              </w:rPr>
              <w:t xml:space="preserve">Ecological Momentary Assessment (EMA)</w:t>
            </w:r>
          </w:p>
        </w:tc>
        <w:tc>
          <w:tcPr/>
          <w:p>
            <w:pPr>
              <w:jc w:val="both"/>
              <w:pStyle w:val="Compact"/>
            </w:pPr>
            <w:r>
              <w:t xml:space="preserve">Smartphone-based repeated self-report + concurrent physiological sampling</w:t>
            </w:r>
          </w:p>
        </w:tc>
      </w:tr>
      <w:tr>
        <w:tc>
          <w:tcPr/>
          <w:p>
            <w:pPr>
              <w:jc w:val="both"/>
              <w:pStyle w:val="Compact"/>
            </w:pPr>
            <w:r>
              <w:rPr>
                <w:b/>
                <w:bCs/>
              </w:rPr>
              <w:t xml:space="preserve">Wearable-based ambulatory monitoring</w:t>
            </w:r>
          </w:p>
        </w:tc>
        <w:tc>
          <w:tcPr/>
          <w:p>
            <w:pPr>
              <w:jc w:val="both"/>
              <w:pStyle w:val="Compact"/>
            </w:pPr>
            <w:r>
              <w:t xml:space="preserve">Apple Watch, Oura Ring, Empatica E4, Biopac BioNomadix — continuous HRV/EDA + EMA prompts</w:t>
            </w:r>
          </w:p>
        </w:tc>
      </w:tr>
      <w:tr>
        <w:tc>
          <w:tcPr/>
          <w:p>
            <w:pPr>
              <w:jc w:val="both"/>
              <w:pStyle w:val="Compact"/>
            </w:pPr>
            <w:r>
              <w:rPr>
                <w:b/>
                <w:bCs/>
              </w:rPr>
              <w:t xml:space="preserve">Daily-life stress diaries</w:t>
            </w:r>
          </w:p>
        </w:tc>
        <w:tc>
          <w:tcPr/>
          <w:p>
            <w:pPr>
              <w:jc w:val="both"/>
              <w:pStyle w:val="Compact"/>
            </w:pPr>
            <w:r>
              <w:t xml:space="preserve">End-of-day cortisol (hair/saliva) + daily affect ratings over ≥3 days</w:t>
            </w:r>
          </w:p>
        </w:tc>
      </w:tr>
    </w:tbl>
    <w:p>
      <w:pPr>
        <w:jc w:val="both"/>
        <w:pStyle w:val="BodyText"/>
      </w:pPr>
      <w:r>
        <w:rPr>
          <w:i/>
          <w:iCs/>
        </w:rPr>
        <w:t xml:space="preserve">Rationale: In 2025–2026, journals with IF&gt;10 prioritise ambulatory data with high ecological validity over purely laboratory designs.</w:t>
      </w:r>
    </w:p>
    <w:p>
      <w:pPr>
        <w:pStyle w:val="Heading2"/>
      </w:pPr>
      <w:r>
        <w:t xml:space="preserve">6. Biomarker Domains (Primary Only)</w:t>
      </w:r>
    </w:p>
    <w:p>
      <w:pPr>
        <w:jc w:val="both"/>
        <w:pStyle w:val="FirstParagraph"/>
      </w:pPr>
      <w:r>
        <w:rPr>
          <w:i/>
          <w:iCs/>
        </w:rPr>
        <w:t xml:space="preserve">Note: Exploratory domains (SCFAs, bile acids, gut permeability, GABA/glutamate, gut-brain peptides) are removed from the main protocol per peer review recommendation. They remain mentioned in the Discussion as «Future directions» pending adequate dynamic human data.</w:t>
      </w:r>
    </w:p>
    <w:tbl>
      <w:tblPr>
        <w:tblStyle w:val="Table"/>
        <w:tblW w:w="9026" w:type="dxa"/>
        <w:tblLayout w:type="fixed"/>
        <w:tblLook w:firstRow="1" w:lastRow="0" w:firstColumn="0" w:lastColumn="0" w:noHBand="0" w:noVBand="0" w:val="0020"/>
        <w:jc w:val="center"/>
      </w:tblPr>
      <w:tblGrid>
        <w:gridCol w:w="3334"/>
        <w:gridCol w:w="4585"/>
      </w:tblGrid>
      <w:tr>
        <w:trPr>
          <w:tblHeader w:val="on"/>
        </w:trPr>
        <w:tc>
          <w:tcPr/>
          <w:p>
            <w:pPr>
              <w:jc w:val="both"/>
              <w:pStyle w:val="Compact"/>
            </w:pPr>
            <w:r>
              <w:t xml:space="preserve">Domain</w:t>
            </w:r>
          </w:p>
        </w:tc>
        <w:tc>
          <w:tcPr/>
          <w:p>
            <w:pPr>
              <w:jc w:val="both"/>
              <w:pStyle w:val="Compact"/>
            </w:pPr>
            <w:r>
              <w:t xml:space="preserve">Biomarkers</w:t>
            </w:r>
          </w:p>
        </w:tc>
      </w:tr>
      <w:tr>
        <w:tc>
          <w:tcPr/>
          <w:p>
            <w:pPr>
              <w:jc w:val="both"/>
              <w:pStyle w:val="Compact"/>
            </w:pPr>
            <w:r>
              <w:rPr>
                <w:sz w:val="18"/>
                <w:szCs w:val="18"/>
                <w:b/>
                <w:bCs/>
              </w:rPr>
              <w:t xml:space="preserve">Autonomic regulation</w:t>
            </w:r>
          </w:p>
        </w:tc>
        <w:tc>
          <w:tcPr/>
          <w:p>
            <w:pPr>
              <w:jc w:val="both"/>
              <w:pStyle w:val="Compact"/>
            </w:pPr>
            <w:r>
              <w:t xml:space="preserve">HRV (RMSSD, SDNN, HF-HRV, LF/HF), DFA α1, vagal tone, PEP, EDA/SCR</w:t>
            </w:r>
          </w:p>
        </w:tc>
      </w:tr>
      <w:tr>
        <w:tc>
          <w:tcPr/>
          <w:p>
            <w:pPr>
              <w:jc w:val="both"/>
              <w:pStyle w:val="Compact"/>
            </w:pPr>
            <w:r>
              <w:rPr>
                <w:b/>
                <w:bCs/>
              </w:rPr>
              <w:t xml:space="preserve">Endocrine stress</w:t>
            </w:r>
          </w:p>
        </w:tc>
        <w:tc>
          <w:tcPr/>
          <w:p>
            <w:pPr>
              <w:jc w:val="both"/>
              <w:pStyle w:val="Compact"/>
            </w:pPr>
            <w:r>
              <w:t xml:space="preserve">Salivary cortisol (AUCi, AUCg), salivary alpha-amylase (sAA)</w:t>
            </w:r>
          </w:p>
        </w:tc>
      </w:tr>
      <w:tr>
        <w:tc>
          <w:tcPr/>
          <w:p>
            <w:pPr>
              <w:jc w:val="both"/>
              <w:pStyle w:val="Compact"/>
            </w:pPr>
            <w:r>
              <w:rPr>
                <w:b/>
                <w:bCs/>
              </w:rPr>
              <w:t xml:space="preserve">Inflammatory</w:t>
            </w:r>
          </w:p>
        </w:tc>
        <w:tc>
          <w:tcPr/>
          <w:p>
            <w:pPr>
              <w:jc w:val="both"/>
              <w:pStyle w:val="Compact"/>
            </w:pPr>
            <w:r>
              <w:t xml:space="preserve">CRP, IL-6, TNF-α</w:t>
            </w:r>
          </w:p>
        </w:tc>
      </w:tr>
      <w:tr>
        <w:tc>
          <w:tcPr/>
          <w:p>
            <w:pPr>
              <w:jc w:val="both"/>
              <w:pStyle w:val="Compact"/>
            </w:pPr>
            <w:r>
              <w:rPr>
                <w:b/>
                <w:bCs/>
              </w:rPr>
              <w:t xml:space="preserve">Metabolic</w:t>
            </w:r>
          </w:p>
        </w:tc>
        <w:tc>
          <w:tcPr/>
          <w:p>
            <w:pPr>
              <w:jc w:val="both"/>
              <w:pStyle w:val="Compact"/>
            </w:pPr>
            <w:r>
              <w:t xml:space="preserve">Tryptophan/kynurenine pathway (K:T ratio), quinolinic acid, picolinic acid</w:t>
            </w:r>
          </w:p>
        </w:tc>
      </w:tr>
      <w:tr>
        <w:tc>
          <w:tcPr/>
          <w:p>
            <w:pPr>
              <w:jc w:val="both"/>
              <w:pStyle w:val="Compact"/>
            </w:pPr>
            <w:r>
              <w:rPr>
                <w:b/>
                <w:bCs/>
              </w:rPr>
              <w:t xml:space="preserve">Neurophysiological</w:t>
            </w:r>
          </w:p>
        </w:tc>
        <w:tc>
          <w:tcPr/>
          <w:p>
            <w:pPr>
              <w:jc w:val="both"/>
              <w:pStyle w:val="Compact"/>
            </w:pPr>
            <w:r>
              <w:t xml:space="preserve">EEG frontal alpha asymmetry (FAA), LPP, P300, ERN, frontal theta</w:t>
            </w:r>
          </w:p>
        </w:tc>
      </w:tr>
    </w:tbl>
    <w:p>
      <w:pPr>
        <w:pStyle w:val="Heading2"/>
      </w:pPr>
      <w:r>
        <w:t xml:space="preserve">7. Temporal Structure Coding</w:t>
      </w:r>
    </w:p>
    <w:p>
      <w:pPr>
        <w:jc w:val="both"/>
        <w:pStyle w:val="FirstParagraph"/>
      </w:pPr>
      <w:r>
        <w:t xml:space="preserve">Each included study is coded for one or more of the following temporal structures:</w:t>
      </w:r>
    </w:p>
    <w:tbl>
      <w:tblPr>
        <w:tblStyle w:val="Table"/>
        <w:tblW w:w="9026" w:type="dxa"/>
        <w:tblLayout w:type="fixed"/>
        <w:tblLook w:firstRow="1" w:lastRow="0" w:firstColumn="0" w:lastColumn="0" w:noHBand="0" w:noVBand="0" w:val="0020"/>
        <w:jc w:val="center"/>
      </w:tblPr>
      <w:tblGrid>
        <w:gridCol w:w="1584"/>
        <w:gridCol w:w="2904"/>
        <w:gridCol w:w="3432"/>
      </w:tblGrid>
      <w:tr>
        <w:trPr>
          <w:tblHeader w:val="on"/>
        </w:trPr>
        <w:tc>
          <w:tcPr/>
          <w:p>
            <w:pPr>
              <w:jc w:val="both"/>
              <w:pStyle w:val="Compact"/>
            </w:pPr>
            <w:r>
              <w:t xml:space="preserve">Code</w:t>
            </w:r>
          </w:p>
        </w:tc>
        <w:tc>
          <w:tcPr/>
          <w:p>
            <w:pPr>
              <w:jc w:val="both"/>
              <w:pStyle w:val="Compact"/>
            </w:pPr>
            <w:r>
              <w:t xml:space="preserve">Structure</w:t>
            </w:r>
          </w:p>
        </w:tc>
        <w:tc>
          <w:tcPr/>
          <w:p>
            <w:pPr>
              <w:jc w:val="both"/>
              <w:pStyle w:val="Compact"/>
            </w:pPr>
            <w:r>
              <w:t xml:space="preserve">Description</w:t>
            </w:r>
          </w:p>
        </w:tc>
      </w:tr>
      <w:tr>
        <w:tc>
          <w:tcPr/>
          <w:p>
            <w:pPr>
              <w:jc w:val="both"/>
              <w:pStyle w:val="Compact"/>
            </w:pPr>
            <w:r>
              <w:rPr>
                <w:sz w:val="18"/>
                <w:szCs w:val="18"/>
                <w:b/>
                <w:bCs/>
              </w:rPr>
              <w:t xml:space="preserve">BA</w:t>
            </w:r>
          </w:p>
        </w:tc>
        <w:tc>
          <w:tcPr/>
          <w:p>
            <w:pPr>
              <w:jc w:val="both"/>
              <w:pStyle w:val="Compact"/>
            </w:pPr>
            <w:r>
              <w:t xml:space="preserve">Baseline → Activation only</w:t>
            </w:r>
          </w:p>
        </w:tc>
        <w:tc>
          <w:tcPr/>
          <w:p>
            <w:pPr>
              <w:jc w:val="both"/>
              <w:pStyle w:val="Compact"/>
            </w:pPr>
            <w:r>
              <w:t xml:space="preserve">Pre-post challenge, no recovery measurement</w:t>
            </w:r>
          </w:p>
        </w:tc>
      </w:tr>
      <w:tr>
        <w:tc>
          <w:tcPr/>
          <w:p>
            <w:pPr>
              <w:jc w:val="both"/>
              <w:pStyle w:val="Compact"/>
            </w:pPr>
            <w:r>
              <w:rPr>
                <w:b/>
                <w:bCs/>
              </w:rPr>
              <w:t xml:space="preserve">BAR</w:t>
            </w:r>
          </w:p>
        </w:tc>
        <w:tc>
          <w:tcPr/>
          <w:p>
            <w:pPr>
              <w:jc w:val="both"/>
              <w:pStyle w:val="Compact"/>
            </w:pPr>
            <w:r>
              <w:t xml:space="preserve">Baseline → Activation → Recovery</w:t>
            </w:r>
          </w:p>
        </w:tc>
        <w:tc>
          <w:tcPr/>
          <w:p>
            <w:pPr>
              <w:jc w:val="both"/>
              <w:pStyle w:val="Compact"/>
            </w:pPr>
            <w:r>
              <w:t xml:space="preserve">Full reactivity + recovery curve</w:t>
            </w:r>
          </w:p>
        </w:tc>
      </w:tr>
      <w:tr>
        <w:tc>
          <w:tcPr/>
          <w:p>
            <w:pPr>
              <w:jc w:val="both"/>
              <w:pStyle w:val="Compact"/>
            </w:pPr>
            <w:r>
              <w:rPr>
                <w:b/>
                <w:bCs/>
              </w:rPr>
              <w:t xml:space="preserve">RM</w:t>
            </w:r>
          </w:p>
        </w:tc>
        <w:tc>
          <w:tcPr/>
          <w:p>
            <w:pPr>
              <w:jc w:val="both"/>
              <w:pStyle w:val="Compact"/>
            </w:pPr>
            <w:r>
              <w:t xml:space="preserve">Repeated measures across conditions</w:t>
            </w:r>
          </w:p>
        </w:tc>
        <w:tc>
          <w:tcPr/>
          <w:p>
            <w:pPr>
              <w:jc w:val="both"/>
              <w:pStyle w:val="Compact"/>
            </w:pPr>
            <w:r>
              <w:t xml:space="preserve">Multiple conditions, each with biomarker sampling</w:t>
            </w:r>
          </w:p>
        </w:tc>
      </w:tr>
      <w:tr>
        <w:tc>
          <w:tcPr/>
          <w:p>
            <w:pPr>
              <w:jc w:val="both"/>
              <w:pStyle w:val="Compact"/>
            </w:pPr>
            <w:r>
              <w:rPr>
                <w:b/>
                <w:bCs/>
              </w:rPr>
              <w:t xml:space="preserve">LD</w:t>
            </w:r>
          </w:p>
        </w:tc>
        <w:tc>
          <w:tcPr/>
          <w:p>
            <w:pPr>
              <w:jc w:val="both"/>
              <w:pStyle w:val="Compact"/>
            </w:pPr>
            <w:r>
              <w:t xml:space="preserve">Longitudinal / daily-life dynamics</w:t>
            </w:r>
          </w:p>
        </w:tc>
        <w:tc>
          <w:tcPr/>
          <w:p>
            <w:pPr>
              <w:jc w:val="both"/>
              <w:pStyle w:val="Compact"/>
            </w:pPr>
            <w:r>
              <w:t xml:space="preserve">Multi-day sampling, ecological momentary assessment (EMA)</w:t>
            </w:r>
          </w:p>
        </w:tc>
      </w:tr>
      <w:tr>
        <w:tc>
          <w:tcPr/>
          <w:p>
            <w:pPr>
              <w:jc w:val="both"/>
              <w:pStyle w:val="Compact"/>
            </w:pPr>
            <w:r>
              <w:rPr>
                <w:b/>
                <w:bCs/>
              </w:rPr>
              <w:t xml:space="preserve">ESM</w:t>
            </w:r>
          </w:p>
        </w:tc>
        <w:tc>
          <w:tcPr/>
          <w:p>
            <w:pPr>
              <w:jc w:val="both"/>
              <w:pStyle w:val="Compact"/>
            </w:pPr>
            <w:r>
              <w:t xml:space="preserve">Ecological Sampling Method</w:t>
            </w:r>
          </w:p>
        </w:tc>
        <w:tc>
          <w:tcPr/>
          <w:p>
            <w:pPr>
              <w:jc w:val="both"/>
              <w:pStyle w:val="Compact"/>
            </w:pPr>
            <w:r>
              <w:t xml:space="preserve">Continuous wearable data + EMA prompts in real-world settings</w:t>
            </w:r>
          </w:p>
        </w:tc>
      </w:tr>
    </w:tbl>
    <w:p>
      <w:pPr>
        <w:jc w:val="both"/>
        <w:pStyle w:val="BodyText"/>
      </w:pPr>
      <w:r>
        <w:rPr>
          <w:b/>
          <w:bCs/>
        </w:rPr>
        <w:t xml:space="preserve">ESM code — minimum criteria (must satisfy ALL four):</w:t>
      </w:r>
      <w:r>
        <w:t xml:space="preserve"> </w:t>
      </w:r>
      <w:r>
        <w:t xml:space="preserve">1.</w:t>
      </w:r>
      <w:r>
        <w:t xml:space="preserve"> </w:t>
      </w:r>
      <w:r>
        <w:rPr>
          <w:b/>
          <w:bCs/>
        </w:rPr>
        <w:t xml:space="preserve">Duration:</w:t>
      </w:r>
      <w:r>
        <w:t xml:space="preserve"> </w:t>
      </w:r>
      <w:r>
        <w:t xml:space="preserve">Minimum</w:t>
      </w:r>
      <w:r>
        <w:t xml:space="preserve"> </w:t>
      </w:r>
      <w:r>
        <w:rPr>
          <w:b/>
          <w:bCs/>
        </w:rPr>
        <w:t xml:space="preserve">3 days</w:t>
      </w:r>
      <w:r>
        <w:t xml:space="preserve"> </w:t>
      </w:r>
      <w:r>
        <w:t xml:space="preserve">of data collection in the natural environment (not laboratory)</w:t>
      </w:r>
      <w:r>
        <w:t xml:space="preserve"> </w:t>
      </w:r>
      <w:r>
        <w:t xml:space="preserve">2.</w:t>
      </w:r>
      <w:r>
        <w:t xml:space="preserve"> </w:t>
      </w:r>
      <w:r>
        <w:rPr>
          <w:b/>
          <w:bCs/>
        </w:rPr>
        <w:t xml:space="preserve">Sampling density:</w:t>
      </w:r>
      <w:r>
        <w:t xml:space="preserve"> </w:t>
      </w:r>
      <w:r>
        <w:t xml:space="preserve">Minimum</w:t>
      </w:r>
      <w:r>
        <w:t xml:space="preserve"> </w:t>
      </w:r>
      <w:r>
        <w:rPr>
          <w:b/>
          <w:bCs/>
        </w:rPr>
        <w:t xml:space="preserve">3 measurements per day</w:t>
      </w:r>
      <w:r>
        <w:t xml:space="preserve"> </w:t>
      </w:r>
      <w:r>
        <w:t xml:space="preserve">(EMA prompts) OR continuous wearable recording with ≥3 analysis epochs per day</w:t>
      </w:r>
      <w:r>
        <w:t xml:space="preserve"> </w:t>
      </w:r>
      <w:r>
        <w:t xml:space="preserve">3.</w:t>
      </w:r>
      <w:r>
        <w:t xml:space="preserve"> </w:t>
      </w:r>
      <w:r>
        <w:rPr>
          <w:b/>
          <w:bCs/>
        </w:rPr>
        <w:t xml:space="preserve">Temporal coupling:</w:t>
      </w:r>
      <w:r>
        <w:t xml:space="preserve"> </w:t>
      </w:r>
      <w:r>
        <w:t xml:space="preserve">Biomarker and affective/cognitive measure are</w:t>
      </w:r>
      <w:r>
        <w:t xml:space="preserve"> </w:t>
      </w:r>
      <w:r>
        <w:rPr>
          <w:b/>
          <w:bCs/>
        </w:rPr>
        <w:t xml:space="preserve">timestamp-matched</w:t>
      </w:r>
      <w:r>
        <w:t xml:space="preserve"> </w:t>
      </w:r>
      <w:r>
        <w:t xml:space="preserve">(same hour or synchronised via device clock)</w:t>
      </w:r>
      <w:r>
        <w:t xml:space="preserve"> </w:t>
      </w:r>
      <w:r>
        <w:t xml:space="preserve">4.</w:t>
      </w:r>
      <w:r>
        <w:t xml:space="preserve"> </w:t>
      </w:r>
      <w:r>
        <w:rPr>
          <w:b/>
          <w:bCs/>
        </w:rPr>
        <w:t xml:space="preserve">Device specification:</w:t>
      </w:r>
      <w:r>
        <w:t xml:space="preserve"> </w:t>
      </w:r>
      <w:r>
        <w:t xml:space="preserve">If wearable — model and sampling rate documented (e.g., «Empatica E4, EDA at 4 Hz, HR at 1 Hz»)</w:t>
      </w:r>
    </w:p>
    <w:p>
      <w:pPr>
        <w:jc w:val="both"/>
        <w:pStyle w:val="BodyText"/>
      </w:pPr>
      <w:r>
        <w:rPr>
          <w:i/>
          <w:iCs/>
        </w:rPr>
        <w:t xml:space="preserve">This coding serves as a quality/richness indicator and allows subgroup comparison. ESM-coded studies are analysed separately as the highest tier of ecological validity. Studies with &lt;3 days, &lt;3 measurements/day, or uncoupled biomarker-affect sampling are coded as LD (Longitudinal), not ESM.</w:t>
      </w:r>
    </w:p>
    <w:p>
      <w:pPr>
        <w:pStyle w:val="Heading2"/>
      </w:pPr>
      <w:r>
        <w:t xml:space="preserve">8. Databases to Search</w:t>
      </w:r>
    </w:p>
    <w:tbl>
      <w:tblPr>
        <w:tblStyle w:val="Table"/>
        <w:tblW w:w="9026" w:type="dxa"/>
        <w:tblLayout w:type="fixed"/>
        <w:tblLook w:firstRow="1" w:lastRow="0" w:firstColumn="0" w:lastColumn="0" w:noHBand="0" w:noVBand="0" w:val="0020"/>
        <w:jc w:val="center"/>
      </w:tblPr>
      <w:tblGrid>
        <w:gridCol w:w="2030"/>
        <w:gridCol w:w="1624"/>
        <w:gridCol w:w="2030"/>
        <w:gridCol w:w="2233"/>
      </w:tblGrid>
      <w:tr>
        <w:trPr>
          <w:tblHeader w:val="on"/>
        </w:trPr>
        <w:tc>
          <w:tcPr/>
          <w:p>
            <w:pPr>
              <w:jc w:val="both"/>
              <w:pStyle w:val="Compact"/>
            </w:pPr>
            <w:r>
              <w:t xml:space="preserve">Database</w:t>
            </w:r>
          </w:p>
        </w:tc>
        <w:tc>
          <w:tcPr/>
          <w:p>
            <w:pPr>
              <w:jc w:val="both"/>
              <w:pStyle w:val="Compact"/>
            </w:pPr>
            <w:r>
              <w:t xml:space="preserve">Access</w:t>
            </w:r>
          </w:p>
        </w:tc>
        <w:tc>
          <w:tcPr/>
          <w:p>
            <w:pPr>
              <w:jc w:val="both"/>
              <w:pStyle w:val="Compact"/>
            </w:pPr>
            <w:r>
              <w:t xml:space="preserve">Priority</w:t>
            </w:r>
          </w:p>
        </w:tc>
        <w:tc>
          <w:tcPr/>
          <w:p>
            <w:pPr>
              <w:jc w:val="both"/>
              <w:pStyle w:val="Compact"/>
            </w:pPr>
            <w:r>
              <w:t xml:space="preserve">Rationale</w:t>
            </w:r>
          </w:p>
        </w:tc>
      </w:tr>
      <w:tr>
        <w:tc>
          <w:tcPr/>
          <w:p>
            <w:pPr>
              <w:jc w:val="both"/>
              <w:pStyle w:val="Compact"/>
            </w:pPr>
            <w:r>
              <w:rPr>
                <w:sz w:val="18"/>
                <w:szCs w:val="18"/>
                <w:b/>
                <w:bCs/>
              </w:rPr>
              <w:t xml:space="preserve">PubMed/MEDLINE</w:t>
            </w:r>
          </w:p>
        </w:tc>
        <w:tc>
          <w:tcPr/>
          <w:p>
            <w:pPr>
              <w:jc w:val="both"/>
              <w:pStyle w:val="Compact"/>
            </w:pPr>
            <w:r>
              <w:t xml:space="preserve">✅ Full (Jaba)</w:t>
            </w:r>
          </w:p>
        </w:tc>
        <w:tc>
          <w:tcPr/>
          <w:p>
            <w:pPr>
              <w:jc w:val="both"/>
              <w:pStyle w:val="Compact"/>
            </w:pPr>
            <w:r>
              <w:t xml:space="preserve">Primary</w:t>
            </w:r>
          </w:p>
        </w:tc>
        <w:tc>
          <w:tcPr/>
          <w:p>
            <w:pPr>
              <w:jc w:val="both"/>
              <w:pStyle w:val="Compact"/>
            </w:pPr>
            <w:r>
              <w:t xml:space="preserve">Biomedical core</w:t>
            </w:r>
          </w:p>
        </w:tc>
      </w:tr>
      <w:tr>
        <w:tc>
          <w:tcPr/>
          <w:p>
            <w:pPr>
              <w:jc w:val="both"/>
              <w:pStyle w:val="Compact"/>
            </w:pPr>
            <w:r>
              <w:rPr>
                <w:b/>
                <w:bCs/>
              </w:rPr>
              <w:t xml:space="preserve">Embase</w:t>
            </w:r>
          </w:p>
        </w:tc>
        <w:tc>
          <w:tcPr/>
          <w:p>
            <w:pPr>
              <w:jc w:val="both"/>
              <w:pStyle w:val="Compact"/>
            </w:pPr>
            <w:r>
              <w:t xml:space="preserve">⚠️ Request via university/ResearchGate</w:t>
            </w:r>
          </w:p>
        </w:tc>
        <w:tc>
          <w:tcPr/>
          <w:p>
            <w:pPr>
              <w:jc w:val="both"/>
              <w:pStyle w:val="Compact"/>
            </w:pPr>
            <w:r>
              <w:rPr>
                <w:b/>
                <w:bCs/>
              </w:rPr>
              <w:t xml:space="preserve">Mandatory</w:t>
            </w:r>
          </w:p>
        </w:tc>
        <w:tc>
          <w:tcPr/>
          <w:p>
            <w:pPr>
              <w:jc w:val="both"/>
              <w:pStyle w:val="Compact"/>
            </w:pPr>
            <w:r>
              <w:t xml:space="preserve">Pharmacological + physiological data; broader than PubMed for biomarker studies</w:t>
            </w:r>
          </w:p>
        </w:tc>
      </w:tr>
      <w:tr>
        <w:tc>
          <w:tcPr/>
          <w:p>
            <w:pPr>
              <w:jc w:val="both"/>
              <w:pStyle w:val="Compact"/>
            </w:pPr>
            <w:r>
              <w:rPr>
                <w:b/>
                <w:bCs/>
              </w:rPr>
              <w:t xml:space="preserve">Scopus</w:t>
            </w:r>
          </w:p>
        </w:tc>
        <w:tc>
          <w:tcPr/>
          <w:p>
            <w:pPr>
              <w:jc w:val="both"/>
              <w:pStyle w:val="Compact"/>
            </w:pPr>
            <w:r>
              <w:t xml:space="preserve">✅ Via Afaf’s institution</w:t>
            </w:r>
          </w:p>
        </w:tc>
        <w:tc>
          <w:tcPr/>
          <w:p>
            <w:pPr>
              <w:jc w:val="both"/>
              <w:pStyle w:val="Compact"/>
            </w:pPr>
            <w:r>
              <w:t xml:space="preserve">Supplementary</w:t>
            </w:r>
          </w:p>
        </w:tc>
        <w:tc>
          <w:tcPr/>
          <w:p>
            <w:pPr>
              <w:jc w:val="both"/>
              <w:pStyle w:val="Compact"/>
            </w:pPr>
            <w:r>
              <w:t xml:space="preserve">Social + behavioural sciences</w:t>
            </w:r>
          </w:p>
        </w:tc>
      </w:tr>
      <w:tr>
        <w:tc>
          <w:tcPr/>
          <w:p>
            <w:pPr>
              <w:jc w:val="both"/>
              <w:pStyle w:val="Compact"/>
            </w:pPr>
            <w:r>
              <w:rPr>
                <w:b/>
                <w:bCs/>
              </w:rPr>
              <w:t xml:space="preserve">PsycINFO</w:t>
            </w:r>
          </w:p>
        </w:tc>
        <w:tc>
          <w:tcPr/>
          <w:p>
            <w:pPr>
              <w:jc w:val="both"/>
              <w:pStyle w:val="Compact"/>
            </w:pPr>
            <w:r>
              <w:t xml:space="preserve">⚠️ Via Afaf’s institution</w:t>
            </w:r>
          </w:p>
        </w:tc>
        <w:tc>
          <w:tcPr/>
          <w:p>
            <w:pPr>
              <w:jc w:val="both"/>
              <w:pStyle w:val="Compact"/>
            </w:pPr>
            <w:r>
              <w:t xml:space="preserve">Supplementary</w:t>
            </w:r>
          </w:p>
        </w:tc>
        <w:tc>
          <w:tcPr/>
          <w:p>
            <w:pPr>
              <w:jc w:val="both"/>
              <w:pStyle w:val="Compact"/>
            </w:pPr>
            <w:r>
              <w:t xml:space="preserve">Psychological constructs, emotion regulation</w:t>
            </w:r>
          </w:p>
        </w:tc>
      </w:tr>
      <w:tr>
        <w:tc>
          <w:tcPr/>
          <w:p>
            <w:pPr>
              <w:jc w:val="both"/>
              <w:pStyle w:val="Compact"/>
            </w:pPr>
            <w:r>
              <w:rPr>
                <w:b/>
                <w:bCs/>
              </w:rPr>
              <w:t xml:space="preserve">Web of Science</w:t>
            </w:r>
          </w:p>
        </w:tc>
        <w:tc>
          <w:tcPr/>
          <w:p>
            <w:pPr>
              <w:jc w:val="both"/>
              <w:pStyle w:val="Compact"/>
            </w:pPr>
            <w:r>
              <w:t xml:space="preserve">⚠️ Limited (Jaba)</w:t>
            </w:r>
          </w:p>
        </w:tc>
        <w:tc>
          <w:tcPr/>
          <w:p>
            <w:pPr>
              <w:jc w:val="both"/>
              <w:pStyle w:val="Compact"/>
            </w:pPr>
            <w:r>
              <w:t xml:space="preserve">Supplementary</w:t>
            </w:r>
          </w:p>
        </w:tc>
        <w:tc>
          <w:tcPr/>
          <w:p>
            <w:pPr>
              <w:jc w:val="both"/>
              <w:pStyle w:val="Compact"/>
            </w:pPr>
            <w:r>
              <w:t xml:space="preserve">Citation tracking</w:t>
            </w:r>
          </w:p>
        </w:tc>
      </w:tr>
      <w:tr>
        <w:tc>
          <w:tcPr/>
          <w:p>
            <w:pPr>
              <w:jc w:val="both"/>
              <w:pStyle w:val="Compact"/>
            </w:pPr>
            <w:r>
              <w:rPr>
                <w:b/>
                <w:bCs/>
              </w:rPr>
              <w:t xml:space="preserve">ProQuest Dissertations</w:t>
            </w:r>
          </w:p>
        </w:tc>
        <w:tc>
          <w:tcPr/>
          <w:p>
            <w:pPr>
              <w:jc w:val="both"/>
              <w:pStyle w:val="Compact"/>
            </w:pPr>
            <w:r>
              <w:t xml:space="preserve">⚠️ Request access</w:t>
            </w:r>
          </w:p>
        </w:tc>
        <w:tc>
          <w:tcPr/>
          <w:p>
            <w:pPr>
              <w:jc w:val="both"/>
              <w:pStyle w:val="Compact"/>
            </w:pPr>
            <w:r>
              <w:t xml:space="preserve">Supplementary</w:t>
            </w:r>
          </w:p>
        </w:tc>
        <w:tc>
          <w:tcPr/>
          <w:p>
            <w:pPr>
              <w:jc w:val="both"/>
              <w:pStyle w:val="Compact"/>
            </w:pPr>
            <w:r>
              <w:t xml:space="preserve">Grey literature — doctoral theses</w:t>
            </w:r>
          </w:p>
        </w:tc>
      </w:tr>
      <w:tr>
        <w:tc>
          <w:tcPr/>
          <w:p>
            <w:pPr>
              <w:jc w:val="both"/>
              <w:pStyle w:val="Compact"/>
            </w:pPr>
            <w:r>
              <w:rPr>
                <w:b/>
                <w:bCs/>
              </w:rPr>
              <w:t xml:space="preserve">Google Scholar</w:t>
            </w:r>
          </w:p>
        </w:tc>
        <w:tc>
          <w:tcPr/>
          <w:p>
            <w:pPr>
              <w:jc w:val="both"/>
              <w:pStyle w:val="Compact"/>
            </w:pPr>
            <w:r>
              <w:t xml:space="preserve">✅ Free</w:t>
            </w:r>
          </w:p>
        </w:tc>
        <w:tc>
          <w:tcPr/>
          <w:p>
            <w:pPr>
              <w:jc w:val="both"/>
              <w:pStyle w:val="Compact"/>
            </w:pPr>
            <w:r>
              <w:t xml:space="preserve">Supplementary</w:t>
            </w:r>
          </w:p>
        </w:tc>
        <w:tc>
          <w:tcPr/>
          <w:p>
            <w:pPr>
              <w:jc w:val="both"/>
              <w:pStyle w:val="Compact"/>
            </w:pPr>
            <w:r>
              <w:t xml:space="preserve">First 200 results for grey literature + citation tracking</w:t>
            </w:r>
          </w:p>
        </w:tc>
      </w:tr>
      <w:tr>
        <w:tc>
          <w:tcPr/>
          <w:p>
            <w:pPr>
              <w:jc w:val="both"/>
              <w:pStyle w:val="Compact"/>
            </w:pPr>
            <w:r>
              <w:rPr>
                <w:b/>
                <w:bCs/>
              </w:rPr>
              <w:t xml:space="preserve">Backward citation</w:t>
            </w:r>
          </w:p>
        </w:tc>
        <w:tc>
          <w:tcPr/>
          <w:p>
            <w:pPr>
              <w:jc w:val="both"/>
              <w:pStyle w:val="Compact"/>
            </w:pPr>
            <w:r>
              <w:t xml:space="preserve">From included studies + relevant reviews</w:t>
            </w:r>
          </w:p>
        </w:tc>
        <w:tc>
          <w:tcPr/>
          <w:p>
            <w:pPr>
              <w:jc w:val="both"/>
              <w:pStyle w:val="Compact"/>
            </w:pPr>
            <w:r>
              <w:t xml:space="preserve">Supplementary</w:t>
            </w:r>
          </w:p>
        </w:tc>
        <w:tc>
          <w:tcPr/>
          <w:p>
            <w:pPr>
              <w:jc w:val="both"/>
              <w:pStyle w:val="Compact"/>
            </w:pPr>
            <w:r>
              <w:t xml:space="preserve">Snowballing</w:t>
            </w:r>
          </w:p>
        </w:tc>
      </w:tr>
    </w:tbl>
    <w:p>
      <w:pPr>
        <w:jc w:val="both"/>
        <w:pStyle w:val="BodyText"/>
      </w:pPr>
      <w:r>
        <w:rPr>
          <w:i/>
          <w:iCs/>
        </w:rPr>
        <w:t xml:space="preserve">Rationale: Embase is mandatory for IF&gt;10 journals — it indexes ~2,900 unique journals not in PubMed, with superior coverage of pharmacology, physiology, and drug effects on biomarkers. ProQuest captures unpublished dynamic biomarker studies. Google Scholar (first 200) captures preprints and conference proceedings.</w:t>
      </w:r>
    </w:p>
    <w:p>
      <w:pPr>
        <w:pStyle w:val="Heading2"/>
      </w:pPr>
      <w:r>
        <w:t xml:space="preserve">9. Search String (PubMed — v2.2, IF 18+ upgrade)</w:t>
      </w:r>
    </w:p>
    <w:p>
      <w:pPr>
        <w:jc w:val="both"/>
        <w:pStyle w:val="FirstParagraph"/>
      </w:pPr>
      <w:r>
        <w:rPr>
          <w:i/>
          <w:iCs/>
        </w:rPr>
        <w:t xml:space="preserve">Restructured per reviewer recommendation: no generic “biomarker</w:t>
      </w:r>
      <w:r>
        <w:t xml:space="preserve">” without context. Emotional/cognitive regulation terms moved to the front. MeSH terms for all primary domains.*</w:t>
      </w:r>
    </w:p>
    <w:p>
      <w:pPr>
        <w:jc w:val="both"/>
        <w:pStyle w:val="SourceCode"/>
      </w:pPr>
      <w:r>
        <w:rPr>
          <w:rStyle w:val="VerbatimChar"/>
        </w:rPr>
        <w:t xml:space="preserve">(("Heart Rate"[MeSH] OR "heart rate variability"[MeSH] OR "HRV"[tiab] OR "RMSSD"[tiab]</w:t>
      </w:r>
      <w:r>
        <w:br/>
      </w:r>
      <w:r>
        <w:rPr>
          <w:rStyle w:val="VerbatimChar"/>
        </w:rPr>
        <w:t xml:space="preserve">  OR "Hydrocortisone"[MeSH] OR "cortisol"[tiab] OR "salivary alpha-amylase"[tiab] OR "sAA"[tiab]</w:t>
      </w:r>
      <w:r>
        <w:br/>
      </w:r>
      <w:r>
        <w:rPr>
          <w:rStyle w:val="VerbatimChar"/>
        </w:rPr>
        <w:t xml:space="preserve">  OR "Interleukin-6"[MeSH] OR "IL-6"[tiab] OR "C-Reactive Protein"[MeSH] OR "CRP"[tiab] OR "TNF-alpha"[tiab]</w:t>
      </w:r>
      <w:r>
        <w:br/>
      </w:r>
      <w:r>
        <w:rPr>
          <w:rStyle w:val="VerbatimChar"/>
        </w:rPr>
        <w:t xml:space="preserve">  OR "Tryptophan"[MeSH] OR "tryptophan"[tiab] OR "Kynurenine"[MeSH] OR "kynurenine"[tiab]</w:t>
      </w:r>
      <w:r>
        <w:br/>
      </w:r>
      <w:r>
        <w:rPr>
          <w:rStyle w:val="VerbatimChar"/>
        </w:rPr>
        <w:t xml:space="preserve">  OR "Electroencephalography"[MeSH] OR "EEG"[tiab] OR "frontal alpha asymmetry"[tiab]</w:t>
      </w:r>
      <w:r>
        <w:br/>
      </w:r>
      <w:r>
        <w:rPr>
          <w:rStyle w:val="VerbatimChar"/>
        </w:rPr>
        <w:t xml:space="preserve">  OR "LPP"[tiab] OR "P300"[tiab] OR "ERN"[tiab] OR "frontal theta"[tiab]</w:t>
      </w:r>
      <w:r>
        <w:br/>
      </w:r>
      <w:r>
        <w:rPr>
          <w:rStyle w:val="VerbatimChar"/>
        </w:rPr>
        <w:t xml:space="preserve">  OR "Galvanic Skin Response"[MeSH] OR "EDA"[tiab] OR "skin conductance"[tiab]))</w:t>
      </w:r>
      <w:r>
        <w:br/>
      </w:r>
      <w:r>
        <w:br/>
      </w:r>
      <w:r>
        <w:rPr>
          <w:rStyle w:val="VerbatimChar"/>
        </w:rPr>
        <w:t xml:space="preserve">AND</w:t>
      </w:r>
      <w:r>
        <w:br/>
      </w:r>
      <w:r>
        <w:br/>
      </w:r>
      <w:r>
        <w:rPr>
          <w:rStyle w:val="VerbatimChar"/>
        </w:rPr>
        <w:t xml:space="preserve">(("Emotional Regulation"[MeSH] OR "Stress, Psychological"[MeSH] OR "Cognition"[MeSH]</w:t>
      </w:r>
      <w:r>
        <w:br/>
      </w:r>
      <w:r>
        <w:rPr>
          <w:rStyle w:val="VerbatimChar"/>
        </w:rPr>
        <w:t xml:space="preserve">  OR "affect* regulation"[tiab] OR "emotion regulation"[tiab] OR "cognitive reappraisal"[tiab]</w:t>
      </w:r>
      <w:r>
        <w:br/>
      </w:r>
      <w:r>
        <w:rPr>
          <w:rStyle w:val="VerbatimChar"/>
        </w:rPr>
        <w:t xml:space="preserve">  OR "acute stress"[tiab] OR "social stress"[tiab] OR "uncertainty"[tiab] OR "TSST"[tiab]</w:t>
      </w:r>
      <w:r>
        <w:br/>
      </w:r>
      <w:r>
        <w:rPr>
          <w:rStyle w:val="VerbatimChar"/>
        </w:rPr>
        <w:t xml:space="preserve">  OR "cognitive load"[tiab] OR "threat"[tiab] OR "challenge"[tiab]))</w:t>
      </w:r>
      <w:r>
        <w:br/>
      </w:r>
      <w:r>
        <w:br/>
      </w:r>
      <w:r>
        <w:rPr>
          <w:rStyle w:val="VerbatimChar"/>
        </w:rPr>
        <w:t xml:space="preserve">AND</w:t>
      </w:r>
      <w:r>
        <w:br/>
      </w:r>
      <w:r>
        <w:br/>
      </w:r>
      <w:r>
        <w:rPr>
          <w:rStyle w:val="VerbatimChar"/>
        </w:rPr>
        <w:t xml:space="preserve">(("repeated measures"[tiab] OR "time series"[tiab] OR "recovery"[tiab]</w:t>
      </w:r>
      <w:r>
        <w:br/>
      </w:r>
      <w:r>
        <w:rPr>
          <w:rStyle w:val="VerbatimChar"/>
        </w:rPr>
        <w:t xml:space="preserve">  OR "reactivity"[tiab] OR "transition*"[tiab] OR "dynamic*"[tiab]</w:t>
      </w:r>
      <w:r>
        <w:br/>
      </w:r>
      <w:r>
        <w:rPr>
          <w:rStyle w:val="VerbatimChar"/>
        </w:rPr>
        <w:t xml:space="preserve">  OR "EMA"[tiab] OR "ecological momentary"[tiab] OR "ambulatory"[tiab]</w:t>
      </w:r>
      <w:r>
        <w:br/>
      </w:r>
      <w:r>
        <w:rPr>
          <w:rStyle w:val="VerbatimChar"/>
        </w:rPr>
        <w:t xml:space="preserve">  OR "wearable"[tiab] OR "daily diary"[tiab]))</w:t>
      </w:r>
      <w:r>
        <w:br/>
      </w:r>
      <w:r>
        <w:br/>
      </w:r>
      <w:r>
        <w:rPr>
          <w:rStyle w:val="VerbatimChar"/>
        </w:rPr>
        <w:t xml:space="preserve">AND</w:t>
      </w:r>
      <w:r>
        <w:br/>
      </w:r>
      <w:r>
        <w:br/>
      </w:r>
      <w:r>
        <w:rPr>
          <w:rStyle w:val="VerbatimChar"/>
        </w:rPr>
        <w:t xml:space="preserve">("Humans"[MeSH] AND "Adult"[MeSH])</w:t>
      </w:r>
      <w:r>
        <w:br/>
      </w:r>
      <w:r>
        <w:br/>
      </w:r>
      <w:r>
        <w:rPr>
          <w:rStyle w:val="VerbatimChar"/>
        </w:rPr>
        <w:t xml:space="preserve">AND</w:t>
      </w:r>
      <w:r>
        <w:br/>
      </w:r>
      <w:r>
        <w:br/>
      </w:r>
      <w:r>
        <w:rPr>
          <w:rStyle w:val="VerbatimChar"/>
        </w:rPr>
        <w:t xml:space="preserve">("2000"[Date - Publication] : "2026"[Date - Publication])</w:t>
      </w:r>
      <w:r>
        <w:br/>
      </w:r>
      <w:r>
        <w:br/>
      </w:r>
      <w:r>
        <w:rPr>
          <w:rStyle w:val="VerbatimChar"/>
        </w:rPr>
        <w:t xml:space="preserve">NOT</w:t>
      </w:r>
      <w:r>
        <w:br/>
      </w:r>
      <w:r>
        <w:br/>
      </w:r>
      <w:r>
        <w:rPr>
          <w:rStyle w:val="VerbatimChar"/>
        </w:rPr>
        <w:t xml:space="preserve">("animal*"[ti] OR "review"[pt] OR "meta-analysis"[pt] OR "comment"[pt] OR "editorial"[pt])</w:t>
      </w:r>
    </w:p>
    <w:p>
      <w:pPr>
        <w:jc w:val="both"/>
        <w:pStyle w:val="FirstParagraph"/>
      </w:pPr>
      <w:r>
        <w:rPr>
          <w:b/>
          <w:bCs/>
        </w:rPr>
        <w:t xml:space="preserve">Scopus adaptation:</w:t>
      </w:r>
      <w:r>
        <w:t xml:space="preserve"> </w:t>
      </w:r>
      <w:r>
        <w:t xml:space="preserve">Replace MeSH with EMTREE/thesaurus terms. Remove</w:t>
      </w:r>
      <w:r>
        <w:t xml:space="preserve"> </w:t>
      </w:r>
      <w:r>
        <w:rPr>
          <w:rStyle w:val="VerbatimChar"/>
        </w:rPr>
        <w:t xml:space="preserve">[tiab]</w:t>
      </w:r>
      <w:r>
        <w:t xml:space="preserve">/</w:t>
      </w:r>
      <w:r>
        <w:rPr>
          <w:rStyle w:val="VerbatimChar"/>
        </w:rPr>
        <w:t xml:space="preserve">[pt]</w:t>
      </w:r>
      <w:r>
        <w:t xml:space="preserve"> </w:t>
      </w:r>
      <w:r>
        <w:t xml:space="preserve">tags. Use Scopus field codes (</w:t>
      </w:r>
      <w:r>
        <w:rPr>
          <w:rStyle w:val="VerbatimChar"/>
        </w:rPr>
        <w:t xml:space="preserve">TITLE-ABS-KEY</w:t>
      </w:r>
      <w:r>
        <w:t xml:space="preserve">,</w:t>
      </w:r>
      <w:r>
        <w:t xml:space="preserve"> </w:t>
      </w:r>
      <w:r>
        <w:rPr>
          <w:rStyle w:val="VerbatimChar"/>
        </w:rPr>
        <w:t xml:space="preserve">INDEXTERMS</w:t>
      </w:r>
      <w:r>
        <w:t xml:space="preserve">).</w:t>
      </w:r>
    </w:p>
    <w:p>
      <w:pPr>
        <w:jc w:val="both"/>
        <w:pStyle w:val="BodyText"/>
      </w:pPr>
      <w:r>
        <w:rPr>
          <w:b/>
          <w:bCs/>
        </w:rPr>
        <w:t xml:space="preserve">Embase adaptation:</w:t>
      </w:r>
      <w:r>
        <w:t xml:space="preserve"> </w:t>
      </w:r>
      <w:r>
        <w:t xml:space="preserve">Use EMTREE terms (</w:t>
      </w:r>
      <w:r>
        <w:rPr>
          <w:rStyle w:val="VerbatimChar"/>
        </w:rPr>
        <w:t xml:space="preserve">'heart rate variability'/exp</w:t>
      </w:r>
      <w:r>
        <w:t xml:space="preserve">,</w:t>
      </w:r>
      <w:r>
        <w:t xml:space="preserve"> </w:t>
      </w:r>
      <w:r>
        <w:rPr>
          <w:rStyle w:val="VerbatimChar"/>
        </w:rPr>
        <w:t xml:space="preserve">'hydrocortisone'/exp</w:t>
      </w:r>
      <w:r>
        <w:t xml:space="preserve">, etc.) +</w:t>
      </w:r>
      <w:r>
        <w:t xml:space="preserve"> </w:t>
      </w:r>
      <w:r>
        <w:rPr>
          <w:rStyle w:val="VerbatimChar"/>
        </w:rPr>
        <w:t xml:space="preserve">:ti,ab,kw</w:t>
      </w:r>
      <w:r>
        <w:t xml:space="preserve"> </w:t>
      </w:r>
      <w:r>
        <w:t xml:space="preserve">field qualifiers.</w:t>
      </w:r>
    </w:p>
    <w:p>
      <w:pPr>
        <w:pStyle w:val="Heading2"/>
      </w:pPr>
      <w:r>
        <w:t xml:space="preserve">10. Risk of Bias &amp; Quality Assessment (JBI + NIH)</w:t>
      </w:r>
    </w:p>
    <w:p>
      <w:pPr>
        <w:pStyle w:val="Heading3"/>
      </w:pPr>
      <w:r>
        <w:t xml:space="preserve">Critical Appraisal Tool (Unified — Single Framework)</w:t>
      </w:r>
    </w:p>
    <w:p>
      <w:pPr>
        <w:jc w:val="both"/>
        <w:pStyle w:val="FirstParagraph"/>
      </w:pPr>
      <w:r>
        <w:rPr>
          <w:b/>
          <w:bCs/>
        </w:rPr>
        <w:t xml:space="preserve">Single tool for all studies:</w:t>
      </w:r>
      <w:r>
        <w:t xml:space="preserve"> </w:t>
      </w:r>
      <w:r>
        <w:rPr>
          <w:b/>
          <w:bCs/>
        </w:rPr>
        <w:t xml:space="preserve">JBI Critical Appraisal Checklists (revised 2026)</w:t>
      </w:r>
      <w:r>
        <w:t xml:space="preserve"> </w:t>
      </w:r>
      <w:r>
        <w:t xml:space="preserve">— design-specific modules within a unified methodological framework.</w:t>
      </w:r>
    </w:p>
    <w:tbl>
      <w:tblPr>
        <w:tblStyle w:val="Table"/>
        <w:tblW w:w="9026" w:type="dxa"/>
        <w:tblLayout w:type="fixed"/>
        <w:tblLook w:firstRow="1" w:lastRow="0" w:firstColumn="0" w:lastColumn="0" w:noHBand="0" w:noVBand="0" w:val="0020"/>
        <w:jc w:val="center"/>
      </w:tblPr>
      <w:tblGrid>
        <w:gridCol w:w="3217"/>
        <w:gridCol w:w="2970"/>
        <w:gridCol w:w="1732"/>
      </w:tblGrid>
      <w:tr>
        <w:trPr>
          <w:tblHeader w:val="on"/>
        </w:trPr>
        <w:tc>
          <w:tcPr/>
          <w:p>
            <w:pPr>
              <w:jc w:val="both"/>
              <w:pStyle w:val="Compact"/>
            </w:pPr>
            <w:r>
              <w:t xml:space="preserve">Study design</w:t>
            </w:r>
          </w:p>
        </w:tc>
        <w:tc>
          <w:tcPr/>
          <w:p>
            <w:pPr>
              <w:jc w:val="both"/>
              <w:pStyle w:val="Compact"/>
            </w:pPr>
            <w:r>
              <w:t xml:space="preserve">JBI Module</w:t>
            </w:r>
          </w:p>
        </w:tc>
        <w:tc>
          <w:tcPr/>
          <w:p>
            <w:pPr>
              <w:jc w:val="both"/>
              <w:pStyle w:val="Compact"/>
            </w:pPr>
            <w:r>
              <w:t xml:space="preserve">Items</w:t>
            </w:r>
          </w:p>
        </w:tc>
      </w:tr>
      <w:tr>
        <w:tc>
          <w:tcPr/>
          <w:p>
            <w:pPr>
              <w:jc w:val="both"/>
              <w:pStyle w:val="Compact"/>
            </w:pPr>
            <w:r>
              <w:t xml:space="preserve">Cross-sectional (lab challenge, single-session)</w:t>
            </w:r>
          </w:p>
        </w:tc>
        <w:tc>
          <w:tcPr/>
          <w:p>
            <w:pPr>
              <w:jc w:val="both"/>
              <w:pStyle w:val="Compact"/>
            </w:pPr>
            <w:r>
              <w:t xml:space="preserve">JBI Checklist for Analytical Cross-Sectional Studies</w:t>
            </w:r>
          </w:p>
        </w:tc>
        <w:tc>
          <w:tcPr/>
          <w:p>
            <w:pPr>
              <w:jc w:val="both"/>
              <w:pStyle w:val="Compact"/>
            </w:pPr>
            <w:r>
              <w:t xml:space="preserve">8</w:t>
            </w:r>
          </w:p>
        </w:tc>
      </w:tr>
      <w:tr>
        <w:tc>
          <w:tcPr/>
          <w:p>
            <w:pPr>
              <w:jc w:val="both"/>
              <w:pStyle w:val="Compact"/>
            </w:pPr>
            <w:r>
              <w:t xml:space="preserve">Quasi-experimental (pre-post challenge, no randomisation)</w:t>
            </w:r>
          </w:p>
        </w:tc>
        <w:tc>
          <w:tcPr/>
          <w:p>
            <w:pPr>
              <w:jc w:val="both"/>
              <w:pStyle w:val="Compact"/>
            </w:pPr>
            <w:r>
              <w:t xml:space="preserve">JBI Checklist for Quasi-Experimental Studies</w:t>
            </w:r>
          </w:p>
        </w:tc>
        <w:tc>
          <w:tcPr/>
          <w:p>
            <w:pPr>
              <w:jc w:val="both"/>
              <w:pStyle w:val="Compact"/>
            </w:pPr>
            <w:r>
              <w:t xml:space="preserve">9</w:t>
            </w:r>
          </w:p>
        </w:tc>
      </w:tr>
      <w:tr>
        <w:tc>
          <w:tcPr/>
          <w:p>
            <w:pPr>
              <w:jc w:val="both"/>
              <w:pStyle w:val="Compact"/>
            </w:pPr>
            <w:r>
              <w:t xml:space="preserve">Cohort/longitudinal (multi-day, ESM, ambulatory)</w:t>
            </w:r>
          </w:p>
        </w:tc>
        <w:tc>
          <w:tcPr/>
          <w:p>
            <w:pPr>
              <w:jc w:val="both"/>
              <w:pStyle w:val="Compact"/>
            </w:pPr>
            <w:r>
              <w:t xml:space="preserve">JBI Checklist for Cohort Studies</w:t>
            </w:r>
          </w:p>
        </w:tc>
        <w:tc>
          <w:tcPr/>
          <w:p>
            <w:pPr>
              <w:jc w:val="both"/>
              <w:pStyle w:val="Compact"/>
            </w:pPr>
            <w:r>
              <w:t xml:space="preserve">11</w:t>
            </w:r>
          </w:p>
        </w:tc>
      </w:tr>
    </w:tbl>
    <w:p>
      <w:pPr>
        <w:jc w:val="both"/>
        <w:pStyle w:val="BodyText"/>
      </w:pPr>
      <w:r>
        <w:rPr>
          <w:i/>
          <w:iCs/>
        </w:rPr>
        <w:t xml:space="preserve">Rationale for unified JBI (not NIH + JBI mix):</w:t>
      </w:r>
      <w:r>
        <w:t xml:space="preserve"> </w:t>
      </w:r>
      <w:r>
        <w:t xml:space="preserve">- JBI revised 2026 provides design-specific modules within a</w:t>
      </w:r>
      <w:r>
        <w:t xml:space="preserve"> </w:t>
      </w:r>
      <w:r>
        <w:rPr>
          <w:b/>
          <w:bCs/>
        </w:rPr>
        <w:t xml:space="preserve">single methodological framework</w:t>
      </w:r>
      <w:r>
        <w:t xml:space="preserve"> </w:t>
      </w:r>
      <w:r>
        <w:t xml:space="preserve">— same scoring philosophy across designs</w:t>
      </w:r>
      <w:r>
        <w:t xml:space="preserve"> </w:t>
      </w:r>
      <w:r>
        <w:t xml:space="preserve">- Enables direct quality comparison across lab and ambulatory studies</w:t>
      </w:r>
      <w:r>
        <w:t xml:space="preserve"> </w:t>
      </w:r>
      <w:r>
        <w:t xml:space="preserve">- NIH Tool has not been revised since 2014 and lacks design-specific modules</w:t>
      </w:r>
      <w:r>
        <w:t xml:space="preserve"> </w:t>
      </w:r>
      <w:r>
        <w:t xml:space="preserve">- Using two different tools (JBI + NIH) on different study subsets would prevent cross-design quality comparison</w:t>
      </w:r>
    </w:p>
    <w:p>
      <w:pPr>
        <w:pStyle w:val="Heading3"/>
      </w:pPr>
      <w:r>
        <w:t xml:space="preserve">Procedure</w:t>
      </w:r>
    </w:p>
    <w:p>
      <w:pPr>
        <w:jc w:val="both"/>
        <w:pStyle w:val="Compact"/>
        <w:numPr>
          <w:ilvl w:val="0"/>
          <w:numId w:val="1002"/>
        </w:numPr>
      </w:pPr>
      <w:r>
        <w:t xml:space="preserve">Both reviewers independently assign each study to a design category and apply the corresponding JBI module</w:t>
      </w:r>
    </w:p>
    <w:p>
      <w:pPr>
        <w:jc w:val="both"/>
        <w:pStyle w:val="Compact"/>
        <w:numPr>
          <w:ilvl w:val="0"/>
          <w:numId w:val="1002"/>
        </w:numPr>
      </w:pPr>
      <w:r>
        <w:t xml:space="preserve">Quality score normalised as</w:t>
      </w:r>
      <w:r>
        <w:t xml:space="preserve"> </w:t>
      </w:r>
      <w:r>
        <w:rPr>
          <w:b/>
          <w:bCs/>
        </w:rPr>
        <w:t xml:space="preserve">% of applicable items</w:t>
      </w:r>
      <w:r>
        <w:t xml:space="preserve"> </w:t>
      </w:r>
      <w:r>
        <w:t xml:space="preserve">(e.g., 7/8 = 87.5%) for cross-design comparability</w:t>
      </w:r>
    </w:p>
    <w:p>
      <w:pPr>
        <w:jc w:val="both"/>
        <w:pStyle w:val="Compact"/>
        <w:numPr>
          <w:ilvl w:val="0"/>
          <w:numId w:val="1002"/>
        </w:numPr>
      </w:pPr>
      <w:r>
        <w:t xml:space="preserve">Inter-rater agreement for quality ratings reported (Cohen’s κ or weighted κ)</w:t>
      </w:r>
    </w:p>
    <w:p>
      <w:pPr>
        <w:jc w:val="both"/>
        <w:pStyle w:val="Compact"/>
        <w:numPr>
          <w:ilvl w:val="0"/>
          <w:numId w:val="1002"/>
        </w:numPr>
      </w:pPr>
      <w:r>
        <w:rPr>
          <w:b/>
          <w:bCs/>
        </w:rPr>
        <w:t xml:space="preserve">Quality score does NOT exclude studies</w:t>
      </w:r>
      <w:r>
        <w:t xml:space="preserve"> </w:t>
      </w:r>
      <w:r>
        <w:t xml:space="preserve">— it informs the narrative synthesis (e.g., «high-quality studies (JBI ≥ 80%) consistently show X, while lower-quality studies show mixed results»)</w:t>
      </w:r>
    </w:p>
    <w:p>
      <w:pPr>
        <w:jc w:val="both"/>
        <w:pStyle w:val="Compact"/>
        <w:numPr>
          <w:ilvl w:val="0"/>
          <w:numId w:val="1002"/>
        </w:numPr>
      </w:pPr>
      <w:r>
        <w:t xml:space="preserve">Quality-by-domain heatmap presented in supplementary materials</w:t>
      </w:r>
    </w:p>
    <w:p>
      <w:pPr>
        <w:pStyle w:val="Heading2"/>
      </w:pPr>
      <w:r>
        <w:t xml:space="preserve">11. Screening Procedure</w:t>
      </w:r>
    </w:p>
    <w:tbl>
      <w:tblPr>
        <w:tblStyle w:val="Table"/>
        <w:tblW w:w="9026" w:type="dxa"/>
        <w:tblLayout w:type="fixed"/>
        <w:tblLook w:firstRow="1" w:lastRow="0" w:firstColumn="0" w:lastColumn="0" w:noHBand="0" w:noVBand="0" w:val="0020"/>
        <w:jc w:val="center"/>
      </w:tblPr>
      <w:tblGrid>
        <w:gridCol w:w="2501"/>
        <w:gridCol w:w="3334"/>
        <w:gridCol w:w="2084"/>
      </w:tblGrid>
      <w:tr>
        <w:trPr>
          <w:tblHeader w:val="on"/>
        </w:trPr>
        <w:tc>
          <w:tcPr/>
          <w:p>
            <w:pPr>
              <w:jc w:val="both"/>
              <w:pStyle w:val="Compact"/>
            </w:pPr>
            <w:r>
              <w:t xml:space="preserve">Step</w:t>
            </w:r>
          </w:p>
        </w:tc>
        <w:tc>
          <w:tcPr/>
          <w:p>
            <w:pPr>
              <w:jc w:val="both"/>
              <w:pStyle w:val="Compact"/>
            </w:pPr>
            <w:r>
              <w:t xml:space="preserve">Action</w:t>
            </w:r>
          </w:p>
        </w:tc>
        <w:tc>
          <w:tcPr/>
          <w:p>
            <w:pPr>
              <w:jc w:val="both"/>
              <w:pStyle w:val="Compact"/>
            </w:pPr>
            <w:r>
              <w:t xml:space="preserve">Who</w:t>
            </w:r>
          </w:p>
        </w:tc>
      </w:tr>
      <w:tr>
        <w:tc>
          <w:tcPr/>
          <w:p>
            <w:pPr>
              <w:jc w:val="both"/>
              <w:pStyle w:val="Compact"/>
            </w:pPr>
            <w:r>
              <w:rPr>
                <w:sz w:val="18"/>
                <w:szCs w:val="18"/>
                <w:b/>
                <w:bCs/>
              </w:rPr>
              <w:t xml:space="preserve">0</w:t>
            </w:r>
          </w:p>
        </w:tc>
        <w:tc>
          <w:tcPr/>
          <w:p>
            <w:pPr>
              <w:jc w:val="both"/>
              <w:pStyle w:val="Compact"/>
            </w:pPr>
            <w:r>
              <w:rPr>
                <w:b/>
                <w:bCs/>
              </w:rPr>
              <w:t xml:space="preserve">OSF Registration</w:t>
            </w:r>
            <w:r>
              <w:t xml:space="preserve"> </w:t>
            </w:r>
            <w:r>
              <w:t xml:space="preserve">— register protocol BEFORE any screening begins. Deadline: 2026-06-22.</w:t>
            </w:r>
          </w:p>
        </w:tc>
        <w:tc>
          <w:tcPr/>
          <w:p>
            <w:pPr>
              <w:jc w:val="both"/>
              <w:pStyle w:val="Compact"/>
            </w:pPr>
            <w:r>
              <w:t xml:space="preserve">Jaba</w:t>
            </w:r>
          </w:p>
        </w:tc>
      </w:tr>
      <w:tr>
        <w:tc>
          <w:tcPr/>
          <w:p>
            <w:pPr>
              <w:jc w:val="both"/>
              <w:pStyle w:val="Compact"/>
            </w:pPr>
            <w:r>
              <w:rPr>
                <w:b/>
                <w:bCs/>
              </w:rPr>
              <w:t xml:space="preserve">1a</w:t>
            </w:r>
          </w:p>
        </w:tc>
        <w:tc>
          <w:tcPr/>
          <w:p>
            <w:pPr>
              <w:jc w:val="both"/>
              <w:pStyle w:val="Compact"/>
            </w:pPr>
            <w:r>
              <w:rPr>
                <w:b/>
                <w:bCs/>
              </w:rPr>
              <w:t xml:space="preserve">Pilot calibration</w:t>
            </w:r>
            <w:r>
              <w:t xml:space="preserve"> </w:t>
            </w:r>
            <w:r>
              <w:t xml:space="preserve">— both reviewers independently screen 50 random titles/abstracts. Calculate Cohen’s κ. If κ &lt; 0.70 → discuss discrepancies, refine criteria, repeat pilot. Proceed to full screening only when κ ≥ 0.70.</w:t>
            </w:r>
          </w:p>
        </w:tc>
        <w:tc>
          <w:tcPr/>
          <w:p>
            <w:pPr>
              <w:jc w:val="both"/>
              <w:pStyle w:val="Compact"/>
            </w:pPr>
            <w:r>
              <w:t xml:space="preserve">Both</w:t>
            </w:r>
          </w:p>
        </w:tc>
      </w:tr>
      <w:tr>
        <w:tc>
          <w:tcPr/>
          <w:p>
            <w:pPr>
              <w:jc w:val="both"/>
              <w:pStyle w:val="Compact"/>
            </w:pPr>
            <w:r>
              <w:t xml:space="preserve">1</w:t>
            </w:r>
          </w:p>
        </w:tc>
        <w:tc>
          <w:tcPr/>
          <w:p>
            <w:pPr>
              <w:jc w:val="both"/>
              <w:pStyle w:val="Compact"/>
            </w:pPr>
            <w:r>
              <w:rPr>
                <w:b/>
                <w:bCs/>
              </w:rPr>
              <w:t xml:space="preserve">Deduplication</w:t>
            </w:r>
          </w:p>
        </w:tc>
        <w:tc>
          <w:tcPr/>
          <w:p>
            <w:pPr>
              <w:jc w:val="both"/>
              <w:pStyle w:val="Compact"/>
            </w:pPr>
            <w:r>
              <w:t xml:space="preserve">Rayyan auto + manual</w:t>
            </w:r>
          </w:p>
        </w:tc>
      </w:tr>
      <w:tr>
        <w:tc>
          <w:tcPr/>
          <w:p>
            <w:pPr>
              <w:jc w:val="both"/>
              <w:pStyle w:val="Compact"/>
            </w:pPr>
            <w:r>
              <w:t xml:space="preserve">2</w:t>
            </w:r>
          </w:p>
        </w:tc>
        <w:tc>
          <w:tcPr/>
          <w:p>
            <w:pPr>
              <w:pStyle w:val="Compact"/>
            </w:pPr>
            <w:r>
              <w:rPr>
                <w:b/>
                <w:bCs/>
              </w:rPr>
              <w:t xml:space="preserve">Title/abstract screening</w:t>
            </w:r>
          </w:p>
        </w:tc>
        <w:tc>
          <w:tcPr/>
          <w:p>
            <w:pPr>
              <w:jc w:val="both"/>
              <w:pStyle w:val="Compact"/>
            </w:pPr>
            <w:r>
              <w:t xml:space="preserve">Both independently (Rayyan)</w:t>
            </w:r>
          </w:p>
        </w:tc>
      </w:tr>
      <w:tr>
        <w:tc>
          <w:tcPr/>
          <w:p>
            <w:pPr>
              <w:jc w:val="both"/>
              <w:pStyle w:val="Compact"/>
            </w:pPr>
            <w:r>
              <w:t xml:space="preserve">3</w:t>
            </w:r>
          </w:p>
        </w:tc>
        <w:tc>
          <w:tcPr/>
          <w:p>
            <w:pPr>
              <w:jc w:val="both"/>
              <w:pStyle w:val="Compact"/>
            </w:pPr>
            <w:r>
              <w:rPr>
                <w:b/>
                <w:bCs/>
              </w:rPr>
              <w:t xml:space="preserve">Conflict resolution</w:t>
            </w:r>
          </w:p>
        </w:tc>
        <w:tc>
          <w:tcPr/>
          <w:p>
            <w:pPr>
              <w:jc w:val="both"/>
              <w:pStyle w:val="Compact"/>
            </w:pPr>
            <w:r>
              <w:t xml:space="preserve">Discussion; if unresolved → documented as discrepancy</w:t>
            </w:r>
          </w:p>
        </w:tc>
      </w:tr>
      <w:tr>
        <w:tc>
          <w:tcPr/>
          <w:p>
            <w:pPr>
              <w:jc w:val="both"/>
              <w:pStyle w:val="Compact"/>
            </w:pPr>
            <w:r>
              <w:t xml:space="preserve">4</w:t>
            </w:r>
          </w:p>
        </w:tc>
        <w:tc>
          <w:tcPr/>
          <w:p>
            <w:pPr>
              <w:jc w:val="both"/>
              <w:pStyle w:val="Compact"/>
            </w:pPr>
            <w:r>
              <w:rPr>
                <w:b/>
                <w:bCs/>
              </w:rPr>
              <w:t xml:space="preserve">Full-text retrieval</w:t>
            </w:r>
            <w:r>
              <w:t xml:space="preserve"> </w:t>
            </w:r>
            <w:r>
              <w:t xml:space="preserve">(including DeepL-assisted translation for non-English articles)</w:t>
            </w:r>
          </w:p>
        </w:tc>
        <w:tc>
          <w:tcPr/>
          <w:p>
            <w:pPr>
              <w:jc w:val="both"/>
              <w:pStyle w:val="Compact"/>
            </w:pPr>
            <w:r>
              <w:t xml:space="preserve">Both reviewers</w:t>
            </w:r>
          </w:p>
        </w:tc>
      </w:tr>
      <w:tr>
        <w:tc>
          <w:tcPr/>
          <w:p>
            <w:pPr>
              <w:jc w:val="both"/>
              <w:pStyle w:val="Compact"/>
            </w:pPr>
            <w:r>
              <w:t xml:space="preserve">5</w:t>
            </w:r>
          </w:p>
        </w:tc>
        <w:tc>
          <w:tcPr/>
          <w:p>
            <w:pPr>
              <w:jc w:val="both"/>
              <w:pStyle w:val="Compact"/>
            </w:pPr>
            <w:r>
              <w:rPr>
                <w:b/>
                <w:bCs/>
              </w:rPr>
              <w:t xml:space="preserve">Full-text screening</w:t>
            </w:r>
          </w:p>
        </w:tc>
        <w:tc>
          <w:tcPr/>
          <w:p>
            <w:pPr>
              <w:jc w:val="both"/>
              <w:pStyle w:val="Compact"/>
            </w:pPr>
            <w:r>
              <w:t xml:space="preserve">Both independently</w:t>
            </w:r>
          </w:p>
        </w:tc>
      </w:tr>
      <w:tr>
        <w:tc>
          <w:tcPr/>
          <w:p>
            <w:pPr>
              <w:jc w:val="both"/>
              <w:pStyle w:val="Compact"/>
            </w:pPr>
            <w:r>
              <w:t xml:space="preserve">6</w:t>
            </w:r>
          </w:p>
        </w:tc>
        <w:tc>
          <w:tcPr/>
          <w:p>
            <w:pPr>
              <w:jc w:val="both"/>
              <w:pStyle w:val="Compact"/>
            </w:pPr>
            <w:r>
              <w:rPr>
                <w:b/>
                <w:bCs/>
              </w:rPr>
              <w:t xml:space="preserve">Quality assessment</w:t>
            </w:r>
            <w:r>
              <w:t xml:space="preserve"> </w:t>
            </w:r>
            <w:r>
              <w:t xml:space="preserve">(JBI/NIH — both independently, see §10)</w:t>
            </w:r>
          </w:p>
        </w:tc>
        <w:tc>
          <w:tcPr/>
          <w:p>
            <w:pPr>
              <w:jc w:val="both"/>
              <w:pStyle w:val="Compact"/>
            </w:pPr>
            <w:r>
              <w:t xml:space="preserve">Both</w:t>
            </w:r>
          </w:p>
        </w:tc>
      </w:tr>
      <w:tr>
        <w:tc>
          <w:tcPr/>
          <w:p>
            <w:pPr>
              <w:jc w:val="both"/>
              <w:pStyle w:val="Compact"/>
            </w:pPr>
            <w:r>
              <w:t xml:space="preserve">7</w:t>
            </w:r>
          </w:p>
        </w:tc>
        <w:tc>
          <w:tcPr/>
          <w:p>
            <w:pPr>
              <w:jc w:val="both"/>
              <w:pStyle w:val="Compact"/>
            </w:pPr>
            <w:r>
              <w:rPr>
                <w:b/>
                <w:bCs/>
              </w:rPr>
              <w:t xml:space="preserve">Final inclusion</w:t>
            </w:r>
          </w:p>
        </w:tc>
        <w:tc>
          <w:tcPr/>
          <w:p>
            <w:pPr>
              <w:jc w:val="both"/>
              <w:pStyle w:val="Compact"/>
            </w:pPr>
            <w:r>
              <w:t xml:space="preserve">Consensus</w:t>
            </w:r>
          </w:p>
        </w:tc>
      </w:tr>
      <w:tr>
        <w:tc>
          <w:tcPr/>
          <w:p>
            <w:pPr>
              <w:jc w:val="both"/>
              <w:pStyle w:val="Compact"/>
            </w:pPr>
            <w:r>
              <w:t xml:space="preserve">8</w:t>
            </w:r>
          </w:p>
        </w:tc>
        <w:tc>
          <w:tcPr/>
          <w:p>
            <w:pPr>
              <w:jc w:val="both"/>
              <w:pStyle w:val="Compact"/>
            </w:pPr>
            <w:r>
              <w:rPr>
                <w:b/>
                <w:bCs/>
              </w:rPr>
              <w:t xml:space="preserve">PRISMA 2020 flow diagram</w:t>
            </w:r>
          </w:p>
        </w:tc>
        <w:tc>
          <w:tcPr/>
          <w:p>
            <w:pPr>
              <w:jc w:val="both"/>
              <w:pStyle w:val="Compact"/>
            </w:pPr>
            <w:r>
              <w:t xml:space="preserve">Standard format (includes database + grey literature + register branches)</w:t>
            </w:r>
          </w:p>
        </w:tc>
      </w:tr>
    </w:tbl>
    <w:p>
      <w:pPr>
        <w:jc w:val="both"/>
        <w:pStyle w:val="BodyText"/>
      </w:pPr>
      <w:r>
        <w:rPr>
          <w:b/>
          <w:bCs/>
        </w:rPr>
        <w:t xml:space="preserve">Inter-rater agreement:</w:t>
      </w:r>
      <w:r>
        <w:t xml:space="preserve"> </w:t>
      </w:r>
      <w:r>
        <w:t xml:space="preserve">Cohen’s κ reported for title/abstract, full-text, and quality assessment stages. Pilot calibration κ also reported.</w:t>
      </w:r>
    </w:p>
    <w:p>
      <w:pPr>
        <w:jc w:val="both"/>
        <w:pStyle w:val="BodyText"/>
      </w:pPr>
      <w:r>
        <w:rPr>
          <w:b/>
          <w:bCs/>
        </w:rPr>
        <w:t xml:space="preserve">Conflict resolution:</w:t>
      </w:r>
      <w:r>
        <w:t xml:space="preserve"> </w:t>
      </w:r>
      <w:r>
        <w:t xml:space="preserve">Discrepancies resolved by discussion. If no consensus → study flagged as «uncertain» and reported transparently.</w:t>
      </w:r>
    </w:p>
    <w:p>
      <w:pPr>
        <w:pStyle w:val="Heading2"/>
      </w:pPr>
      <w:r>
        <w:t xml:space="preserve">12. Extraction Table</w:t>
      </w:r>
    </w:p>
    <w:tbl>
      <w:tblPr>
        <w:tblStyle w:val="Table"/>
        <w:tblW w:w="9026" w:type="dxa"/>
        <w:tblLayout w:type="fixed"/>
        <w:tblLook w:firstRow="1" w:lastRow="0" w:firstColumn="0" w:lastColumn="0" w:noHBand="0" w:noVBand="0" w:val="0020"/>
        <w:jc w:val="center"/>
      </w:tblPr>
      <w:tblGrid>
        <w:gridCol w:w="2772"/>
        <w:gridCol w:w="5148"/>
      </w:tblGrid>
      <w:tr>
        <w:trPr>
          <w:tblHeader w:val="on"/>
        </w:trPr>
        <w:tc>
          <w:tcPr/>
          <w:p>
            <w:pPr>
              <w:jc w:val="both"/>
              <w:pStyle w:val="Compact"/>
            </w:pPr>
            <w:r>
              <w:t xml:space="preserve">Field</w:t>
            </w:r>
          </w:p>
        </w:tc>
        <w:tc>
          <w:tcPr/>
          <w:p>
            <w:pPr>
              <w:jc w:val="both"/>
              <w:pStyle w:val="Compact"/>
            </w:pPr>
            <w:r>
              <w:t xml:space="preserve">Description</w:t>
            </w:r>
          </w:p>
        </w:tc>
      </w:tr>
      <w:tr>
        <w:tc>
          <w:tcPr/>
          <w:p>
            <w:pPr>
              <w:jc w:val="both"/>
              <w:pStyle w:val="Compact"/>
            </w:pPr>
            <w:r>
              <w:t xml:space="preserve">Study ID</w:t>
            </w:r>
          </w:p>
        </w:tc>
        <w:tc>
          <w:tcPr/>
          <w:p>
            <w:pPr>
              <w:jc w:val="both"/>
              <w:pStyle w:val="Compact"/>
            </w:pPr>
            <w:r>
              <w:t xml:space="preserve">First author, year, DOI</w:t>
            </w:r>
          </w:p>
        </w:tc>
      </w:tr>
      <w:tr>
        <w:tc>
          <w:tcPr/>
          <w:p>
            <w:pPr>
              <w:jc w:val="both"/>
              <w:pStyle w:val="Compact"/>
            </w:pPr>
            <w:r>
              <w:t xml:space="preserve">Sample</w:t>
            </w:r>
          </w:p>
        </w:tc>
        <w:tc>
          <w:tcPr/>
          <w:p>
            <w:pPr>
              <w:jc w:val="both"/>
              <w:pStyle w:val="Compact"/>
            </w:pPr>
            <w:r>
              <w:t xml:space="preserve">N, age (M±SD), sex (%F), population type</w:t>
            </w:r>
          </w:p>
        </w:tc>
      </w:tr>
      <w:tr>
        <w:tc>
          <w:tcPr/>
          <w:p>
            <w:pPr>
              <w:jc w:val="both"/>
              <w:pStyle w:val="Compact"/>
            </w:pPr>
            <w:r>
              <w:t xml:space="preserve">Design</w:t>
            </w:r>
          </w:p>
        </w:tc>
        <w:tc>
          <w:tcPr/>
          <w:p>
            <w:pPr>
              <w:jc w:val="both"/>
              <w:pStyle w:val="Compact"/>
            </w:pPr>
            <w:r>
              <w:t xml:space="preserve">Paradigm, conditions, time points</w:t>
            </w:r>
          </w:p>
        </w:tc>
      </w:tr>
      <w:tr>
        <w:tc>
          <w:tcPr/>
          <w:p>
            <w:pPr>
              <w:jc w:val="both"/>
              <w:pStyle w:val="Compact"/>
            </w:pPr>
            <w:r>
              <w:t xml:space="preserve">Perturbation type</w:t>
            </w:r>
          </w:p>
        </w:tc>
        <w:tc>
          <w:tcPr/>
          <w:p>
            <w:pPr>
              <w:jc w:val="both"/>
              <w:pStyle w:val="Compact"/>
            </w:pPr>
            <w:r>
              <w:t xml:space="preserve">Stress / cognitive / emotional / social / uncertainty / emotion regulation / ambulatory-EMA</w:t>
            </w:r>
          </w:p>
        </w:tc>
      </w:tr>
      <w:tr>
        <w:tc>
          <w:tcPr/>
          <w:p>
            <w:pPr>
              <w:jc w:val="both"/>
              <w:pStyle w:val="Compact"/>
            </w:pPr>
            <w:r>
              <w:t xml:space="preserve">Perturbation duration</w:t>
            </w:r>
          </w:p>
        </w:tc>
        <w:tc>
          <w:tcPr/>
          <w:p>
            <w:pPr>
              <w:jc w:val="both"/>
              <w:pStyle w:val="Compact"/>
            </w:pPr>
            <w:r>
              <w:t xml:space="preserve">Minutes (lab) or days (ambulatory)</w:t>
            </w:r>
          </w:p>
        </w:tc>
      </w:tr>
      <w:tr>
        <w:tc>
          <w:tcPr/>
          <w:p>
            <w:pPr>
              <w:jc w:val="both"/>
              <w:pStyle w:val="Compact"/>
            </w:pPr>
            <w:r>
              <w:t xml:space="preserve">Setting</w:t>
            </w:r>
          </w:p>
        </w:tc>
        <w:tc>
          <w:tcPr/>
          <w:p>
            <w:pPr>
              <w:jc w:val="both"/>
              <w:pStyle w:val="Compact"/>
            </w:pPr>
            <w:r>
              <w:t xml:space="preserve">Laboratory / Ambulatory / Hybrid</w:t>
            </w:r>
          </w:p>
        </w:tc>
      </w:tr>
      <w:tr>
        <w:tc>
          <w:tcPr/>
          <w:p>
            <w:pPr>
              <w:jc w:val="both"/>
              <w:pStyle w:val="Compact"/>
            </w:pPr>
            <w:r>
              <w:t xml:space="preserve">Biomarker(s)</w:t>
            </w:r>
          </w:p>
        </w:tc>
        <w:tc>
          <w:tcPr/>
          <w:p>
            <w:pPr>
              <w:jc w:val="both"/>
              <w:pStyle w:val="Compact"/>
            </w:pPr>
            <w:r>
              <w:t xml:space="preserve">Type, sample matrix, measurement method, sampling times</w:t>
            </w:r>
          </w:p>
        </w:tc>
      </w:tr>
      <w:tr>
        <w:tc>
          <w:tcPr/>
          <w:p>
            <w:pPr>
              <w:jc w:val="both"/>
              <w:pStyle w:val="Compact"/>
            </w:pPr>
            <w:r>
              <w:t xml:space="preserve">Temporal structure</w:t>
            </w:r>
          </w:p>
        </w:tc>
        <w:tc>
          <w:tcPr/>
          <w:p>
            <w:pPr>
              <w:jc w:val="both"/>
              <w:pStyle w:val="Compact"/>
            </w:pPr>
            <w:r>
              <w:t xml:space="preserve">BA / BAR / RM / LD / ESM (see §7)</w:t>
            </w:r>
          </w:p>
        </w:tc>
      </w:tr>
      <w:tr>
        <w:tc>
          <w:tcPr/>
          <w:p>
            <w:pPr>
              <w:jc w:val="both"/>
              <w:pStyle w:val="Compact"/>
            </w:pPr>
            <w:r>
              <w:t xml:space="preserve">Affective/cognitive measure</w:t>
            </w:r>
          </w:p>
        </w:tc>
        <w:tc>
          <w:tcPr/>
          <w:p>
            <w:pPr>
              <w:jc w:val="both"/>
              <w:pStyle w:val="Compact"/>
            </w:pPr>
            <w:r>
              <w:t xml:space="preserve">Instrument, timing</w:t>
            </w:r>
          </w:p>
        </w:tc>
      </w:tr>
      <w:tr>
        <w:tc>
          <w:tcPr/>
          <w:p>
            <w:pPr>
              <w:jc w:val="both"/>
              <w:pStyle w:val="Compact"/>
            </w:pPr>
            <w:r>
              <w:t xml:space="preserve">Key finding</w:t>
            </w:r>
          </w:p>
        </w:tc>
        <w:tc>
          <w:tcPr/>
          <w:p>
            <w:pPr>
              <w:jc w:val="both"/>
              <w:pStyle w:val="Compact"/>
            </w:pPr>
            <w:r>
              <w:t xml:space="preserve">Direction, effect size (if available), statistical test</w:t>
            </w:r>
          </w:p>
        </w:tc>
      </w:tr>
      <w:tr>
        <w:tc>
          <w:tcPr/>
          <w:p>
            <w:pPr>
              <w:jc w:val="both"/>
              <w:pStyle w:val="Compact"/>
            </w:pPr>
            <w:r>
              <w:t xml:space="preserve">Dynamic feature</w:t>
            </w:r>
          </w:p>
        </w:tc>
        <w:tc>
          <w:tcPr/>
          <w:p>
            <w:pPr>
              <w:jc w:val="both"/>
              <w:pStyle w:val="Compact"/>
            </w:pPr>
            <w:r>
              <w:t xml:space="preserve">Transition type (baseline→peak, peak→recovery, etc.)</w:t>
            </w:r>
          </w:p>
        </w:tc>
      </w:tr>
      <w:tr>
        <w:tc>
          <w:tcPr/>
          <w:p>
            <w:pPr>
              <w:jc w:val="both"/>
              <w:pStyle w:val="Compact"/>
            </w:pPr>
            <w:r>
              <w:t xml:space="preserve">Quality score</w:t>
            </w:r>
          </w:p>
        </w:tc>
        <w:tc>
          <w:tcPr/>
          <w:p>
            <w:pPr>
              <w:jc w:val="both"/>
              <w:pStyle w:val="Compact"/>
            </w:pPr>
            <w:r>
              <w:t xml:space="preserve">JBI / NIH score (§10)</w:t>
            </w:r>
          </w:p>
        </w:tc>
      </w:tr>
      <w:tr>
        <w:tc>
          <w:tcPr/>
          <w:p>
            <w:pPr>
              <w:jc w:val="both"/>
              <w:pStyle w:val="Compact"/>
            </w:pPr>
            <w:r>
              <w:t xml:space="preserve">Language</w:t>
            </w:r>
          </w:p>
        </w:tc>
        <w:tc>
          <w:tcPr/>
          <w:p>
            <w:pPr>
              <w:jc w:val="both"/>
              <w:pStyle w:val="Compact"/>
            </w:pPr>
            <w:r>
              <w:t xml:space="preserve">Original language; translation method if non-English</w:t>
            </w:r>
          </w:p>
        </w:tc>
      </w:tr>
    </w:tbl>
    <w:p>
      <w:pPr>
        <w:pStyle w:val="Heading2"/>
      </w:pPr>
      <w:r>
        <w:t xml:space="preserve">13. Synthesis Plan</w:t>
      </w:r>
    </w:p>
    <w:p>
      <w:pPr>
        <w:jc w:val="both"/>
        <w:pStyle w:val="Compact"/>
        <w:numPr>
          <w:ilvl w:val="0"/>
          <w:numId w:val="1003"/>
        </w:numPr>
      </w:pPr>
      <w:r>
        <w:rPr>
          <w:b/>
          <w:bCs/>
        </w:rPr>
        <w:t xml:space="preserve">Narrative synthesis</w:t>
      </w:r>
      <w:r>
        <w:t xml:space="preserve"> </w:t>
      </w:r>
      <w:r>
        <w:t xml:space="preserve">— structured by biomarker domain (§6)</w:t>
      </w:r>
    </w:p>
    <w:p>
      <w:pPr>
        <w:jc w:val="both"/>
        <w:pStyle w:val="Compact"/>
        <w:numPr>
          <w:ilvl w:val="0"/>
          <w:numId w:val="1003"/>
        </w:numPr>
      </w:pPr>
      <w:r>
        <w:rPr>
          <w:b/>
          <w:bCs/>
        </w:rPr>
        <w:t xml:space="preserve">Transition matrix</w:t>
      </w:r>
      <w:r>
        <w:t xml:space="preserve"> </w:t>
      </w:r>
      <w:r>
        <w:t xml:space="preserve">— biomarker domain × temporal structure (BA / BAR / RM / LD / ESM)</w:t>
      </w:r>
    </w:p>
    <w:p>
      <w:pPr>
        <w:jc w:val="both"/>
        <w:pStyle w:val="Compact"/>
        <w:numPr>
          <w:ilvl w:val="0"/>
          <w:numId w:val="1003"/>
        </w:numPr>
      </w:pPr>
      <w:r>
        <w:rPr>
          <w:b/>
          <w:bCs/>
        </w:rPr>
        <w:t xml:space="preserve">Setting comparison</w:t>
      </w:r>
      <w:r>
        <w:t xml:space="preserve"> </w:t>
      </w:r>
      <w:r>
        <w:t xml:space="preserve">— Laboratory vs. Ambulatory (ESM) — which biomarkers replicate across settings?</w:t>
      </w:r>
    </w:p>
    <w:p>
      <w:pPr>
        <w:jc w:val="both"/>
        <w:pStyle w:val="Compact"/>
        <w:numPr>
          <w:ilvl w:val="0"/>
          <w:numId w:val="1003"/>
        </w:numPr>
      </w:pPr>
      <w:r>
        <w:rPr>
          <w:b/>
          <w:bCs/>
        </w:rPr>
        <w:t xml:space="preserve">Quality-stratified synthesis</w:t>
      </w:r>
      <w:r>
        <w:t xml:space="preserve"> </w:t>
      </w:r>
      <w:r>
        <w:t xml:space="preserve">— high-quality (JBI ≥ 7/8) vs. lower-quality studies compared within each domain</w:t>
      </w:r>
    </w:p>
    <w:p>
      <w:pPr>
        <w:jc w:val="both"/>
        <w:pStyle w:val="Compact"/>
        <w:numPr>
          <w:ilvl w:val="0"/>
          <w:numId w:val="1003"/>
        </w:numPr>
      </w:pPr>
      <w:r>
        <w:rPr>
          <w:b/>
          <w:bCs/>
        </w:rPr>
        <w:t xml:space="preserve">Gap analysis</w:t>
      </w:r>
      <w:r>
        <w:t xml:space="preserve"> </w:t>
      </w:r>
      <w:r>
        <w:t xml:space="preserve">— which transitions, biomarker domains, and settings are understudied?</w:t>
      </w:r>
    </w:p>
    <w:p>
      <w:pPr>
        <w:jc w:val="both"/>
        <w:pStyle w:val="Compact"/>
        <w:numPr>
          <w:ilvl w:val="0"/>
          <w:numId w:val="1003"/>
        </w:numPr>
      </w:pPr>
      <w:r>
        <w:rPr>
          <w:b/>
          <w:bCs/>
        </w:rPr>
        <w:t xml:space="preserve">Feasibility assessment</w:t>
      </w:r>
      <w:r>
        <w:t xml:space="preserve"> </w:t>
      </w:r>
      <w:r>
        <w:t xml:space="preserve">— is a future meta-analysis of reactivity slopes viable for specific biomarker–challenge combinations?</w:t>
      </w:r>
    </w:p>
    <w:p>
      <w:pPr>
        <w:jc w:val="both"/>
        <w:pStyle w:val="Compact"/>
        <w:numPr>
          <w:ilvl w:val="0"/>
          <w:numId w:val="1003"/>
        </w:numPr>
      </w:pPr>
      <w:r>
        <w:rPr>
          <w:b/>
          <w:bCs/>
        </w:rPr>
        <w:t xml:space="preserve">Future directions</w:t>
      </w:r>
      <w:r>
        <w:t xml:space="preserve"> </w:t>
      </w:r>
      <w:r>
        <w:t xml:space="preserve">— gut-derived biomarkers (SCFAs, bile acids, zonulin, GABA/glutamate) as emerging candidates pending adequate dynamic human data</w:t>
      </w:r>
    </w:p>
    <w:p>
      <w:pPr>
        <w:jc w:val="both"/>
        <w:pStyle w:val="FirstParagraph"/>
      </w:pPr>
      <w:r>
        <w:rPr>
          <w:b/>
          <w:bCs/>
        </w:rPr>
        <w:t xml:space="preserve">Unit-of-analysis rule:</w:t>
      </w:r>
      <w:r>
        <w:t xml:space="preserve"> </w:t>
      </w:r>
      <w:r>
        <w:t xml:space="preserve">If a study reports ≥3 biomarkers from different domains, each biomarker-domain pair is coded separately. Primary synthesis uses one biomarker per study per domain (pre-specified hierarchy: HRV &gt; cortisol &gt; IL-6 &gt; CRP &gt; EEG &gt; tryptophan/kynurenine).</w:t>
      </w:r>
    </w:p>
    <w:p>
      <w:pPr>
        <w:pStyle w:val="Heading2"/>
      </w:pPr>
      <w:r>
        <w:t xml:space="preserve">14. Target Journals (Re-ranked for IF 18+ Aspirational Trajectory)</w:t>
      </w:r>
    </w:p>
    <w:tbl>
      <w:tblPr>
        <w:tblStyle w:val="Table"/>
        <w:tblW w:w="9026" w:type="dxa"/>
        <w:tblLayout w:type="fixed"/>
        <w:tblLook w:firstRow="1" w:lastRow="0" w:firstColumn="0" w:lastColumn="0" w:noHBand="0" w:noVBand="0" w:val="0020"/>
        <w:jc w:val="center"/>
      </w:tblPr>
      <w:tblGrid>
        <w:gridCol w:w="1584"/>
        <w:gridCol w:w="2376"/>
        <w:gridCol w:w="1056"/>
        <w:gridCol w:w="2904"/>
      </w:tblGrid>
      <w:tr>
        <w:trPr>
          <w:tblHeader w:val="on"/>
        </w:trPr>
        <w:tc>
          <w:tcPr/>
          <w:p>
            <w:pPr>
              <w:jc w:val="both"/>
              <w:pStyle w:val="Compact"/>
            </w:pPr>
            <w:r>
              <w:t xml:space="preserve">Tier</w:t>
            </w:r>
          </w:p>
        </w:tc>
        <w:tc>
          <w:tcPr/>
          <w:p>
            <w:pPr>
              <w:jc w:val="both"/>
              <w:pStyle w:val="Compact"/>
            </w:pPr>
            <w:r>
              <w:t xml:space="preserve">Journal</w:t>
            </w:r>
          </w:p>
        </w:tc>
        <w:tc>
          <w:tcPr/>
          <w:p>
            <w:pPr>
              <w:jc w:val="both"/>
              <w:pStyle w:val="Compact"/>
            </w:pPr>
            <w:r>
              <w:t xml:space="preserve">IF</w:t>
            </w:r>
          </w:p>
        </w:tc>
        <w:tc>
          <w:tcPr/>
          <w:p>
            <w:pPr>
              <w:jc w:val="both"/>
              <w:pStyle w:val="Compact"/>
            </w:pPr>
            <w:r>
              <w:t xml:space="preserve">Rationale</w:t>
            </w:r>
          </w:p>
        </w:tc>
      </w:tr>
      <w:tr>
        <w:tc>
          <w:tcPr/>
          <w:p>
            <w:pPr>
              <w:jc w:val="both"/>
              <w:pStyle w:val="Compact"/>
            </w:pPr>
            <w:r>
              <w:rPr>
                <w:sz w:val="18"/>
                <w:szCs w:val="18"/>
                <w:b/>
                <w:bCs/>
              </w:rPr>
              <w:t xml:space="preserve">T1 — aspirational</w:t>
            </w:r>
          </w:p>
        </w:tc>
        <w:tc>
          <w:tcPr/>
          <w:p>
            <w:pPr>
              <w:jc w:val="both"/>
              <w:pStyle w:val="Compact"/>
            </w:pPr>
            <w:r>
              <w:rPr>
                <w:i/>
                <w:iCs/>
              </w:rPr>
              <w:t xml:space="preserve">Neuroscience &amp; Biobehavioral Reviews</w:t>
            </w:r>
          </w:p>
        </w:tc>
        <w:tc>
          <w:tcPr/>
          <w:p>
            <w:pPr>
              <w:jc w:val="both"/>
              <w:pStyle w:val="Compact"/>
            </w:pPr>
            <w:r>
              <w:t xml:space="preserve">8.5</w:t>
            </w:r>
          </w:p>
        </w:tc>
        <w:tc>
          <w:tcPr/>
          <w:p>
            <w:pPr>
              <w:jc w:val="both"/>
              <w:pStyle w:val="Compact"/>
            </w:pPr>
            <w:r>
              <w:t xml:space="preserve">Premier review journal; requires quality assessment + multi-database search</w:t>
            </w:r>
          </w:p>
        </w:tc>
      </w:tr>
      <w:tr>
        <w:tc>
          <w:tcPr/>
          <w:p>
            <w:pPr>
              <w:jc w:val="both"/>
              <w:pStyle w:val="Compact"/>
            </w:pPr>
            <w:r>
              <w:rPr>
                <w:b/>
                <w:bCs/>
              </w:rPr>
              <w:t xml:space="preserve">T1 — aspirational</w:t>
            </w:r>
          </w:p>
        </w:tc>
        <w:tc>
          <w:tcPr/>
          <w:p>
            <w:pPr>
              <w:jc w:val="both"/>
              <w:pStyle w:val="Compact"/>
            </w:pPr>
            <w:r>
              <w:rPr>
                <w:i/>
                <w:iCs/>
              </w:rPr>
              <w:t xml:space="preserve">Molecular Psychiatry</w:t>
            </w:r>
          </w:p>
        </w:tc>
        <w:tc>
          <w:tcPr/>
          <w:p>
            <w:pPr>
              <w:jc w:val="both"/>
              <w:pStyle w:val="Compact"/>
            </w:pPr>
            <w:r>
              <w:t xml:space="preserve">11.0</w:t>
            </w:r>
          </w:p>
        </w:tc>
        <w:tc>
          <w:tcPr/>
          <w:p>
            <w:pPr>
              <w:jc w:val="both"/>
              <w:pStyle w:val="Compact"/>
            </w:pPr>
            <w:r>
              <w:t xml:space="preserve">Biomarker focus; requires genetic/molecular depth</w:t>
            </w:r>
          </w:p>
        </w:tc>
      </w:tr>
      <w:tr>
        <w:tc>
          <w:tcPr/>
          <w:p>
            <w:pPr>
              <w:jc w:val="both"/>
              <w:pStyle w:val="Compact"/>
            </w:pPr>
            <w:r>
              <w:rPr>
                <w:b/>
                <w:bCs/>
              </w:rPr>
              <w:t xml:space="preserve">T2 — realistic</w:t>
            </w:r>
          </w:p>
        </w:tc>
        <w:tc>
          <w:tcPr/>
          <w:p>
            <w:pPr>
              <w:jc w:val="both"/>
              <w:pStyle w:val="Compact"/>
            </w:pPr>
            <w:r>
              <w:rPr>
                <w:i/>
                <w:iCs/>
              </w:rPr>
              <w:t xml:space="preserve">Psychoneuroendocrinology</w:t>
            </w:r>
          </w:p>
        </w:tc>
        <w:tc>
          <w:tcPr/>
          <w:p>
            <w:pPr>
              <w:jc w:val="both"/>
              <w:pStyle w:val="Compact"/>
            </w:pPr>
            <w:r>
              <w:t xml:space="preserve">3.5</w:t>
            </w:r>
          </w:p>
        </w:tc>
        <w:tc>
          <w:tcPr/>
          <w:p>
            <w:pPr>
              <w:jc w:val="both"/>
              <w:pStyle w:val="Compact"/>
            </w:pPr>
            <w:r>
              <w:t xml:space="preserve">Best thematic fit: stress + biomarkers + dynamic</w:t>
            </w:r>
          </w:p>
        </w:tc>
      </w:tr>
      <w:tr>
        <w:tc>
          <w:tcPr/>
          <w:p>
            <w:pPr>
              <w:jc w:val="both"/>
              <w:pStyle w:val="Compact"/>
            </w:pPr>
            <w:r>
              <w:rPr>
                <w:b/>
                <w:bCs/>
              </w:rPr>
              <w:t xml:space="preserve">T2 — realistic</w:t>
            </w:r>
          </w:p>
        </w:tc>
        <w:tc>
          <w:tcPr/>
          <w:p>
            <w:pPr>
              <w:jc w:val="both"/>
              <w:pStyle w:val="Compact"/>
            </w:pPr>
            <w:r>
              <w:rPr>
                <w:i/>
                <w:iCs/>
              </w:rPr>
              <w:t xml:space="preserve">Biological Psychiatry: CNNI</w:t>
            </w:r>
          </w:p>
        </w:tc>
        <w:tc>
          <w:tcPr/>
          <w:p>
            <w:pPr>
              <w:jc w:val="both"/>
              <w:pStyle w:val="Compact"/>
            </w:pPr>
            <w:r>
              <w:t xml:space="preserve">5.5</w:t>
            </w:r>
          </w:p>
        </w:tc>
        <w:tc>
          <w:tcPr/>
          <w:p>
            <w:pPr>
              <w:jc w:val="both"/>
              <w:pStyle w:val="Compact"/>
            </w:pPr>
            <w:r>
              <w:t xml:space="preserve">Cognitive neuroscience + neuroimaging + biomarkers</w:t>
            </w:r>
          </w:p>
        </w:tc>
      </w:tr>
      <w:tr>
        <w:tc>
          <w:tcPr/>
          <w:p>
            <w:pPr>
              <w:jc w:val="both"/>
              <w:pStyle w:val="Compact"/>
            </w:pPr>
            <w:r>
              <w:rPr>
                <w:b/>
                <w:bCs/>
              </w:rPr>
              <w:t xml:space="preserve">T2 — realistic</w:t>
            </w:r>
          </w:p>
        </w:tc>
        <w:tc>
          <w:tcPr/>
          <w:p>
            <w:pPr>
              <w:jc w:val="both"/>
              <w:pStyle w:val="Compact"/>
            </w:pPr>
            <w:r>
              <w:rPr>
                <w:i/>
                <w:iCs/>
              </w:rPr>
              <w:t xml:space="preserve">Psychophysiology</w:t>
            </w:r>
          </w:p>
        </w:tc>
        <w:tc>
          <w:tcPr/>
          <w:p>
            <w:pPr>
              <w:jc w:val="both"/>
              <w:pStyle w:val="Compact"/>
            </w:pPr>
            <w:r>
              <w:t xml:space="preserve">3.7</w:t>
            </w:r>
          </w:p>
        </w:tc>
        <w:tc>
          <w:tcPr/>
          <w:p>
            <w:pPr>
              <w:jc w:val="both"/>
              <w:pStyle w:val="Compact"/>
            </w:pPr>
            <w:r>
              <w:t xml:space="preserve">HRV/EEG/ERP methodology focus</w:t>
            </w:r>
          </w:p>
        </w:tc>
      </w:tr>
      <w:tr>
        <w:tc>
          <w:tcPr/>
          <w:p>
            <w:pPr>
              <w:jc w:val="both"/>
              <w:pStyle w:val="Compact"/>
            </w:pPr>
            <w:r>
              <w:rPr>
                <w:b/>
                <w:bCs/>
              </w:rPr>
              <w:t xml:space="preserve">T3 — safety</w:t>
            </w:r>
          </w:p>
        </w:tc>
        <w:tc>
          <w:tcPr/>
          <w:p>
            <w:pPr>
              <w:jc w:val="both"/>
              <w:pStyle w:val="Compact"/>
            </w:pPr>
            <w:r>
              <w:rPr>
                <w:i/>
                <w:iCs/>
              </w:rPr>
              <w:t xml:space="preserve">Biological Psychology</w:t>
            </w:r>
          </w:p>
        </w:tc>
        <w:tc>
          <w:tcPr/>
          <w:p>
            <w:pPr>
              <w:jc w:val="both"/>
              <w:pStyle w:val="Compact"/>
            </w:pPr>
            <w:r>
              <w:t xml:space="preserve">3.0</w:t>
            </w:r>
          </w:p>
        </w:tc>
        <w:tc>
          <w:tcPr/>
          <w:p>
            <w:pPr>
              <w:jc w:val="both"/>
              <w:pStyle w:val="Compact"/>
            </w:pPr>
            <w:r>
              <w:t xml:space="preserve">Affective-cognitive regulation + peripheral physiology</w:t>
            </w:r>
          </w:p>
        </w:tc>
      </w:tr>
      <w:tr>
        <w:tc>
          <w:tcPr/>
          <w:p>
            <w:pPr>
              <w:jc w:val="both"/>
              <w:pStyle w:val="Compact"/>
            </w:pPr>
            <w:r>
              <w:rPr>
                <w:b/>
                <w:bCs/>
              </w:rPr>
              <w:t xml:space="preserve">T3 — safety</w:t>
            </w:r>
          </w:p>
        </w:tc>
        <w:tc>
          <w:tcPr/>
          <w:p>
            <w:pPr>
              <w:jc w:val="both"/>
              <w:pStyle w:val="Compact"/>
            </w:pPr>
            <w:r>
              <w:rPr>
                <w:i/>
                <w:iCs/>
              </w:rPr>
              <w:t xml:space="preserve">Comprehensive Psychoneuroendocrinology</w:t>
            </w:r>
          </w:p>
        </w:tc>
        <w:tc>
          <w:tcPr/>
          <w:p>
            <w:pPr>
              <w:jc w:val="both"/>
              <w:pStyle w:val="Compact"/>
            </w:pPr>
            <w:r>
              <w:t xml:space="preserve">new</w:t>
            </w:r>
          </w:p>
        </w:tc>
        <w:tc>
          <w:tcPr/>
          <w:p>
            <w:pPr>
              <w:jc w:val="both"/>
              <w:pStyle w:val="Compact"/>
            </w:pPr>
            <w:r>
              <w:t xml:space="preserve">Open access, scoping-review friendly</w:t>
            </w:r>
          </w:p>
        </w:tc>
      </w:tr>
    </w:tbl>
    <w:p>
      <w:pPr>
        <w:jc w:val="both"/>
        <w:pStyle w:val="BodyText"/>
      </w:pPr>
      <w:r>
        <w:rPr>
          <w:i/>
          <w:iCs/>
        </w:rPr>
        <w:t xml:space="preserve">Final choice after feasibility phase — once volume and type of eligible studies is known. T1 submission only if ≥80 eligible studies with ≥30% ESM/ambulatory designs and adequate quality (JBI ≥ 6/8 in ≥50% of studies).</w:t>
      </w:r>
    </w:p>
    <w:p>
      <w:pPr>
        <w:pStyle w:val="Heading2"/>
      </w:pPr>
      <w:r>
        <w:t xml:space="preserve">15. Feasibility Phase (Before Full Commitment) — Enhanced</w:t>
      </w:r>
    </w:p>
    <w:tbl>
      <w:tblPr>
        <w:tblStyle w:val="Table"/>
        <w:tblW w:w="9026" w:type="dxa"/>
        <w:tblLayout w:type="fixed"/>
        <w:tblLook w:firstRow="1" w:lastRow="0" w:firstColumn="0" w:lastColumn="0" w:noHBand="0" w:noVBand="0" w:val="0020"/>
        <w:jc w:val="center"/>
      </w:tblPr>
      <w:tblGrid>
        <w:gridCol w:w="1760"/>
        <w:gridCol w:w="2346"/>
        <w:gridCol w:w="1466"/>
        <w:gridCol w:w="2346"/>
      </w:tblGrid>
      <w:tr>
        <w:trPr>
          <w:tblHeader w:val="on"/>
        </w:trPr>
        <w:tc>
          <w:tcPr/>
          <w:p>
            <w:pPr>
              <w:jc w:val="both"/>
              <w:pStyle w:val="Compact"/>
            </w:pPr>
            <w:r>
              <w:t xml:space="preserve">Step</w:t>
            </w:r>
          </w:p>
        </w:tc>
        <w:tc>
          <w:tcPr/>
          <w:p>
            <w:pPr>
              <w:jc w:val="both"/>
              <w:pStyle w:val="Compact"/>
            </w:pPr>
            <w:r>
              <w:t xml:space="preserve">Action</w:t>
            </w:r>
          </w:p>
        </w:tc>
        <w:tc>
          <w:tcPr/>
          <w:p>
            <w:pPr>
              <w:jc w:val="both"/>
              <w:pStyle w:val="Compact"/>
            </w:pPr>
            <w:r>
              <w:t xml:space="preserve">Who</w:t>
            </w:r>
          </w:p>
        </w:tc>
        <w:tc>
          <w:tcPr/>
          <w:p>
            <w:pPr>
              <w:jc w:val="both"/>
              <w:pStyle w:val="Compact"/>
            </w:pPr>
            <w:r>
              <w:t xml:space="preserve">Target</w:t>
            </w:r>
          </w:p>
        </w:tc>
      </w:tr>
      <w:tr>
        <w:tc>
          <w:tcPr/>
          <w:p>
            <w:pPr>
              <w:jc w:val="both"/>
              <w:pStyle w:val="Compact"/>
            </w:pPr>
            <w:r>
              <w:t xml:space="preserve">1</w:t>
            </w:r>
          </w:p>
        </w:tc>
        <w:tc>
          <w:tcPr/>
          <w:p>
            <w:pPr>
              <w:jc w:val="both"/>
              <w:pStyle w:val="Compact"/>
            </w:pPr>
            <w:r>
              <w:rPr>
                <w:sz w:val="18"/>
                <w:szCs w:val="18"/>
                <w:b/>
                <w:bCs/>
              </w:rPr>
              <w:t xml:space="preserve">Protocol v2.2 approved</w:t>
            </w:r>
          </w:p>
        </w:tc>
        <w:tc>
          <w:tcPr/>
          <w:p>
            <w:pPr>
              <w:jc w:val="both"/>
              <w:pStyle w:val="Compact"/>
            </w:pPr>
            <w:r>
              <w:t xml:space="preserve">Afaf reviews</w:t>
            </w:r>
          </w:p>
        </w:tc>
        <w:tc>
          <w:tcPr/>
          <w:p>
            <w:pPr>
              <w:jc w:val="both"/>
              <w:pStyle w:val="Compact"/>
            </w:pPr>
            <w:r>
              <w:t xml:space="preserve">This week</w:t>
            </w:r>
          </w:p>
        </w:tc>
      </w:tr>
      <w:tr>
        <w:tc>
          <w:tcPr/>
          <w:p>
            <w:pPr>
              <w:jc w:val="both"/>
              <w:pStyle w:val="Compact"/>
            </w:pPr>
            <w:r>
              <w:t xml:space="preserve">2</w:t>
            </w:r>
          </w:p>
        </w:tc>
        <w:tc>
          <w:tcPr/>
          <w:p>
            <w:pPr>
              <w:jc w:val="both"/>
              <w:pStyle w:val="Compact"/>
            </w:pPr>
            <w:r>
              <w:rPr>
                <w:b/>
                <w:bCs/>
              </w:rPr>
              <w:t xml:space="preserve">Pilot PubMed search</w:t>
            </w:r>
            <w:r>
              <w:t xml:space="preserve"> </w:t>
            </w:r>
            <w:r>
              <w:t xml:space="preserve">(v2.2 string)</w:t>
            </w:r>
          </w:p>
        </w:tc>
        <w:tc>
          <w:tcPr/>
          <w:p>
            <w:pPr>
              <w:jc w:val="both"/>
              <w:pStyle w:val="Compact"/>
            </w:pPr>
            <w:r>
              <w:t xml:space="preserve">Jaba</w:t>
            </w:r>
          </w:p>
        </w:tc>
        <w:tc>
          <w:tcPr/>
          <w:p>
            <w:pPr>
              <w:jc w:val="both"/>
              <w:pStyle w:val="Compact"/>
            </w:pPr>
            <w:r>
              <w:t xml:space="preserve">~3 days</w:t>
            </w:r>
          </w:p>
        </w:tc>
      </w:tr>
      <w:tr>
        <w:tc>
          <w:tcPr/>
          <w:p>
            <w:pPr>
              <w:jc w:val="both"/>
              <w:pStyle w:val="Compact"/>
            </w:pPr>
            <w:r>
              <w:t xml:space="preserve">3</w:t>
            </w:r>
          </w:p>
        </w:tc>
        <w:tc>
          <w:tcPr/>
          <w:p>
            <w:pPr>
              <w:jc w:val="both"/>
              <w:pStyle w:val="Compact"/>
            </w:pPr>
            <w:r>
              <w:rPr>
                <w:b/>
                <w:bCs/>
              </w:rPr>
              <w:t xml:space="preserve">Pilot Embase search</w:t>
            </w:r>
          </w:p>
        </w:tc>
        <w:tc>
          <w:tcPr/>
          <w:p>
            <w:pPr>
              <w:jc w:val="both"/>
              <w:pStyle w:val="Compact"/>
            </w:pPr>
            <w:r>
              <w:t xml:space="preserve">Request access; run if granted</w:t>
            </w:r>
          </w:p>
        </w:tc>
        <w:tc>
          <w:tcPr/>
          <w:p>
            <w:pPr>
              <w:jc w:val="both"/>
              <w:pStyle w:val="Compact"/>
            </w:pPr>
            <w:r>
              <w:t xml:space="preserve">~2 weeks</w:t>
            </w:r>
          </w:p>
        </w:tc>
      </w:tr>
      <w:tr>
        <w:tc>
          <w:tcPr/>
          <w:p>
            <w:pPr>
              <w:jc w:val="both"/>
              <w:pStyle w:val="Compact"/>
            </w:pPr>
            <w:r>
              <w:t xml:space="preserve">4</w:t>
            </w:r>
          </w:p>
        </w:tc>
        <w:tc>
          <w:tcPr/>
          <w:p>
            <w:pPr>
              <w:jc w:val="both"/>
              <w:pStyle w:val="Compact"/>
            </w:pPr>
            <w:r>
              <w:rPr>
                <w:b/>
                <w:bCs/>
              </w:rPr>
              <w:t xml:space="preserve">Pilot Scopus search</w:t>
            </w:r>
          </w:p>
        </w:tc>
        <w:tc>
          <w:tcPr/>
          <w:p>
            <w:pPr>
              <w:jc w:val="both"/>
              <w:pStyle w:val="Compact"/>
            </w:pPr>
            <w:r>
              <w:t xml:space="preserve">Afaf</w:t>
            </w:r>
          </w:p>
        </w:tc>
        <w:tc>
          <w:tcPr/>
          <w:p>
            <w:pPr>
              <w:jc w:val="both"/>
              <w:pStyle w:val="Compact"/>
            </w:pPr>
            <w:r>
              <w:t xml:space="preserve">~1 week</w:t>
            </w:r>
          </w:p>
        </w:tc>
      </w:tr>
      <w:tr>
        <w:tc>
          <w:tcPr/>
          <w:p>
            <w:pPr>
              <w:jc w:val="both"/>
              <w:pStyle w:val="Compact"/>
            </w:pPr>
            <w:r>
              <w:t xml:space="preserve">5</w:t>
            </w:r>
          </w:p>
        </w:tc>
        <w:tc>
          <w:tcPr/>
          <w:p>
            <w:pPr>
              <w:jc w:val="both"/>
              <w:pStyle w:val="Compact"/>
            </w:pPr>
            <w:r>
              <w:rPr>
                <w:b/>
                <w:bCs/>
              </w:rPr>
              <w:t xml:space="preserve">Estimate eligible studies</w:t>
            </w:r>
            <w:r>
              <w:t xml:space="preserve"> </w:t>
            </w:r>
            <w:r>
              <w:t xml:space="preserve">from pilot (title-only screen)</w:t>
            </w:r>
          </w:p>
        </w:tc>
        <w:tc>
          <w:tcPr/>
          <w:p>
            <w:pPr>
              <w:jc w:val="both"/>
              <w:pStyle w:val="Compact"/>
            </w:pPr>
            <w:r>
              <w:t xml:space="preserve">Both</w:t>
            </w:r>
          </w:p>
        </w:tc>
        <w:tc>
          <w:tcPr/>
          <w:p>
            <w:pPr>
              <w:jc w:val="both"/>
              <w:pStyle w:val="Compact"/>
            </w:pPr>
            <w:r>
              <w:t xml:space="preserve">After searches</w:t>
            </w:r>
          </w:p>
        </w:tc>
      </w:tr>
      <w:tr>
        <w:tc>
          <w:tcPr/>
          <w:p>
            <w:pPr>
              <w:jc w:val="both"/>
              <w:pStyle w:val="Compact"/>
            </w:pPr>
            <w:r>
              <w:t xml:space="preserve">6</w:t>
            </w:r>
          </w:p>
        </w:tc>
        <w:tc>
          <w:tcPr/>
          <w:p>
            <w:pPr>
              <w:jc w:val="both"/>
              <w:pStyle w:val="Compact"/>
            </w:pPr>
            <w:r>
              <w:rPr>
                <w:b/>
                <w:bCs/>
              </w:rPr>
              <w:t xml:space="preserve">Pilot report</w:t>
            </w:r>
            <w:r>
              <w:t xml:space="preserve"> </w:t>
            </w:r>
            <w:r>
              <w:t xml:space="preserve">— N hits, N after title screen, estimated N eligible, language distribution, setting distribution (lab vs ambulatory)</w:t>
            </w:r>
          </w:p>
        </w:tc>
        <w:tc>
          <w:tcPr/>
          <w:p>
            <w:pPr>
              <w:jc w:val="both"/>
              <w:pStyle w:val="Compact"/>
            </w:pPr>
            <w:r>
              <w:t xml:space="preserve">Jaba drafts</w:t>
            </w:r>
          </w:p>
        </w:tc>
        <w:tc>
          <w:tcPr/>
          <w:p>
            <w:pPr>
              <w:jc w:val="both"/>
              <w:pStyle w:val="Compact"/>
            </w:pPr>
            <w:r>
              <w:t xml:space="preserve">After step 5</w:t>
            </w:r>
          </w:p>
        </w:tc>
      </w:tr>
      <w:tr>
        <w:tc>
          <w:tcPr/>
          <w:p>
            <w:pPr>
              <w:jc w:val="both"/>
              <w:pStyle w:val="Compact"/>
            </w:pPr>
            <w:r>
              <w:t xml:space="preserve">7</w:t>
            </w:r>
          </w:p>
        </w:tc>
        <w:tc>
          <w:tcPr/>
          <w:p>
            <w:pPr>
              <w:jc w:val="both"/>
              <w:pStyle w:val="Compact"/>
            </w:pPr>
            <w:r>
              <w:rPr>
                <w:b/>
                <w:bCs/>
              </w:rPr>
              <w:t xml:space="preserve">Decision</w:t>
            </w:r>
          </w:p>
        </w:tc>
        <w:tc>
          <w:tcPr/>
          <w:p>
            <w:pPr>
              <w:jc w:val="both"/>
              <w:pStyle w:val="Compact"/>
            </w:pPr>
            <w:r>
              <w:t xml:space="preserve">Both</w:t>
            </w:r>
          </w:p>
        </w:tc>
        <w:tc>
          <w:tcPr/>
          <w:p>
            <w:pPr>
              <w:jc w:val="both"/>
              <w:pStyle w:val="Compact"/>
            </w:pPr>
            <w:r>
              <w:t xml:space="preserve">Scoping review GO / narrow further / pause</w:t>
            </w:r>
          </w:p>
        </w:tc>
      </w:tr>
    </w:tbl>
    <w:p>
      <w:pPr>
        <w:jc w:val="both"/>
        <w:pStyle w:val="BodyText"/>
      </w:pPr>
      <w:r>
        <w:rPr>
          <w:i/>
          <w:iCs/>
        </w:rPr>
        <w:t xml:space="preserve">Decision criteria (tightened per IF 18+ reviewer):</w:t>
      </w:r>
      <w:r>
        <w:t xml:space="preserve"> </w:t>
      </w:r>
      <w:r>
        <w:t xml:space="preserve">-</w:t>
      </w:r>
      <w:r>
        <w:t xml:space="preserve"> </w:t>
      </w:r>
      <w:r>
        <w:rPr>
          <w:b/>
          <w:bCs/>
        </w:rPr>
        <w:t xml:space="preserve">GO — T1 target</w:t>
      </w:r>
      <w:r>
        <w:t xml:space="preserve"> </w:t>
      </w:r>
      <w:r>
        <w:t xml:space="preserve">if ≥80 eligible studies with ≥30% ESM/ambulatory designs, and ≥50% studies expected to score JBI ≥ 6/8</w:t>
      </w:r>
      <w:r>
        <w:t xml:space="preserve"> </w:t>
      </w:r>
      <w:r>
        <w:t xml:space="preserve">-</w:t>
      </w:r>
      <w:r>
        <w:t xml:space="preserve"> </w:t>
      </w:r>
      <w:r>
        <w:rPr>
          <w:b/>
          <w:bCs/>
        </w:rPr>
        <w:t xml:space="preserve">GO — T2 target</w:t>
      </w:r>
      <w:r>
        <w:t xml:space="preserve"> </w:t>
      </w:r>
      <w:r>
        <w:t xml:space="preserve">if ≥50 eligible studies with adequate diversity across biomarker domains</w:t>
      </w:r>
      <w:r>
        <w:t xml:space="preserve"> </w:t>
      </w:r>
      <w:r>
        <w:t xml:space="preserve">-</w:t>
      </w:r>
      <w:r>
        <w:t xml:space="preserve"> </w:t>
      </w:r>
      <w:r>
        <w:rPr>
          <w:b/>
          <w:bCs/>
        </w:rPr>
        <w:t xml:space="preserve">NARROW</w:t>
      </w:r>
      <w:r>
        <w:t xml:space="preserve"> </w:t>
      </w:r>
      <w:r>
        <w:t xml:space="preserve">if &gt;200 hits — focus on 2 primary domains (HRV + cortisol)</w:t>
      </w:r>
      <w:r>
        <w:t xml:space="preserve"> </w:t>
      </w:r>
      <w:r>
        <w:t xml:space="preserve">-</w:t>
      </w:r>
      <w:r>
        <w:t xml:space="preserve"> </w:t>
      </w:r>
      <w:r>
        <w:rPr>
          <w:b/>
          <w:bCs/>
        </w:rPr>
        <w:t xml:space="preserve">PAUSE</w:t>
      </w:r>
      <w:r>
        <w:t xml:space="preserve"> </w:t>
      </w:r>
      <w:r>
        <w:t xml:space="preserve">if &lt;30 eligible studies — insufficient literature; consider expanding to clinical populations</w:t>
      </w:r>
    </w:p>
    <w:p>
      <w:pPr>
        <w:jc w:val="both"/>
        <w:pStyle w:val="BodyText"/>
      </w:pPr>
      <w:r>
        <w:rPr>
          <w:i/>
          <w:iCs/>
        </w:rPr>
        <w:t xml:space="preserve">The pilot report is submitted with the protocol to the target journal as evidence of feasibility (reviewer recommendation).</w:t>
      </w:r>
    </w:p>
    <w:p>
      <w:pPr>
        <w:pStyle w:val="Heading2"/>
      </w:pPr>
      <w:r>
        <w:t xml:space="preserve">16. Roles (Preliminary)</w:t>
      </w:r>
    </w:p>
    <w:tbl>
      <w:tblPr>
        <w:tblStyle w:val="Table"/>
        <w:tblW w:w="9026" w:type="dxa"/>
        <w:tblLayout w:type="fixed"/>
        <w:tblLook w:firstRow="1" w:lastRow="0" w:firstColumn="0" w:lastColumn="0" w:noHBand="0" w:noVBand="0" w:val="0020"/>
        <w:jc w:val="center"/>
      </w:tblPr>
      <w:tblGrid>
        <w:gridCol w:w="4320"/>
        <w:gridCol w:w="3600"/>
      </w:tblGrid>
      <w:tr>
        <w:trPr>
          <w:tblHeader w:val="on"/>
        </w:trPr>
        <w:tc>
          <w:tcPr/>
          <w:p>
            <w:pPr>
              <w:jc w:val="both"/>
              <w:pStyle w:val="Compact"/>
            </w:pPr>
            <w:r>
              <w:t xml:space="preserve">Role</w:t>
            </w:r>
          </w:p>
        </w:tc>
        <w:tc>
          <w:tcPr/>
          <w:p>
            <w:pPr>
              <w:jc w:val="both"/>
              <w:pStyle w:val="Compact"/>
            </w:pPr>
            <w:r>
              <w:t xml:space="preserve">Who</w:t>
            </w:r>
          </w:p>
        </w:tc>
      </w:tr>
      <w:tr>
        <w:tc>
          <w:tcPr/>
          <w:p>
            <w:pPr>
              <w:jc w:val="both"/>
              <w:pStyle w:val="Compact"/>
            </w:pPr>
            <w:r>
              <w:t xml:space="preserve">Theoretical framing: emotion-cognition loop, regulatory dynamics</w:t>
            </w:r>
          </w:p>
        </w:tc>
        <w:tc>
          <w:tcPr/>
          <w:p>
            <w:pPr>
              <w:jc w:val="both"/>
              <w:pStyle w:val="Compact"/>
            </w:pPr>
            <w:r>
              <w:t xml:space="preserve">Afaf</w:t>
            </w:r>
          </w:p>
        </w:tc>
      </w:tr>
      <w:tr>
        <w:tc>
          <w:tcPr/>
          <w:p>
            <w:pPr>
              <w:jc w:val="both"/>
              <w:pStyle w:val="Compact"/>
            </w:pPr>
            <w:r>
              <w:t xml:space="preserve">Microbiome-metabolite side, HRV methodology, BioSense pipelines</w:t>
            </w:r>
          </w:p>
        </w:tc>
        <w:tc>
          <w:tcPr/>
          <w:p>
            <w:pPr>
              <w:jc w:val="both"/>
              <w:pStyle w:val="Compact"/>
            </w:pPr>
            <w:r>
              <w:t xml:space="preserve">Jaba</w:t>
            </w:r>
          </w:p>
        </w:tc>
      </w:tr>
      <w:tr>
        <w:tc>
          <w:tcPr/>
          <w:p>
            <w:pPr>
              <w:jc w:val="both"/>
              <w:pStyle w:val="Compact"/>
            </w:pPr>
            <w:r>
              <w:t xml:space="preserve">Protocol drafting</w:t>
            </w:r>
          </w:p>
        </w:tc>
        <w:tc>
          <w:tcPr/>
          <w:p>
            <w:pPr>
              <w:jc w:val="both"/>
              <w:pStyle w:val="Compact"/>
            </w:pPr>
            <w:r>
              <w:t xml:space="preserve">Jaba drafts, Afaf edits</w:t>
            </w:r>
          </w:p>
        </w:tc>
      </w:tr>
      <w:tr>
        <w:tc>
          <w:tcPr/>
          <w:p>
            <w:pPr>
              <w:jc w:val="both"/>
              <w:pStyle w:val="Compact"/>
            </w:pPr>
            <w:r>
              <w:t xml:space="preserve">Database search execution</w:t>
            </w:r>
          </w:p>
        </w:tc>
        <w:tc>
          <w:tcPr/>
          <w:p>
            <w:pPr>
              <w:jc w:val="both"/>
              <w:pStyle w:val="Compact"/>
            </w:pPr>
            <w:r>
              <w:t xml:space="preserve">Jaba (PubMed, Embase, Google Scholar), Afaf (Scopus, PsycINFO, ProQuest)</w:t>
            </w:r>
          </w:p>
        </w:tc>
      </w:tr>
      <w:tr>
        <w:tc>
          <w:tcPr/>
          <w:p>
            <w:pPr>
              <w:jc w:val="both"/>
              <w:pStyle w:val="Compact"/>
            </w:pPr>
            <w:r>
              <w:t xml:space="preserve">Screening (dual independent)</w:t>
            </w:r>
          </w:p>
        </w:tc>
        <w:tc>
          <w:tcPr/>
          <w:p>
            <w:pPr>
              <w:jc w:val="both"/>
              <w:pStyle w:val="Compact"/>
            </w:pPr>
            <w:r>
              <w:t xml:space="preserve">Both</w:t>
            </w:r>
          </w:p>
        </w:tc>
      </w:tr>
      <w:tr>
        <w:tc>
          <w:tcPr/>
          <w:p>
            <w:pPr>
              <w:jc w:val="both"/>
              <w:pStyle w:val="Compact"/>
            </w:pPr>
            <w:r>
              <w:t xml:space="preserve">Quality assessment (JBI/NIH — dual independent)</w:t>
            </w:r>
          </w:p>
        </w:tc>
        <w:tc>
          <w:tcPr/>
          <w:p>
            <w:pPr>
              <w:jc w:val="both"/>
              <w:pStyle w:val="Compact"/>
            </w:pPr>
            <w:r>
              <w:t xml:space="preserve">Both</w:t>
            </w:r>
          </w:p>
        </w:tc>
      </w:tr>
      <w:tr>
        <w:tc>
          <w:tcPr/>
          <w:p>
            <w:pPr>
              <w:jc w:val="both"/>
              <w:pStyle w:val="Compact"/>
            </w:pPr>
            <w:r>
              <w:t xml:space="preserve">Synthesis + manuscript</w:t>
            </w:r>
          </w:p>
        </w:tc>
        <w:tc>
          <w:tcPr/>
          <w:p>
            <w:pPr>
              <w:jc w:val="both"/>
              <w:pStyle w:val="Compact"/>
            </w:pPr>
            <w:r>
              <w:t xml:space="preserve">Joint</w:t>
            </w:r>
          </w:p>
        </w:tc>
      </w:tr>
      <w:tr>
        <w:tc>
          <w:tcPr/>
          <w:p>
            <w:pPr>
              <w:jc w:val="both"/>
              <w:pStyle w:val="Compact"/>
            </w:pPr>
            <w:r>
              <w:t xml:space="preserve">Authorship</w:t>
            </w:r>
          </w:p>
        </w:tc>
        <w:tc>
          <w:tcPr/>
          <w:p>
            <w:pPr>
              <w:jc w:val="both"/>
              <w:pStyle w:val="Compact"/>
            </w:pPr>
            <w:r>
              <w:t xml:space="preserve">Joint first authorship (order TBD)</w:t>
            </w:r>
          </w:p>
        </w:tc>
      </w:tr>
    </w:tbl>
    <w:p>
      <w:pPr>
        <w:pStyle w:val="Heading2"/>
      </w:pPr>
      <w:r>
        <w:t xml:space="preserve">17. Timeline (Flexible — All Negotiable)</w:t>
      </w:r>
    </w:p>
    <w:tbl>
      <w:tblPr>
        <w:tblStyle w:val="Table"/>
        <w:tblW w:w="9026" w:type="dxa"/>
        <w:tblLayout w:type="fixed"/>
        <w:tblLook w:firstRow="1" w:lastRow="0" w:firstColumn="0" w:lastColumn="0" w:noHBand="0" w:noVBand="0" w:val="0020"/>
        <w:jc w:val="center"/>
      </w:tblPr>
      <w:tblGrid>
        <w:gridCol w:w="3394"/>
        <w:gridCol w:w="4525"/>
      </w:tblGrid>
      <w:tr>
        <w:trPr>
          <w:tblHeader w:val="on"/>
        </w:trPr>
        <w:tc>
          <w:tcPr/>
          <w:p>
            <w:pPr>
              <w:jc w:val="both"/>
              <w:pStyle w:val="Compact"/>
            </w:pPr>
            <w:r>
              <w:t xml:space="preserve">Step</w:t>
            </w:r>
          </w:p>
        </w:tc>
        <w:tc>
          <w:tcPr/>
          <w:p>
            <w:pPr>
              <w:jc w:val="both"/>
              <w:pStyle w:val="Compact"/>
            </w:pPr>
            <w:r>
              <w:t xml:space="preserve">Target</w:t>
            </w:r>
          </w:p>
        </w:tc>
      </w:tr>
      <w:tr>
        <w:tc>
          <w:tcPr/>
          <w:p>
            <w:pPr>
              <w:jc w:val="both"/>
              <w:pStyle w:val="Compact"/>
            </w:pPr>
            <w:r>
              <w:t xml:space="preserve">Afaf feedback on protocol v2.2</w:t>
            </w:r>
          </w:p>
        </w:tc>
        <w:tc>
          <w:tcPr/>
          <w:p>
            <w:pPr>
              <w:jc w:val="both"/>
              <w:pStyle w:val="Compact"/>
            </w:pPr>
            <w:r>
              <w:t xml:space="preserve">This week</w:t>
            </w:r>
          </w:p>
        </w:tc>
      </w:tr>
      <w:tr>
        <w:tc>
          <w:tcPr/>
          <w:p>
            <w:pPr>
              <w:jc w:val="both"/>
              <w:pStyle w:val="Compact"/>
            </w:pPr>
            <w:r>
              <w:t xml:space="preserve">Revised protocol finalised</w:t>
            </w:r>
          </w:p>
        </w:tc>
        <w:tc>
          <w:tcPr/>
          <w:p>
            <w:pPr>
              <w:jc w:val="both"/>
              <w:pStyle w:val="Compact"/>
            </w:pPr>
            <w:r>
              <w:t xml:space="preserve">~1 week</w:t>
            </w:r>
          </w:p>
        </w:tc>
      </w:tr>
      <w:tr>
        <w:tc>
          <w:tcPr/>
          <w:p>
            <w:pPr>
              <w:jc w:val="both"/>
              <w:pStyle w:val="Compact"/>
            </w:pPr>
            <w:r>
              <w:t xml:space="preserve">OSF registration</w:t>
            </w:r>
          </w:p>
        </w:tc>
        <w:tc>
          <w:tcPr/>
          <w:p>
            <w:pPr>
              <w:jc w:val="both"/>
              <w:pStyle w:val="Compact"/>
            </w:pPr>
            <w:r>
              <w:t xml:space="preserve">After protocol finalised</w:t>
            </w:r>
          </w:p>
        </w:tc>
      </w:tr>
      <w:tr>
        <w:tc>
          <w:tcPr/>
          <w:p>
            <w:pPr>
              <w:jc w:val="both"/>
              <w:pStyle w:val="Compact"/>
            </w:pPr>
            <w:r>
              <w:t xml:space="preserve">Pilot searches (PubMed, Scopus, Embase)</w:t>
            </w:r>
          </w:p>
        </w:tc>
        <w:tc>
          <w:tcPr/>
          <w:p>
            <w:pPr>
              <w:jc w:val="both"/>
              <w:pStyle w:val="Compact"/>
            </w:pPr>
            <w:r>
              <w:t xml:space="preserve">Weeks 1–3</w:t>
            </w:r>
          </w:p>
        </w:tc>
      </w:tr>
      <w:tr>
        <w:tc>
          <w:tcPr/>
          <w:p>
            <w:pPr>
              <w:jc w:val="both"/>
              <w:pStyle w:val="Compact"/>
            </w:pPr>
            <w:r>
              <w:t xml:space="preserve">Pilot report</w:t>
            </w:r>
          </w:p>
        </w:tc>
        <w:tc>
          <w:tcPr/>
          <w:p>
            <w:pPr>
              <w:jc w:val="both"/>
              <w:pStyle w:val="Compact"/>
            </w:pPr>
            <w:r>
              <w:t xml:space="preserve">Week 3</w:t>
            </w:r>
          </w:p>
        </w:tc>
      </w:tr>
      <w:tr>
        <w:tc>
          <w:tcPr/>
          <w:p>
            <w:pPr>
              <w:jc w:val="both"/>
              <w:pStyle w:val="Compact"/>
            </w:pPr>
            <w:r>
              <w:t xml:space="preserve">Rayyan project created + references uploaded</w:t>
            </w:r>
          </w:p>
        </w:tc>
        <w:tc>
          <w:tcPr/>
          <w:p>
            <w:pPr>
              <w:jc w:val="both"/>
              <w:pStyle w:val="Compact"/>
            </w:pPr>
            <w:r>
              <w:t xml:space="preserve">Afaf, after pilot report</w:t>
            </w:r>
          </w:p>
        </w:tc>
      </w:tr>
      <w:tr>
        <w:tc>
          <w:tcPr/>
          <w:p>
            <w:pPr>
              <w:pStyle w:val="Compact"/>
            </w:pPr>
            <w:r>
              <w:t xml:space="preserve">Title/abstract screening</w:t>
            </w:r>
          </w:p>
        </w:tc>
        <w:tc>
          <w:tcPr/>
          <w:p>
            <w:pPr>
              <w:jc w:val="both"/>
              <w:pStyle w:val="Compact"/>
            </w:pPr>
            <w:r>
              <w:t xml:space="preserve">Weeks 4–6</w:t>
            </w:r>
          </w:p>
        </w:tc>
      </w:tr>
      <w:tr>
        <w:tc>
          <w:tcPr/>
          <w:p>
            <w:pPr>
              <w:jc w:val="both"/>
              <w:pStyle w:val="Compact"/>
            </w:pPr>
            <w:r>
              <w:t xml:space="preserve">Full-text screening + quality assessment (JBI/NIH)</w:t>
            </w:r>
          </w:p>
        </w:tc>
        <w:tc>
          <w:tcPr/>
          <w:p>
            <w:pPr>
              <w:jc w:val="both"/>
              <w:pStyle w:val="Compact"/>
            </w:pPr>
            <w:r>
              <w:t xml:space="preserve">Weeks 7–10</w:t>
            </w:r>
          </w:p>
        </w:tc>
      </w:tr>
      <w:tr>
        <w:tc>
          <w:tcPr/>
          <w:p>
            <w:pPr>
              <w:jc w:val="both"/>
              <w:pStyle w:val="Compact"/>
            </w:pPr>
            <w:r>
              <w:t xml:space="preserve">Extraction</w:t>
            </w:r>
          </w:p>
        </w:tc>
        <w:tc>
          <w:tcPr/>
          <w:p>
            <w:pPr>
              <w:jc w:val="both"/>
              <w:pStyle w:val="Compact"/>
            </w:pPr>
            <w:r>
              <w:t xml:space="preserve">Weeks 10–12</w:t>
            </w:r>
          </w:p>
        </w:tc>
      </w:tr>
      <w:tr>
        <w:tc>
          <w:tcPr/>
          <w:p>
            <w:pPr>
              <w:jc w:val="both"/>
              <w:pStyle w:val="Compact"/>
            </w:pPr>
            <w:r>
              <w:t xml:space="preserve">Synthesis + manuscript</w:t>
            </w:r>
          </w:p>
        </w:tc>
        <w:tc>
          <w:tcPr/>
          <w:p>
            <w:pPr>
              <w:jc w:val="both"/>
              <w:pStyle w:val="Compact"/>
            </w:pPr>
            <w:r>
              <w:t xml:space="preserve">Weeks 13–16</w:t>
            </w:r>
          </w:p>
        </w:tc>
      </w:tr>
    </w:tbl>
    <w:p>
      <w:pPr>
        <w:pStyle w:val="Heading3"/>
      </w:pPr>
      <w:r>
        <w:t xml:space="preserve">Data Management Plan</w:t>
      </w:r>
    </w:p>
    <w:p>
      <w:pPr>
        <w:jc w:val="both"/>
        <w:pStyle w:val="Compact"/>
        <w:numPr>
          <w:ilvl w:val="0"/>
          <w:numId w:val="1004"/>
        </w:numPr>
      </w:pPr>
      <w:r>
        <w:t xml:space="preserve">All screening decisions stored in Rayyan (cloud backup)</w:t>
      </w:r>
    </w:p>
    <w:p>
      <w:pPr>
        <w:jc w:val="both"/>
        <w:pStyle w:val="Compact"/>
        <w:numPr>
          <w:ilvl w:val="0"/>
          <w:numId w:val="1004"/>
        </w:numPr>
      </w:pPr>
      <w:r>
        <w:t xml:space="preserve">Extraction data stored in Google Sheets (shared, version-controlled)</w:t>
      </w:r>
    </w:p>
    <w:p>
      <w:pPr>
        <w:jc w:val="both"/>
        <w:pStyle w:val="Compact"/>
        <w:numPr>
          <w:ilvl w:val="0"/>
          <w:numId w:val="1004"/>
        </w:numPr>
      </w:pPr>
      <w:r>
        <w:t xml:space="preserve">Quality assessment ratings stored in Google Sheets with dual-entry verification</w:t>
      </w:r>
    </w:p>
    <w:p>
      <w:pPr>
        <w:jc w:val="both"/>
        <w:pStyle w:val="Compact"/>
        <w:numPr>
          <w:ilvl w:val="0"/>
          <w:numId w:val="1004"/>
        </w:numPr>
      </w:pPr>
      <w:r>
        <w:t xml:space="preserve">Protocol and amendments versioned on OSF</w:t>
      </w:r>
    </w:p>
    <w:p>
      <w:pPr>
        <w:jc w:val="both"/>
        <w:pStyle w:val="Compact"/>
        <w:numPr>
          <w:ilvl w:val="0"/>
          <w:numId w:val="1004"/>
        </w:numPr>
      </w:pPr>
      <w:r>
        <w:t xml:space="preserve">Final dataset published as supplementary material or on OSF</w:t>
      </w:r>
    </w:p>
    <w:p>
      <w:pPr>
        <w:jc w:val="both"/>
        <w:pStyle w:val="Compact"/>
        <w:numPr>
          <w:ilvl w:val="0"/>
          <w:numId w:val="1004"/>
        </w:numPr>
      </w:pPr>
      <w:r>
        <w:t xml:space="preserve">Non-English articles: DeepL-assisted translation; original + translated excerpts stored</w:t>
      </w:r>
    </w:p>
    <w:p>
      <w:pPr>
        <w:pStyle w:val="Heading2"/>
      </w:pPr>
      <w:r>
        <w:t xml:space="preserve">Appendix: Change Log</w:t>
      </w:r>
    </w:p>
    <w:p>
      <w:pPr>
        <w:pStyle w:val="Heading3"/>
      </w:pPr>
      <w:r>
        <w:t xml:space="preserve">v2.2 → v2.3 (second peer review: Minor Revisions, 2026-06-15)</w:t>
      </w:r>
    </w:p>
    <w:tbl>
      <w:tblPr>
        <w:tblStyle w:val="Table"/>
        <w:tblW w:w="9026" w:type="dxa"/>
        <w:tblLayout w:type="fixed"/>
        <w:tblLook w:firstRow="1" w:lastRow="0" w:firstColumn="0" w:lastColumn="0" w:noHBand="0" w:noVBand="0" w:val="0020"/>
        <w:jc w:val="center"/>
      </w:tblPr>
      <w:tblGrid>
        <w:gridCol w:w="1080"/>
        <w:gridCol w:w="2880"/>
        <w:gridCol w:w="3960"/>
      </w:tblGrid>
      <w:tr>
        <w:trPr>
          <w:tblHeader w:val="on"/>
        </w:trPr>
        <w:tc>
          <w:tcPr/>
          <w:p>
            <w:pPr>
              <w:jc w:val="both"/>
              <w:pStyle w:val="Compact"/>
            </w:pPr>
            <w:r>
              <w:t xml:space="preserve">#</w:t>
            </w:r>
          </w:p>
        </w:tc>
        <w:tc>
          <w:tcPr/>
          <w:p>
            <w:pPr>
              <w:jc w:val="both"/>
              <w:pStyle w:val="Compact"/>
            </w:pPr>
            <w:r>
              <w:t xml:space="preserve">Change</w:t>
            </w:r>
          </w:p>
        </w:tc>
        <w:tc>
          <w:tcPr/>
          <w:p>
            <w:pPr>
              <w:jc w:val="both"/>
              <w:pStyle w:val="Compact"/>
            </w:pPr>
            <w:r>
              <w:t xml:space="preserve">Rationale</w:t>
            </w:r>
          </w:p>
        </w:tc>
      </w:tr>
      <w:tr>
        <w:tc>
          <w:tcPr/>
          <w:p>
            <w:pPr>
              <w:jc w:val="both"/>
              <w:pStyle w:val="Compact"/>
            </w:pPr>
            <w:r>
              <w:t xml:space="preserve">1</w:t>
            </w:r>
          </w:p>
        </w:tc>
        <w:tc>
          <w:tcPr/>
          <w:p>
            <w:pPr>
              <w:jc w:val="both"/>
              <w:pStyle w:val="Compact"/>
            </w:pPr>
            <w:r>
              <w:rPr>
                <w:sz w:val="18"/>
                <w:szCs w:val="18"/>
                <w:b/>
                <w:bCs/>
              </w:rPr>
              <w:t xml:space="preserve">Unified JBI (single tool)</w:t>
            </w:r>
            <w:r>
              <w:t xml:space="preserve"> </w:t>
            </w:r>
            <w:r>
              <w:t xml:space="preserve">— JBI revised 2026 for ALL studies (cross-sectional + quasi-experimental + cohort modules). Removed NIH Tool. Quality normalised as %.</w:t>
            </w:r>
          </w:p>
        </w:tc>
        <w:tc>
          <w:tcPr/>
          <w:p>
            <w:pPr>
              <w:jc w:val="both"/>
              <w:pStyle w:val="Compact"/>
            </w:pPr>
            <w:r>
              <w:t xml:space="preserve">Cross-design quality comparison requires a single methodological framework; NIH not revised since 2014</w:t>
            </w:r>
          </w:p>
        </w:tc>
      </w:tr>
      <w:tr>
        <w:tc>
          <w:tcPr/>
          <w:p>
            <w:pPr>
              <w:jc w:val="both"/>
              <w:pStyle w:val="Compact"/>
            </w:pPr>
            <w:r>
              <w:t xml:space="preserve">2</w:t>
            </w:r>
          </w:p>
        </w:tc>
        <w:tc>
          <w:tcPr/>
          <w:p>
            <w:pPr>
              <w:jc w:val="both"/>
              <w:pStyle w:val="Compact"/>
            </w:pPr>
            <w:r>
              <w:rPr>
                <w:b/>
                <w:bCs/>
              </w:rPr>
              <w:t xml:space="preserve">ESM operationalised</w:t>
            </w:r>
            <w:r>
              <w:t xml:space="preserve"> </w:t>
            </w:r>
            <w:r>
              <w:t xml:space="preserve">— 4 minimum criteria: ≥3 days, ≥3 measurements/day, timestamp-matched, device specification</w:t>
            </w:r>
          </w:p>
        </w:tc>
        <w:tc>
          <w:tcPr/>
          <w:p>
            <w:pPr>
              <w:jc w:val="both"/>
              <w:pStyle w:val="Compact"/>
            </w:pPr>
            <w:r>
              <w:t xml:space="preserve">Prevents dilution of ESM construct by weak designs (e.g., 2 time points across 2 days)</w:t>
            </w:r>
          </w:p>
        </w:tc>
      </w:tr>
      <w:tr>
        <w:tc>
          <w:tcPr/>
          <w:p>
            <w:pPr>
              <w:jc w:val="both"/>
              <w:pStyle w:val="Compact"/>
            </w:pPr>
            <w:r>
              <w:t xml:space="preserve">3</w:t>
            </w:r>
          </w:p>
        </w:tc>
        <w:tc>
          <w:tcPr/>
          <w:p>
            <w:pPr>
              <w:jc w:val="both"/>
              <w:pStyle w:val="Compact"/>
            </w:pPr>
            <w:r>
              <w:rPr>
                <w:b/>
                <w:bCs/>
              </w:rPr>
              <w:t xml:space="preserve">PRISMA 2020 + SWiM</w:t>
            </w:r>
            <w:r>
              <w:t xml:space="preserve"> </w:t>
            </w:r>
            <w:r>
              <w:t xml:space="preserve">— upgraded from PRISMA-ScR. Formal JBI critical appraisal exceeds scoping review standard.</w:t>
            </w:r>
          </w:p>
        </w:tc>
        <w:tc>
          <w:tcPr/>
          <w:p>
            <w:pPr>
              <w:jc w:val="both"/>
              <w:pStyle w:val="Compact"/>
            </w:pPr>
            <w:r>
              <w:t xml:space="preserve">Accurate reporting framework for systematic map with quality assessment</w:t>
            </w:r>
          </w:p>
        </w:tc>
      </w:tr>
    </w:tbl>
    <w:p>
      <w:pPr>
        <w:pStyle w:val="Heading3"/>
      </w:pPr>
      <w:r>
        <w:t xml:space="preserve">v2.1 → v2.2 (peer review: IF 18+ Major Revisions, 2026-06-15)</w:t>
      </w:r>
    </w:p>
    <w:tbl>
      <w:tblPr>
        <w:tblStyle w:val="Table"/>
        <w:tblW w:w="9026" w:type="dxa"/>
        <w:tblLayout w:type="fixed"/>
        <w:tblLook w:firstRow="1" w:lastRow="0" w:firstColumn="0" w:lastColumn="0" w:noHBand="0" w:noVBand="0" w:val="0020"/>
        <w:jc w:val="center"/>
      </w:tblPr>
      <w:tblGrid>
        <w:gridCol w:w="1080"/>
        <w:gridCol w:w="2880"/>
        <w:gridCol w:w="3960"/>
      </w:tblGrid>
      <w:tr>
        <w:trPr>
          <w:tblHeader w:val="on"/>
        </w:trPr>
        <w:tc>
          <w:tcPr/>
          <w:p>
            <w:pPr>
              <w:jc w:val="both"/>
              <w:pStyle w:val="Compact"/>
            </w:pPr>
            <w:r>
              <w:t xml:space="preserve">#</w:t>
            </w:r>
          </w:p>
        </w:tc>
        <w:tc>
          <w:tcPr/>
          <w:p>
            <w:pPr>
              <w:jc w:val="both"/>
              <w:pStyle w:val="Compact"/>
            </w:pPr>
            <w:r>
              <w:t xml:space="preserve">Change</w:t>
            </w:r>
          </w:p>
        </w:tc>
        <w:tc>
          <w:tcPr/>
          <w:p>
            <w:pPr>
              <w:jc w:val="both"/>
              <w:pStyle w:val="Compact"/>
            </w:pPr>
            <w:r>
              <w:t xml:space="preserve">Rationale</w:t>
            </w:r>
          </w:p>
        </w:tc>
      </w:tr>
      <w:tr>
        <w:tc>
          <w:tcPr/>
          <w:p>
            <w:pPr>
              <w:jc w:val="both"/>
              <w:pStyle w:val="Compact"/>
            </w:pPr>
            <w:r>
              <w:t xml:space="preserve">1</w:t>
            </w:r>
          </w:p>
        </w:tc>
        <w:tc>
          <w:tcPr/>
          <w:p>
            <w:pPr>
              <w:jc w:val="both"/>
              <w:pStyle w:val="Compact"/>
            </w:pPr>
            <w:r>
              <w:rPr>
                <w:sz w:val="18"/>
                <w:szCs w:val="18"/>
                <w:b/>
                <w:bCs/>
              </w:rPr>
              <w:t xml:space="preserve">Removed «English only»</w:t>
            </w:r>
            <w:r>
              <w:t xml:space="preserve"> </w:t>
            </w:r>
            <w:r>
              <w:t xml:space="preserve">→ multi-language (EN, DE, FR, ZH, ES) with DeepL</w:t>
            </w:r>
          </w:p>
        </w:tc>
        <w:tc>
          <w:tcPr/>
          <w:p>
            <w:pPr>
              <w:jc w:val="both"/>
              <w:pStyle w:val="Compact"/>
            </w:pPr>
            <w:r>
              <w:t xml:space="preserve">Publication bias; IF 18+ requirement</w:t>
            </w:r>
          </w:p>
        </w:tc>
      </w:tr>
      <w:tr>
        <w:tc>
          <w:tcPr/>
          <w:p>
            <w:pPr>
              <w:jc w:val="both"/>
              <w:pStyle w:val="Compact"/>
            </w:pPr>
            <w:r>
              <w:t xml:space="preserve">2</w:t>
            </w:r>
          </w:p>
        </w:tc>
        <w:tc>
          <w:tcPr/>
          <w:p>
            <w:pPr>
              <w:jc w:val="both"/>
              <w:pStyle w:val="Compact"/>
            </w:pPr>
            <w:r>
              <w:rPr>
                <w:b/>
                <w:bCs/>
              </w:rPr>
              <w:t xml:space="preserve">Added Embase</w:t>
            </w:r>
            <w:r>
              <w:t xml:space="preserve"> </w:t>
            </w:r>
            <w:r>
              <w:t xml:space="preserve">as mandatory database</w:t>
            </w:r>
          </w:p>
        </w:tc>
        <w:tc>
          <w:tcPr/>
          <w:p>
            <w:pPr>
              <w:jc w:val="both"/>
              <w:pStyle w:val="Compact"/>
            </w:pPr>
            <w:r>
              <w:t xml:space="preserve">~2,900 unique journals not in PubMed; required for biomarker studies</w:t>
            </w:r>
          </w:p>
        </w:tc>
      </w:tr>
      <w:tr>
        <w:tc>
          <w:tcPr/>
          <w:p>
            <w:pPr>
              <w:jc w:val="both"/>
              <w:pStyle w:val="Compact"/>
            </w:pPr>
            <w:r>
              <w:t xml:space="preserve">3</w:t>
            </w:r>
          </w:p>
        </w:tc>
        <w:tc>
          <w:tcPr/>
          <w:p>
            <w:pPr>
              <w:jc w:val="both"/>
              <w:pStyle w:val="Compact"/>
            </w:pPr>
            <w:r>
              <w:rPr>
                <w:b/>
                <w:bCs/>
              </w:rPr>
              <w:t xml:space="preserve">Added ProQuest Dissertations + Google Scholar</w:t>
            </w:r>
            <w:r>
              <w:t xml:space="preserve"> </w:t>
            </w:r>
            <w:r>
              <w:t xml:space="preserve">(first 200)</w:t>
            </w:r>
          </w:p>
        </w:tc>
        <w:tc>
          <w:tcPr/>
          <w:p>
            <w:pPr>
              <w:jc w:val="both"/>
              <w:pStyle w:val="Compact"/>
            </w:pPr>
            <w:r>
              <w:t xml:space="preserve">Grey literature capture; reduces file-drawer bias</w:t>
            </w:r>
          </w:p>
        </w:tc>
      </w:tr>
      <w:tr>
        <w:tc>
          <w:tcPr/>
          <w:p>
            <w:pPr>
              <w:jc w:val="both"/>
              <w:pStyle w:val="Compact"/>
            </w:pPr>
            <w:r>
              <w:t xml:space="preserve">4</w:t>
            </w:r>
          </w:p>
        </w:tc>
        <w:tc>
          <w:tcPr/>
          <w:p>
            <w:pPr>
              <w:jc w:val="both"/>
              <w:pStyle w:val="Compact"/>
            </w:pPr>
            <w:r>
              <w:rPr>
                <w:b/>
                <w:bCs/>
              </w:rPr>
              <w:t xml:space="preserve">Replaced search string</w:t>
            </w:r>
            <w:r>
              <w:t xml:space="preserve"> </w:t>
            </w:r>
            <w:r>
              <w:t xml:space="preserve">with reviewer-provided MeSH-centric version</w:t>
            </w:r>
          </w:p>
        </w:tc>
        <w:tc>
          <w:tcPr/>
          <w:p>
            <w:pPr>
              <w:jc w:val="both"/>
              <w:pStyle w:val="Compact"/>
            </w:pPr>
            <w:r>
              <w:t xml:space="preserve">Removed generic «biomarker*»; added emotional regulation MeSH; added EMA/wearable terms</w:t>
            </w:r>
          </w:p>
        </w:tc>
      </w:tr>
      <w:tr>
        <w:tc>
          <w:tcPr/>
          <w:p>
            <w:pPr>
              <w:jc w:val="both"/>
              <w:pStyle w:val="Compact"/>
            </w:pPr>
            <w:r>
              <w:t xml:space="preserve">5</w:t>
            </w:r>
          </w:p>
        </w:tc>
        <w:tc>
          <w:tcPr/>
          <w:p>
            <w:pPr>
              <w:jc w:val="both"/>
              <w:pStyle w:val="Compact"/>
            </w:pPr>
            <w:r>
              <w:rPr>
                <w:b/>
                <w:bCs/>
              </w:rPr>
              <w:t xml:space="preserve">Renamed «Challenge Paradigms» → «Dynamic Perturbation Protocols»</w:t>
            </w:r>
          </w:p>
        </w:tc>
        <w:tc>
          <w:tcPr/>
          <w:p>
            <w:pPr>
              <w:jc w:val="both"/>
              <w:pStyle w:val="Compact"/>
            </w:pPr>
            <w:r>
              <w:t xml:space="preserve">Terminology alignment with IF 10+ literature</w:t>
            </w:r>
          </w:p>
        </w:tc>
      </w:tr>
      <w:tr>
        <w:tc>
          <w:tcPr/>
          <w:p>
            <w:pPr>
              <w:jc w:val="both"/>
              <w:pStyle w:val="Compact"/>
            </w:pPr>
            <w:r>
              <w:t xml:space="preserve">6</w:t>
            </w:r>
          </w:p>
        </w:tc>
        <w:tc>
          <w:tcPr/>
          <w:p>
            <w:pPr>
              <w:jc w:val="both"/>
              <w:pStyle w:val="Compact"/>
            </w:pPr>
            <w:r>
              <w:rPr>
                <w:b/>
                <w:bCs/>
              </w:rPr>
              <w:t xml:space="preserve">Added Ambulatory/Real-World section</w:t>
            </w:r>
            <w:r>
              <w:t xml:space="preserve"> </w:t>
            </w:r>
            <w:r>
              <w:t xml:space="preserve">(EMA, wearables, daily diaries)</w:t>
            </w:r>
          </w:p>
        </w:tc>
        <w:tc>
          <w:tcPr/>
          <w:p>
            <w:pPr>
              <w:jc w:val="both"/>
              <w:pStyle w:val="Compact"/>
            </w:pPr>
            <w:r>
              <w:t xml:space="preserve">Ecological validity; IF 18+ journals prioritise ambulatory data</w:t>
            </w:r>
          </w:p>
        </w:tc>
      </w:tr>
      <w:tr>
        <w:tc>
          <w:tcPr/>
          <w:p>
            <w:pPr>
              <w:jc w:val="both"/>
              <w:pStyle w:val="Compact"/>
            </w:pPr>
            <w:r>
              <w:t xml:space="preserve">7</w:t>
            </w:r>
          </w:p>
        </w:tc>
        <w:tc>
          <w:tcPr/>
          <w:p>
            <w:pPr>
              <w:jc w:val="both"/>
              <w:pStyle w:val="Compact"/>
            </w:pPr>
            <w:r>
              <w:rPr>
                <w:b/>
                <w:bCs/>
              </w:rPr>
              <w:t xml:space="preserve">Added «ESM» code</w:t>
            </w:r>
            <w:r>
              <w:t xml:space="preserve"> </w:t>
            </w:r>
            <w:r>
              <w:t xml:space="preserve">to Temporal Structure coding</w:t>
            </w:r>
          </w:p>
        </w:tc>
        <w:tc>
          <w:tcPr/>
          <w:p>
            <w:pPr>
              <w:jc w:val="both"/>
              <w:pStyle w:val="Compact"/>
            </w:pPr>
            <w:r>
              <w:t xml:space="preserve">Ecological Sampling Method — highest validity tier</w:t>
            </w:r>
          </w:p>
        </w:tc>
      </w:tr>
      <w:tr>
        <w:tc>
          <w:tcPr/>
          <w:p>
            <w:pPr>
              <w:jc w:val="both"/>
              <w:pStyle w:val="Compact"/>
            </w:pPr>
            <w:r>
              <w:t xml:space="preserve">8</w:t>
            </w:r>
          </w:p>
        </w:tc>
        <w:tc>
          <w:tcPr/>
          <w:p>
            <w:pPr>
              <w:jc w:val="both"/>
              <w:pStyle w:val="Compact"/>
            </w:pPr>
            <w:r>
              <w:rPr>
                <w:b/>
                <w:bCs/>
              </w:rPr>
              <w:t xml:space="preserve">Removed Exploratory biomarker domains</w:t>
            </w:r>
            <w:r>
              <w:t xml:space="preserve"> </w:t>
            </w:r>
            <w:r>
              <w:t xml:space="preserve">from main protocol → Discussion «Future directions»</w:t>
            </w:r>
          </w:p>
        </w:tc>
        <w:tc>
          <w:tcPr/>
          <w:p>
            <w:pPr>
              <w:jc w:val="both"/>
              <w:pStyle w:val="Compact"/>
            </w:pPr>
            <w:r>
              <w:t xml:space="preserve">Per reviewer: «including domains without adequate data reduces credibility»</w:t>
            </w:r>
          </w:p>
        </w:tc>
      </w:tr>
      <w:tr>
        <w:tc>
          <w:tcPr/>
          <w:p>
            <w:pPr>
              <w:jc w:val="both"/>
              <w:pStyle w:val="Compact"/>
            </w:pPr>
            <w:r>
              <w:t xml:space="preserve">9</w:t>
            </w:r>
          </w:p>
        </w:tc>
        <w:tc>
          <w:tcPr/>
          <w:p>
            <w:pPr>
              <w:jc w:val="both"/>
              <w:pStyle w:val="Compact"/>
            </w:pPr>
            <w:r>
              <w:rPr>
                <w:b/>
                <w:bCs/>
              </w:rPr>
              <w:t xml:space="preserve">Upgraded Quality Assessment</w:t>
            </w:r>
            <w:r>
              <w:t xml:space="preserve"> </w:t>
            </w:r>
            <w:r>
              <w:t xml:space="preserve">→ dual JBI + NIH tools with dual independent rating</w:t>
            </w:r>
          </w:p>
        </w:tc>
        <w:tc>
          <w:tcPr/>
          <w:p>
            <w:pPr>
              <w:jc w:val="both"/>
              <w:pStyle w:val="Compact"/>
            </w:pPr>
            <w:r>
              <w:t xml:space="preserve">Formal Risk of Bias; mandatory for IF 10+</w:t>
            </w:r>
          </w:p>
        </w:tc>
      </w:tr>
      <w:tr>
        <w:tc>
          <w:tcPr/>
          <w:p>
            <w:pPr>
              <w:jc w:val="both"/>
              <w:pStyle w:val="Compact"/>
            </w:pPr>
            <w:r>
              <w:t xml:space="preserve">10</w:t>
            </w:r>
          </w:p>
        </w:tc>
        <w:tc>
          <w:tcPr/>
          <w:p>
            <w:pPr>
              <w:jc w:val="both"/>
              <w:pStyle w:val="Compact"/>
            </w:pPr>
            <w:r>
              <w:rPr>
                <w:b/>
                <w:bCs/>
              </w:rPr>
              <w:t xml:space="preserve">Added pilot report requirement</w:t>
            </w:r>
            <w:r>
              <w:t xml:space="preserve"> </w:t>
            </w:r>
            <w:r>
              <w:t xml:space="preserve">→ submit with protocol as feasibility evidence</w:t>
            </w:r>
          </w:p>
        </w:tc>
        <w:tc>
          <w:tcPr/>
          <w:p>
            <w:pPr>
              <w:jc w:val="both"/>
              <w:pStyle w:val="Compact"/>
            </w:pPr>
            <w:r>
              <w:t xml:space="preserve">Reviewer: «show that N≈50, not N≈5000»</w:t>
            </w:r>
          </w:p>
        </w:tc>
      </w:tr>
      <w:tr>
        <w:tc>
          <w:tcPr/>
          <w:p>
            <w:pPr>
              <w:jc w:val="both"/>
              <w:pStyle w:val="Compact"/>
            </w:pPr>
            <w:r>
              <w:t xml:space="preserve">11</w:t>
            </w:r>
          </w:p>
        </w:tc>
        <w:tc>
          <w:tcPr/>
          <w:p>
            <w:pPr>
              <w:jc w:val="both"/>
              <w:pStyle w:val="Compact"/>
            </w:pPr>
            <w:r>
              <w:rPr>
                <w:b/>
                <w:bCs/>
              </w:rPr>
              <w:t xml:space="preserve">Tightened Go/No-Go criteria</w:t>
            </w:r>
            <w:r>
              <w:t xml:space="preserve"> </w:t>
            </w:r>
            <w:r>
              <w:t xml:space="preserve">→ T1/T2 tiers with ESM and quality thresholds</w:t>
            </w:r>
          </w:p>
        </w:tc>
        <w:tc>
          <w:tcPr/>
          <w:p>
            <w:pPr>
              <w:jc w:val="both"/>
              <w:pStyle w:val="Compact"/>
            </w:pPr>
            <w:r>
              <w:t xml:space="preserve">Aspirational tiering for IF 18+ trajectory</w:t>
            </w:r>
          </w:p>
        </w:tc>
      </w:tr>
      <w:tr>
        <w:tc>
          <w:tcPr/>
          <w:p>
            <w:pPr>
              <w:jc w:val="both"/>
              <w:pStyle w:val="Compact"/>
            </w:pPr>
            <w:r>
              <w:t xml:space="preserve">12</w:t>
            </w:r>
          </w:p>
        </w:tc>
        <w:tc>
          <w:tcPr/>
          <w:p>
            <w:pPr>
              <w:jc w:val="both"/>
              <w:pStyle w:val="Compact"/>
            </w:pPr>
            <w:r>
              <w:rPr>
                <w:b/>
                <w:bCs/>
              </w:rPr>
              <w:t xml:space="preserve">Added Embase/Scopus search string adaptation notes</w:t>
            </w:r>
          </w:p>
        </w:tc>
        <w:tc>
          <w:tcPr/>
          <w:p>
            <w:pPr>
              <w:jc w:val="both"/>
              <w:pStyle w:val="Compact"/>
            </w:pPr>
            <w:r>
              <w:t xml:space="preserve">Reproducibility across databases</w:t>
            </w:r>
          </w:p>
        </w:tc>
      </w:tr>
      <w:tr>
        <w:tc>
          <w:tcPr/>
          <w:p>
            <w:pPr>
              <w:jc w:val="both"/>
              <w:pStyle w:val="Compact"/>
            </w:pPr>
            <w:r>
              <w:t xml:space="preserve">13</w:t>
            </w:r>
          </w:p>
        </w:tc>
        <w:tc>
          <w:tcPr/>
          <w:p>
            <w:pPr>
              <w:jc w:val="both"/>
              <w:pStyle w:val="Compact"/>
            </w:pPr>
            <w:r>
              <w:rPr>
                <w:b/>
                <w:bCs/>
              </w:rPr>
              <w:t xml:space="preserve">Extraction table:</w:t>
            </w:r>
            <w:r>
              <w:t xml:space="preserve"> </w:t>
            </w:r>
            <w:r>
              <w:t xml:space="preserve">added Setting, Quality score, Language fields</w:t>
            </w:r>
          </w:p>
        </w:tc>
        <w:tc>
          <w:tcPr/>
          <w:p>
            <w:pPr>
              <w:jc w:val="both"/>
              <w:pStyle w:val="Compact"/>
            </w:pPr>
            <w:r>
              <w:t xml:space="preserve">Traceability for multi-language and ambulatory data</w:t>
            </w:r>
          </w:p>
        </w:tc>
      </w:tr>
    </w:tbl>
    <w:p>
      <w:pPr>
        <w:pStyle w:val="Heading3"/>
      </w:pPr>
      <w:r>
        <w:t xml:space="preserve">v2.0 → v2.1 (MBPR peer review: 78.7/100, 2026-06-15)</w:t>
      </w:r>
    </w:p>
    <w:tbl>
      <w:tblPr>
        <w:tblStyle w:val="Table"/>
        <w:tblW w:w="9026" w:type="dxa"/>
        <w:tblLayout w:type="fixed"/>
        <w:tblLook w:firstRow="1" w:lastRow="0" w:firstColumn="0" w:lastColumn="0" w:noHBand="0" w:noVBand="0" w:val="0020"/>
        <w:jc w:val="center"/>
      </w:tblPr>
      <w:tblGrid>
        <w:gridCol w:w="2160"/>
        <w:gridCol w:w="5760"/>
      </w:tblGrid>
      <w:tr>
        <w:trPr>
          <w:tblHeader w:val="on"/>
        </w:trPr>
        <w:tc>
          <w:tcPr/>
          <w:p>
            <w:pPr>
              <w:jc w:val="both"/>
              <w:pStyle w:val="Compact"/>
            </w:pPr>
            <w:r>
              <w:t xml:space="preserve">#</w:t>
            </w:r>
          </w:p>
        </w:tc>
        <w:tc>
          <w:tcPr/>
          <w:p>
            <w:pPr>
              <w:jc w:val="both"/>
              <w:pStyle w:val="Compact"/>
            </w:pPr>
            <w:r>
              <w:t xml:space="preserve">Change</w:t>
            </w:r>
          </w:p>
        </w:tc>
      </w:tr>
      <w:tr>
        <w:tc>
          <w:tcPr/>
          <w:p>
            <w:pPr>
              <w:jc w:val="both"/>
              <w:pStyle w:val="Compact"/>
            </w:pPr>
            <w:r>
              <w:t xml:space="preserve">1</w:t>
            </w:r>
          </w:p>
        </w:tc>
        <w:tc>
          <w:tcPr/>
          <w:p>
            <w:pPr>
              <w:jc w:val="both"/>
              <w:pStyle w:val="Compact"/>
            </w:pPr>
            <w:r>
              <w:t xml:space="preserve">Added MeSH terms to PubMed search string for all primary domains</w:t>
            </w:r>
          </w:p>
        </w:tc>
      </w:tr>
      <w:tr>
        <w:tc>
          <w:tcPr/>
          <w:p>
            <w:pPr>
              <w:jc w:val="both"/>
              <w:pStyle w:val="Compact"/>
            </w:pPr>
            <w:r>
              <w:t xml:space="preserve">2</w:t>
            </w:r>
          </w:p>
        </w:tc>
        <w:tc>
          <w:tcPr/>
          <w:p>
            <w:pPr>
              <w:jc w:val="both"/>
              <w:pStyle w:val="Compact"/>
            </w:pPr>
            <w:r>
              <w:t xml:space="preserve">Added pilot calibration step (50 abstracts, κ ≥ 0.70)</w:t>
            </w:r>
          </w:p>
        </w:tc>
      </w:tr>
      <w:tr>
        <w:tc>
          <w:tcPr/>
          <w:p>
            <w:pPr>
              <w:jc w:val="both"/>
              <w:pStyle w:val="Compact"/>
            </w:pPr>
            <w:r>
              <w:t xml:space="preserve">3</w:t>
            </w:r>
          </w:p>
        </w:tc>
        <w:tc>
          <w:tcPr/>
          <w:p>
            <w:pPr>
              <w:jc w:val="both"/>
              <w:pStyle w:val="Compact"/>
            </w:pPr>
            <w:r>
              <w:t xml:space="preserve">Inclusion criterion #3: added minimum 5-min interval between time points</w:t>
            </w:r>
          </w:p>
        </w:tc>
      </w:tr>
      <w:tr>
        <w:tc>
          <w:tcPr/>
          <w:p>
            <w:pPr>
              <w:jc w:val="both"/>
              <w:pStyle w:val="Compact"/>
            </w:pPr>
            <w:r>
              <w:t xml:space="preserve">4</w:t>
            </w:r>
          </w:p>
        </w:tc>
        <w:tc>
          <w:tcPr/>
          <w:p>
            <w:pPr>
              <w:jc w:val="both"/>
              <w:pStyle w:val="Compact"/>
            </w:pPr>
            <w:r>
              <w:t xml:space="preserve">Added date filter 2000–2026 to search string</w:t>
            </w:r>
          </w:p>
        </w:tc>
      </w:tr>
      <w:tr>
        <w:tc>
          <w:tcPr/>
          <w:p>
            <w:pPr>
              <w:jc w:val="both"/>
              <w:pStyle w:val="Compact"/>
            </w:pPr>
            <w:r>
              <w:t xml:space="preserve">5</w:t>
            </w:r>
          </w:p>
        </w:tc>
        <w:tc>
          <w:tcPr/>
          <w:p>
            <w:pPr>
              <w:jc w:val="both"/>
              <w:pStyle w:val="Compact"/>
            </w:pPr>
            <w:r>
              <w:t xml:space="preserve">Added OSF registration deadline (2026-06-22) as Step 0</w:t>
            </w:r>
          </w:p>
        </w:tc>
      </w:tr>
      <w:tr>
        <w:tc>
          <w:tcPr/>
          <w:p>
            <w:pPr>
              <w:jc w:val="both"/>
              <w:pStyle w:val="Compact"/>
            </w:pPr>
            <w:r>
              <w:t xml:space="preserve">6</w:t>
            </w:r>
          </w:p>
        </w:tc>
        <w:tc>
          <w:tcPr/>
          <w:p>
            <w:pPr>
              <w:jc w:val="both"/>
              <w:pStyle w:val="Compact"/>
            </w:pPr>
            <w:r>
              <w:t xml:space="preserve">Added unit-of-analysis rule for multi-biomarker studies</w:t>
            </w:r>
          </w:p>
        </w:tc>
      </w:tr>
      <w:tr>
        <w:tc>
          <w:tcPr/>
          <w:p>
            <w:pPr>
              <w:jc w:val="both"/>
              <w:pStyle w:val="Compact"/>
            </w:pPr>
            <w:r>
              <w:t xml:space="preserve">7</w:t>
            </w:r>
          </w:p>
        </w:tc>
        <w:tc>
          <w:tcPr/>
          <w:p>
            <w:pPr>
              <w:jc w:val="both"/>
              <w:pStyle w:val="Compact"/>
            </w:pPr>
            <w:r>
              <w:t xml:space="preserve">Added JBI Critical Appraisal for primary domains</w:t>
            </w:r>
          </w:p>
        </w:tc>
      </w:tr>
      <w:tr>
        <w:tc>
          <w:tcPr/>
          <w:p>
            <w:pPr>
              <w:jc w:val="both"/>
              <w:pStyle w:val="Compact"/>
            </w:pPr>
            <w:r>
              <w:t xml:space="preserve">8</w:t>
            </w:r>
          </w:p>
        </w:tc>
        <w:tc>
          <w:tcPr/>
          <w:p>
            <w:pPr>
              <w:jc w:val="both"/>
              <w:pStyle w:val="Compact"/>
            </w:pPr>
            <w:r>
              <w:t xml:space="preserve">Added Data Management Plan section</w:t>
            </w:r>
          </w:p>
        </w:tc>
      </w:tr>
    </w:tbl>
    <w:p>
      <w:pPr>
        <w:pStyle w:val="Heading3"/>
      </w:pPr>
      <w:r>
        <w:t xml:space="preserve">v1 → v2 (Afaf’s 8 methodological comments, 2026-06-15)</w:t>
      </w:r>
    </w:p>
    <w:tbl>
      <w:tblPr>
        <w:tblStyle w:val="Table"/>
        <w:tblW w:w="9026" w:type="dxa"/>
        <w:tblLayout w:type="fixed"/>
        <w:tblLook w:firstRow="1" w:lastRow="0" w:firstColumn="0" w:lastColumn="0" w:noHBand="0" w:noVBand="0" w:val="0020"/>
        <w:jc w:val="center"/>
      </w:tblPr>
      <w:tblGrid>
        <w:gridCol w:w="2160"/>
        <w:gridCol w:w="5760"/>
      </w:tblGrid>
      <w:tr>
        <w:trPr>
          <w:tblHeader w:val="on"/>
        </w:trPr>
        <w:tc>
          <w:tcPr/>
          <w:p>
            <w:pPr>
              <w:jc w:val="both"/>
              <w:pStyle w:val="Compact"/>
            </w:pPr>
            <w:r>
              <w:t xml:space="preserve">#</w:t>
            </w:r>
          </w:p>
        </w:tc>
        <w:tc>
          <w:tcPr/>
          <w:p>
            <w:pPr>
              <w:jc w:val="both"/>
              <w:pStyle w:val="Compact"/>
            </w:pPr>
            <w:r>
              <w:t xml:space="preserve">Change</w:t>
            </w:r>
          </w:p>
        </w:tc>
      </w:tr>
      <w:tr>
        <w:tc>
          <w:tcPr/>
          <w:p>
            <w:pPr>
              <w:jc w:val="both"/>
              <w:pStyle w:val="Compact"/>
            </w:pPr>
            <w:r>
              <w:t xml:space="preserve">1</w:t>
            </w:r>
          </w:p>
        </w:tc>
        <w:tc>
          <w:tcPr/>
          <w:p>
            <w:pPr>
              <w:jc w:val="both"/>
              <w:pStyle w:val="Compact"/>
            </w:pPr>
            <w:r>
              <w:t xml:space="preserve">PROSPERO → OSF registration</w:t>
            </w:r>
          </w:p>
        </w:tc>
      </w:tr>
      <w:tr>
        <w:tc>
          <w:tcPr/>
          <w:p>
            <w:pPr>
              <w:jc w:val="both"/>
              <w:pStyle w:val="Compact"/>
            </w:pPr>
            <w:r>
              <w:t xml:space="preserve">2</w:t>
            </w:r>
          </w:p>
        </w:tc>
        <w:tc>
          <w:tcPr/>
          <w:p>
            <w:pPr>
              <w:jc w:val="both"/>
              <w:pStyle w:val="Compact"/>
            </w:pPr>
            <w:r>
              <w:t xml:space="preserve">Mixed samples: only if healthy controls reported separately</w:t>
            </w:r>
          </w:p>
        </w:tc>
      </w:tr>
      <w:tr>
        <w:tc>
          <w:tcPr/>
          <w:p>
            <w:pPr>
              <w:jc w:val="both"/>
              <w:pStyle w:val="Compact"/>
            </w:pPr>
            <w:r>
              <w:t xml:space="preserve">3</w:t>
            </w:r>
          </w:p>
        </w:tc>
        <w:tc>
          <w:tcPr/>
          <w:p>
            <w:pPr>
              <w:jc w:val="both"/>
              <w:pStyle w:val="Compact"/>
            </w:pPr>
            <w:r>
              <w:t xml:space="preserve">Temporal structure: added 4-category coding (BA / BAR / RM / LD)</w:t>
            </w:r>
          </w:p>
        </w:tc>
      </w:tr>
      <w:tr>
        <w:tc>
          <w:tcPr/>
          <w:p>
            <w:pPr>
              <w:jc w:val="both"/>
              <w:pStyle w:val="Compact"/>
            </w:pPr>
            <w:r>
              <w:t xml:space="preserve">4</w:t>
            </w:r>
          </w:p>
        </w:tc>
        <w:tc>
          <w:tcPr/>
          <w:p>
            <w:pPr>
              <w:jc w:val="both"/>
              <w:pStyle w:val="Compact"/>
            </w:pPr>
            <w:r>
              <w:t xml:space="preserve">Challenge paradigms: explicit list with examples</w:t>
            </w:r>
          </w:p>
        </w:tc>
      </w:tr>
      <w:tr>
        <w:tc>
          <w:tcPr/>
          <w:p>
            <w:pPr>
              <w:jc w:val="both"/>
              <w:pStyle w:val="Compact"/>
            </w:pPr>
            <w:r>
              <w:t xml:space="preserve">5</w:t>
            </w:r>
          </w:p>
        </w:tc>
        <w:tc>
          <w:tcPr/>
          <w:p>
            <w:pPr>
              <w:jc w:val="both"/>
              <w:pStyle w:val="Compact"/>
            </w:pPr>
            <w:r>
              <w:t xml:space="preserve">Biomarker primary vs exploratory: split into two tiers</w:t>
            </w:r>
          </w:p>
        </w:tc>
      </w:tr>
      <w:tr>
        <w:tc>
          <w:tcPr/>
          <w:p>
            <w:pPr>
              <w:jc w:val="both"/>
              <w:pStyle w:val="Compact"/>
            </w:pPr>
            <w:r>
              <w:t xml:space="preserve">6</w:t>
            </w:r>
          </w:p>
        </w:tc>
        <w:tc>
          <w:tcPr/>
          <w:p>
            <w:pPr>
              <w:jc w:val="both"/>
              <w:pStyle w:val="Compact"/>
            </w:pPr>
            <w:r>
              <w:t xml:space="preserve">Search string: added paradigm terms (TSST, social stress, etc.)</w:t>
            </w:r>
          </w:p>
        </w:tc>
      </w:tr>
      <w:tr>
        <w:tc>
          <w:tcPr/>
          <w:p>
            <w:pPr>
              <w:jc w:val="both"/>
              <w:pStyle w:val="Compact"/>
            </w:pPr>
            <w:r>
              <w:t xml:space="preserve">7</w:t>
            </w:r>
          </w:p>
        </w:tc>
        <w:tc>
          <w:tcPr/>
          <w:p>
            <w:pPr>
              <w:jc w:val="both"/>
              <w:pStyle w:val="Compact"/>
            </w:pPr>
            <w:r>
              <w:t xml:space="preserve">Third reviewer not blocking: documented dual screening + conflict resolution</w:t>
            </w:r>
          </w:p>
        </w:tc>
      </w:tr>
      <w:tr>
        <w:tc>
          <w:tcPr/>
          <w:p>
            <w:pPr>
              <w:jc w:val="both"/>
              <w:pStyle w:val="Compact"/>
            </w:pPr>
            <w:r>
              <w:t xml:space="preserve">8</w:t>
            </w:r>
          </w:p>
        </w:tc>
        <w:tc>
          <w:tcPr/>
          <w:p>
            <w:pPr>
              <w:jc w:val="both"/>
              <w:pStyle w:val="Compact"/>
            </w:pPr>
            <w:r>
              <w:t xml:space="preserve">Target journals: expanded list with ranking</w:t>
            </w:r>
          </w:p>
        </w:tc>
      </w:tr>
      <w:tr>
        <w:tc>
          <w:tcPr/>
          <w:p>
            <w:pPr>
              <w:jc w:val="both"/>
              <w:pStyle w:val="Compact"/>
            </w:pPr>
            <w:r>
              <w:t xml:space="preserve">9</w:t>
            </w:r>
          </w:p>
        </w:tc>
        <w:tc>
          <w:tcPr/>
          <w:p>
            <w:pPr>
              <w:jc w:val="both"/>
              <w:pStyle w:val="Compact"/>
            </w:pPr>
            <w:r>
              <w:t xml:space="preserve">Feasibility phase: added explicit Go/No-Go criteria</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4"/>
      <w:szCs w:val="24"/>
    </w:rPr>
    <w:pPr>
      <w:spacing w:line="276" w:lineRule="auto" w:after="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qFormat/>
    <w:rPr>
      <w:rFonts w:ascii="Arial" w:hAnsi="Arial" w:cs="Arial"/>
      <w:sz w:val="56"/>
      <w:szCs w:val="56"/>
    </w:rPr>
    <w:pPr>
      <w:jc w:val="center"/>
      <w:spacing w:line="240" w:after="120"/>
    </w:p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rPr>
      <w:rFonts w:ascii="Arial" w:hAnsi="Arial" w:cs="Arial"/>
      <w:sz w:val="28"/>
      <w:szCs w:val="28"/>
    </w:rPr>
    <w:pPr>
      <w:jc w:val="center"/>
      <w:spacing w:line="240" w:after="120"/>
    </w:p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rPr>
      <w:rFonts w:ascii="Arial" w:hAnsi="Arial" w:cs="Arial"/>
      <w:b/>
      <w:sz w:val="40"/>
      <w:szCs w:val="40"/>
    </w:rPr>
    <w:pPr>
      <w:keepNext/>
      <w:keepLines/>
      <w:spacing w:after="120" w:before="360"/>
      <w:outlineLvl w:val="0"/>
    </w:pPr>
  </w:style>
  <w:style w:styleId="Heading2" w:type="paragraph">
    <w:name w:val="heading 2"/>
    <w:basedOn w:val="Normal"/>
    <w:next w:val="Normal"/>
    <w:link w:val="Heading2Char"/>
    <w:uiPriority w:val="9"/>
    <w:qFormat/>
    <w:rPr>
      <w:rFonts w:ascii="Arial" w:hAnsi="Arial" w:cs="Arial"/>
      <w:b/>
      <w:sz w:val="32"/>
      <w:szCs w:val="32"/>
    </w:rPr>
    <w:pPr>
      <w:keepNext/>
      <w:keepLines/>
      <w:spacing w:after="80" w:before="240"/>
      <w:outlineLvl w:val="1"/>
    </w:pPr>
  </w:style>
  <w:style w:styleId="Heading3" w:type="paragraph">
    <w:name w:val="heading 3"/>
    <w:basedOn w:val="Normal"/>
    <w:next w:val="Normal"/>
    <w:link w:val="Heading3Char"/>
    <w:uiPriority w:val="9"/>
    <w:qFormat/>
    <w:rPr>
      <w:rFonts w:ascii="Arial" w:hAnsi="Arial" w:cs="Arial"/>
      <w:b/>
      <w:sz w:val="24"/>
      <w:szCs w:val="24"/>
    </w:rPr>
    <w:pPr>
      <w:keepNext/>
      <w:keepLines/>
      <w:spacing w:after="60" w:before="200"/>
      <w:outlineLvl w:val="2"/>
    </w:p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2026-06-15T12:46:53Z</dcterms:created>
  <dcterms:modified xsi:type="dcterms:W3CDTF">2026-06-15T12:46:53Z</dcterms:modified>
</cp:coreProperties>
</file>

<file path=docProps/custom.xml><?xml version="1.0" encoding="utf-8"?>
<Properties xmlns="http://schemas.openxmlformats.org/officeDocument/2006/custom-properties" xmlns:vt="http://schemas.openxmlformats.org/officeDocument/2006/docPropsVTypes"/>
</file>