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rPr/>
      </w:pPr>
      <w:bookmarkStart w:colFirst="0" w:colLast="0" w:name="_cu93o877oldf" w:id="0"/>
      <w:bookmarkEnd w:id="0"/>
      <w:r w:rsidDel="00000000" w:rsidR="00000000" w:rsidRPr="00000000">
        <w:rPr>
          <w:rtl w:val="0"/>
        </w:rPr>
        <w:t xml:space="preserve">Emergent Lorentz Time Dilation from a Ze Counter-Based Information - Processing Experiment</w:t>
      </w:r>
    </w:p>
    <w:p w:rsidR="00000000" w:rsidDel="00000000" w:rsidP="00000000" w:rsidRDefault="00000000" w:rsidRPr="00000000" w14:paraId="00000003">
      <w:pPr>
        <w:pStyle w:val="Subtitle"/>
        <w:rPr/>
      </w:pPr>
      <w:bookmarkStart w:colFirst="0" w:colLast="0" w:name="_ek5ttcry9f55" w:id="1"/>
      <w:bookmarkEnd w:id="1"/>
      <w:r w:rsidDel="00000000" w:rsidR="00000000" w:rsidRPr="00000000">
        <w:rPr>
          <w:rtl w:val="0"/>
        </w:rPr>
        <w:t xml:space="preserve">An experimental demonstration of information-driven temporal scaling</w:t>
      </w:r>
    </w:p>
    <w:p w:rsidR="00000000" w:rsidDel="00000000" w:rsidP="00000000" w:rsidRDefault="00000000" w:rsidRPr="00000000" w14:paraId="00000004">
      <w:pPr>
        <w:pStyle w:val="Subtitle"/>
        <w:rPr/>
      </w:pPr>
      <w:bookmarkStart w:colFirst="0" w:colLast="0" w:name="_o4qjai9tc616"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Jaba Tkemaladze </w:t>
      </w:r>
      <w:hyperlink r:id="rId6">
        <w:r w:rsidDel="00000000" w:rsidR="00000000" w:rsidRPr="00000000">
          <w:rPr>
            <w:rFonts w:ascii="Arial" w:cs="Arial" w:eastAsia="Arial" w:hAnsi="Arial"/>
            <w:color w:val="1155cc"/>
            <w:u w:val="single"/>
            <w:vertAlign w:val="superscript"/>
            <w:rtl w:val="0"/>
          </w:rPr>
          <w:t xml:space="preserve">^</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Kutaisi International University, Georgia</w:t>
      </w:r>
    </w:p>
    <w:p w:rsidR="00000000" w:rsidDel="00000000" w:rsidP="00000000" w:rsidRDefault="00000000" w:rsidRPr="00000000" w14:paraId="00000007">
      <w:pPr>
        <w:jc w:val="both"/>
        <w:rPr/>
      </w:pPr>
      <w:r w:rsidDel="00000000" w:rsidR="00000000" w:rsidRPr="00000000">
        <w:rPr>
          <w:b w:val="1"/>
          <w:bCs w:val="1"/>
          <w:rtl w:val="0"/>
        </w:rPr>
        <w:t xml:space="preserve">Citation</w:t>
      </w:r>
      <w:r w:rsidDel="00000000" w:rsidR="00000000" w:rsidRPr="00000000">
        <w:rPr>
          <w:rtl w:val="0"/>
        </w:rPr>
        <w:t xml:space="preserve">: Tkemaladze, J. (2026). Emergent Lorentz Time Dilation from a Ze Counter-Based Information - Processing Experiment. Longevity Horizon, Vol. 2, No. 4 (2026)  |  DOI: </w:t>
      </w:r>
      <w:hyperlink r:id="rId7">
        <w:r w:rsidDel="00000000" w:rsidR="00000000" w:rsidRPr="00000000">
          <w:rPr>
            <w:color w:val="1155cc"/>
            <w:u w:val="single"/>
            <w:rtl w:val="0"/>
          </w:rPr>
          <w:t xml:space="preserve">https://doi.org/10.65649/1p3e3b94</w:t>
        </w:r>
      </w:hyperlink>
      <w:r w:rsidDel="00000000" w:rsidR="00000000" w:rsidRPr="00000000">
        <w:rPr>
          <w:rtl w:val="0"/>
        </w:rPr>
        <w:t xml:space="preserve"> </w:t>
      </w:r>
    </w:p>
    <w:p w:rsidR="00000000" w:rsidDel="00000000" w:rsidP="00000000" w:rsidRDefault="00000000" w:rsidRPr="00000000" w14:paraId="00000008">
      <w:pPr>
        <w:pStyle w:val="Heading1"/>
        <w:jc w:val="both"/>
        <w:rPr>
          <w:b w:val="0"/>
          <w:bCs w:val="0"/>
        </w:rPr>
      </w:pPr>
      <w:bookmarkStart w:colFirst="0" w:colLast="0" w:name="_j1tfh060m9ja" w:id="3"/>
      <w:bookmarkEnd w:id="3"/>
      <w:r w:rsidDel="00000000" w:rsidR="00000000" w:rsidRPr="00000000">
        <w:rPr>
          <w:b w:val="0"/>
          <w:bCs w:val="0"/>
          <w:rtl w:val="0"/>
        </w:rPr>
        <w:t xml:space="preserve">Abstract</w:t>
      </w:r>
    </w:p>
    <w:p w:rsidR="00000000" w:rsidDel="00000000" w:rsidP="00000000" w:rsidRDefault="00000000" w:rsidRPr="00000000" w14:paraId="00000009">
      <w:pPr>
        <w:jc w:val="both"/>
        <w:rPr>
          <w:sz w:val="20"/>
          <w:szCs w:val="20"/>
        </w:rPr>
      </w:pPr>
      <w:r w:rsidDel="00000000" w:rsidR="00000000" w:rsidRPr="00000000">
        <w:rPr>
          <w:sz w:val="20"/>
          <w:szCs w:val="20"/>
          <w:rtl w:val="0"/>
        </w:rPr>
        <w:t xml:space="preserve">I</w:t>
      </w:r>
      <w:r w:rsidDel="00000000" w:rsidR="00000000" w:rsidRPr="00000000">
        <w:rPr>
          <w:sz w:val="20"/>
          <w:szCs w:val="20"/>
          <w:rtl w:val="0"/>
        </w:rPr>
        <w:t xml:space="preserve"> present the Ze experiment — a minimal counter-based information-processing framework in which the Lorentz time-dilation factor emerges without invoking spacetime geometry, a metric tensor, or any relativistic postulate. A binary event stream of N elements is partitioned into temporal updates (sequential correlations, x_k = x_{k−1}) and spatial updates (inverse correlations, x_k ≠ x_{k−1}). Coordinate time is defined as the total event count T = N; spatial displacement as X = N_S; and proper time as the Minkowski interval τ = √(T² − X²). The velocity parameter v = X/T then satisfies τ(v)/τ₀ = √(1 − v²) — the Lorentz time-dilation factor — with residuals below 10⁻⁵ across 21 velocity values and N = 10⁷ events per point. Three independent falsifiability tests (stream independence, monotonicity, Lorentz-factor consistency) are all passed within their pre-specified thresholds. This constitutes the experimental arm of the Ze System theoretical programme (Tkemaladze, 2026a, 2026b) and provides a direct informational derivation of the relativistic time-dilation structure from pure counting dynamics.</w:t>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Ze System; Lorentz factor; time dilation; emergent spacetime; Minkowski interval; information-theoretic physics; counter dynamics; binary event stream.</w:t>
      </w:r>
    </w:p>
    <w:p w:rsidR="00000000" w:rsidDel="00000000" w:rsidP="00000000" w:rsidRDefault="00000000" w:rsidRPr="00000000" w14:paraId="0000000B">
      <w:pPr>
        <w:pStyle w:val="Heading1"/>
        <w:rPr>
          <w:b w:val="0"/>
          <w:bCs w:val="0"/>
        </w:rPr>
      </w:pPr>
      <w:r w:rsidDel="00000000" w:rsidR="00000000" w:rsidRPr="00000000">
        <w:rPr>
          <w:b w:val="0"/>
          <w:bCs w:val="0"/>
          <w:rtl w:val="0"/>
        </w:rPr>
        <w:t xml:space="preserve">Introduction</w:t>
      </w:r>
    </w:p>
    <w:p w:rsidR="00000000" w:rsidDel="00000000" w:rsidP="00000000" w:rsidRDefault="00000000" w:rsidRPr="00000000" w14:paraId="0000000C">
      <w:pPr>
        <w:jc w:val="both"/>
        <w:rPr/>
      </w:pPr>
      <w:r w:rsidDel="00000000" w:rsidR="00000000" w:rsidRPr="00000000">
        <w:rPr>
          <w:rtl w:val="0"/>
        </w:rPr>
        <w:br w:type="textWrapping"/>
        <w:t xml:space="preserve">The special theory of relativity (SR) rests on two foundational postulates: the invariance of the speed of light across all inertial frames, and the principle of relativity (Einstein, 1905). From these, the Lorentz transformation and, in particular, time dilation follow as geometric consequences of the Minkowski structure of spacetime. A moving clock accumulates proper time τ = t√(1 − v²/c²), where t is coordinate time in a rest frame and v the relative velocity. This effect has been confirmed experimentally to high precision — from muon decay rates (Rossi &amp; Hall, 1941) to orbiting atomic clocks (Hafele &amp; Keating, 1972).</w:t>
      </w:r>
    </w:p>
    <w:p w:rsidR="00000000" w:rsidDel="00000000" w:rsidP="00000000" w:rsidRDefault="00000000" w:rsidRPr="00000000" w14:paraId="0000000D">
      <w:pPr>
        <w:jc w:val="both"/>
        <w:rPr/>
      </w:pPr>
      <w:r w:rsidDel="00000000" w:rsidR="00000000" w:rsidRPr="00000000">
        <w:rPr>
          <w:rtl w:val="0"/>
        </w:rPr>
        <w:t xml:space="preserve">A parallel and growing tradition asks whether the structures of physics — including spacetime geometry — might be derived from more primitive informational or computational substrates (Wheeler, 1990; Zeilinger, 1999; Lloyd, 2000; Chiribella et al., 2011). The Ze System (Tkemaladze, 2026a) proposes that a substantial portion of physical reality exists in a latent, wave-like state and becomes manifest through active, prediction-driven measurement. Within this framework, the Ze Space-Time paper (Tkemaladze, 2026b) derives relativistic mechanics from the conservation of a real four-component state vector Ψ^μ under the Minkowski norm Q = η_{μν}Ψ^μΨ^ν = const, identifying its components with physical spacetime coordinates.</w:t>
      </w:r>
    </w:p>
    <w:p w:rsidR="00000000" w:rsidDel="00000000" w:rsidP="00000000" w:rsidRDefault="00000000" w:rsidRPr="00000000" w14:paraId="0000000E">
      <w:pPr>
        <w:jc w:val="both"/>
        <w:rPr/>
      </w:pPr>
      <w:r w:rsidDel="00000000" w:rsidR="00000000" w:rsidRPr="00000000">
        <w:rPr>
          <w:rtl w:val="0"/>
        </w:rPr>
        <w:t xml:space="preserve">The present work operationalises this programme at the discrete, computational level. I demonstrate that if one defines proper time via the Minkowski interval applied to event counters — coordinate time T = total events, spatial displacement X = inverse-correlation events — the Lorentz factor √(1 − v²) appears as an exact, analytically derivable and numerically confirmed consequence of the counting rules alone. No spacetime manifold, no metric tensor, and no relativistic postulate is assumed at any stage. The experiment satisfies all pre-specified falsifiability criteria of the Ze framework, and constitutes a direct experimental test of the Ze Space-Time theory.</w:t>
      </w:r>
    </w:p>
    <w:p w:rsidR="00000000" w:rsidDel="00000000" w:rsidP="00000000" w:rsidRDefault="00000000" w:rsidRPr="00000000" w14:paraId="0000000F">
      <w:pPr>
        <w:pStyle w:val="Heading1"/>
        <w:jc w:val="both"/>
        <w:rPr>
          <w:b w:val="0"/>
          <w:bCs w:val="0"/>
        </w:rPr>
      </w:pPr>
      <w:r w:rsidDel="00000000" w:rsidR="00000000" w:rsidRPr="00000000">
        <w:rPr>
          <w:b w:val="0"/>
          <w:bCs w:val="0"/>
          <w:rtl w:val="0"/>
        </w:rPr>
        <w:t xml:space="preserve">Theoretical Framework</w:t>
      </w:r>
    </w:p>
    <w:p w:rsidR="00000000" w:rsidDel="00000000" w:rsidP="00000000" w:rsidRDefault="00000000" w:rsidRPr="00000000" w14:paraId="00000010">
      <w:pPr>
        <w:pStyle w:val="Heading2"/>
        <w:jc w:val="both"/>
        <w:rPr>
          <w:b w:val="0"/>
          <w:bCs w:val="0"/>
        </w:rPr>
      </w:pPr>
      <w:r w:rsidDel="00000000" w:rsidR="00000000" w:rsidRPr="00000000">
        <w:rPr>
          <w:b w:val="0"/>
          <w:bCs w:val="0"/>
          <w:rtl w:val="0"/>
        </w:rPr>
        <w:t xml:space="preserve">Binary Event Stream and Ze Counters</w:t>
      </w:r>
    </w:p>
    <w:p w:rsidR="00000000" w:rsidDel="00000000" w:rsidP="00000000" w:rsidRDefault="00000000" w:rsidRPr="00000000" w14:paraId="00000011">
      <w:pPr>
        <w:jc w:val="both"/>
        <w:rPr/>
      </w:pPr>
      <w:r w:rsidDel="00000000" w:rsidR="00000000" w:rsidRPr="00000000">
        <w:rPr>
          <w:rtl w:val="0"/>
        </w:rPr>
        <w:t xml:space="preserve">Let {x_k}, k = 1, …, N, be a binary sequence, x_k ∈ {0, 1}, generated by a Bernoulli process with flip probability p ∈ [0, 1). Each successive pair (x_{k−1}, x_k) is classified as one of two update types:</w:t>
      </w:r>
    </w:p>
    <w:p w:rsidR="00000000" w:rsidDel="00000000" w:rsidP="00000000" w:rsidRDefault="00000000" w:rsidRPr="00000000" w14:paraId="00000012">
      <w:pPr>
        <w:numPr>
          <w:ilvl w:val="0"/>
          <w:numId w:val="1"/>
        </w:numPr>
        <w:ind w:left="360"/>
        <w:jc w:val="both"/>
        <w:rPr/>
      </w:pPr>
      <w:r w:rsidDel="00000000" w:rsidR="00000000" w:rsidRPr="00000000">
        <w:rPr>
          <w:vertAlign w:val="baseline"/>
          <w:rtl w:val="0"/>
        </w:rPr>
        <w:t xml:space="preserve">Temporal update (T-event): x_k = x_{k−1}  — sequential causal correlation; encodes persistence of state across time.</w:t>
      </w:r>
    </w:p>
    <w:p w:rsidR="00000000" w:rsidDel="00000000" w:rsidP="00000000" w:rsidRDefault="00000000" w:rsidRPr="00000000" w14:paraId="00000013">
      <w:pPr>
        <w:numPr>
          <w:ilvl w:val="0"/>
          <w:numId w:val="1"/>
        </w:numPr>
        <w:ind w:left="360"/>
        <w:jc w:val="both"/>
        <w:rPr/>
      </w:pPr>
      <w:r w:rsidDel="00000000" w:rsidR="00000000" w:rsidRPr="00000000">
        <w:rPr>
          <w:vertAlign w:val="baseline"/>
          <w:rtl w:val="0"/>
        </w:rPr>
        <w:t xml:space="preserve">Spatial update (S-event): x_k ≠ x_{k−1}  — structural inversion; encodes a change of state, analogous to spatial displacement.</w:t>
      </w:r>
    </w:p>
    <w:p w:rsidR="00000000" w:rsidDel="00000000" w:rsidP="00000000" w:rsidRDefault="00000000" w:rsidRPr="00000000" w14:paraId="00000014">
      <w:pPr>
        <w:jc w:val="both"/>
        <w:rPr/>
      </w:pPr>
      <w:r w:rsidDel="00000000" w:rsidR="00000000" w:rsidRPr="00000000">
        <w:rPr>
          <w:rtl w:val="0"/>
        </w:rPr>
        <w:t xml:space="preserve">After N events, the counters satisfy N_T + N_S = N, with expectations E[N_T] = N(1 − p) and E[N_S] = Np.</w:t>
      </w:r>
    </w:p>
    <w:p w:rsidR="00000000" w:rsidDel="00000000" w:rsidP="00000000" w:rsidRDefault="00000000" w:rsidRPr="00000000" w14:paraId="00000015">
      <w:pPr>
        <w:pStyle w:val="Heading2"/>
        <w:jc w:val="both"/>
        <w:rPr>
          <w:b w:val="0"/>
          <w:bCs w:val="0"/>
        </w:rPr>
      </w:pPr>
      <w:r w:rsidDel="00000000" w:rsidR="00000000" w:rsidRPr="00000000">
        <w:rPr>
          <w:b w:val="0"/>
          <w:bCs w:val="0"/>
          <w:rtl w:val="0"/>
        </w:rPr>
        <w:t xml:space="preserve">Ze Kinematic Variables</w:t>
      </w:r>
    </w:p>
    <w:p w:rsidR="00000000" w:rsidDel="00000000" w:rsidP="00000000" w:rsidRDefault="00000000" w:rsidRPr="00000000" w14:paraId="00000016">
      <w:pPr>
        <w:jc w:val="both"/>
        <w:rPr/>
      </w:pPr>
      <w:r w:rsidDel="00000000" w:rsidR="00000000" w:rsidRPr="00000000">
        <w:rPr>
          <w:rtl w:val="0"/>
        </w:rPr>
        <w:t xml:space="preserve">Motivated by the Ze Space-Time framework (Tkemaladze, 2026b), which identifies Ψ^μ = (cT, X^i) and conserves Q = η_{μν}Ψ^μΨ^ν = −c²T² + X² = const, I define the following Ze kinematic variables:</w:t>
      </w:r>
    </w:p>
    <w:tbl>
      <w:tblPr>
        <w:tblStyle w:val="Table1"/>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6"/>
        <w:gridCol w:w="2976"/>
        <w:gridCol w:w="2976"/>
        <w:tblGridChange w:id="0">
          <w:tblGrid>
            <w:gridCol w:w="2976"/>
            <w:gridCol w:w="2976"/>
            <w:gridCol w:w="2976"/>
          </w:tblGrid>
        </w:tblGridChange>
      </w:tblGrid>
      <w:tr>
        <w:trPr>
          <w:cantSplit w:val="0"/>
          <w:tblHeader w:val="0"/>
        </w:trPr>
        <w:tc>
          <w:tcPr>
            <w:shd w:fill="1f497d" w:val="clear"/>
          </w:tcPr>
          <w:p w:rsidR="00000000" w:rsidDel="00000000" w:rsidP="00000000" w:rsidRDefault="00000000" w:rsidRPr="00000000" w14:paraId="00000017">
            <w:pPr>
              <w:jc w:val="both"/>
              <w:rPr>
                <w:color w:val="ffffff"/>
              </w:rPr>
            </w:pPr>
            <w:r w:rsidDel="00000000" w:rsidR="00000000" w:rsidRPr="00000000">
              <w:rPr>
                <w:color w:val="ffffff"/>
                <w:rtl w:val="0"/>
              </w:rPr>
              <w:t xml:space="preserve">Quantity</w:t>
            </w:r>
          </w:p>
        </w:tc>
        <w:tc>
          <w:tcPr>
            <w:shd w:fill="1f497d" w:val="clear"/>
          </w:tcPr>
          <w:p w:rsidR="00000000" w:rsidDel="00000000" w:rsidP="00000000" w:rsidRDefault="00000000" w:rsidRPr="00000000" w14:paraId="00000018">
            <w:pPr>
              <w:jc w:val="both"/>
              <w:rPr>
                <w:color w:val="ffffff"/>
              </w:rPr>
            </w:pPr>
            <w:r w:rsidDel="00000000" w:rsidR="00000000" w:rsidRPr="00000000">
              <w:rPr>
                <w:color w:val="ffffff"/>
                <w:rtl w:val="0"/>
              </w:rPr>
              <w:t xml:space="preserve">Definition</w:t>
            </w:r>
          </w:p>
        </w:tc>
        <w:tc>
          <w:tcPr>
            <w:shd w:fill="1f497d" w:val="clear"/>
          </w:tcPr>
          <w:p w:rsidR="00000000" w:rsidDel="00000000" w:rsidP="00000000" w:rsidRDefault="00000000" w:rsidRPr="00000000" w14:paraId="00000019">
            <w:pPr>
              <w:jc w:val="both"/>
              <w:rPr>
                <w:color w:val="ffffff"/>
              </w:rPr>
            </w:pPr>
            <w:r w:rsidDel="00000000" w:rsidR="00000000" w:rsidRPr="00000000">
              <w:rPr>
                <w:color w:val="ffffff"/>
                <w:rtl w:val="0"/>
              </w:rPr>
              <w:t xml:space="preserve">Physical Meaning</w:t>
            </w:r>
          </w:p>
        </w:tc>
      </w:tr>
      <w:tr>
        <w:trPr>
          <w:cantSplit w:val="0"/>
          <w:tblHeader w:val="0"/>
        </w:trPr>
        <w:tc>
          <w:tcPr>
            <w:vAlign w:val="center"/>
          </w:tcPr>
          <w:p w:rsidR="00000000" w:rsidDel="00000000" w:rsidP="00000000" w:rsidRDefault="00000000" w:rsidRPr="00000000" w14:paraId="0000001A">
            <w:pPr>
              <w:jc w:val="both"/>
              <w:rPr>
                <w:sz w:val="18"/>
                <w:szCs w:val="18"/>
              </w:rPr>
            </w:pPr>
            <w:r w:rsidDel="00000000" w:rsidR="00000000" w:rsidRPr="00000000">
              <w:rPr>
                <w:sz w:val="18"/>
                <w:szCs w:val="18"/>
                <w:rtl w:val="0"/>
              </w:rPr>
              <w:t xml:space="preserve">Coordinate time</w:t>
            </w:r>
          </w:p>
        </w:tc>
        <w:tc>
          <w:tcPr>
            <w:vAlign w:val="center"/>
          </w:tcPr>
          <w:p w:rsidR="00000000" w:rsidDel="00000000" w:rsidP="00000000" w:rsidRDefault="00000000" w:rsidRPr="00000000" w14:paraId="0000001B">
            <w:pPr>
              <w:jc w:val="both"/>
              <w:rPr>
                <w:sz w:val="18"/>
                <w:szCs w:val="18"/>
              </w:rPr>
            </w:pPr>
            <w:r w:rsidDel="00000000" w:rsidR="00000000" w:rsidRPr="00000000">
              <w:rPr>
                <w:sz w:val="18"/>
                <w:szCs w:val="18"/>
                <w:rtl w:val="0"/>
              </w:rPr>
              <w:t xml:space="preserve">T = N_T + N_S = N</w:t>
            </w:r>
          </w:p>
        </w:tc>
        <w:tc>
          <w:tcPr>
            <w:vAlign w:val="center"/>
          </w:tcPr>
          <w:p w:rsidR="00000000" w:rsidDel="00000000" w:rsidP="00000000" w:rsidRDefault="00000000" w:rsidRPr="00000000" w14:paraId="0000001C">
            <w:pPr>
              <w:jc w:val="both"/>
              <w:rPr>
                <w:sz w:val="18"/>
                <w:szCs w:val="18"/>
              </w:rPr>
            </w:pPr>
            <w:r w:rsidDel="00000000" w:rsidR="00000000" w:rsidRPr="00000000">
              <w:rPr>
                <w:sz w:val="18"/>
                <w:szCs w:val="18"/>
                <w:rtl w:val="0"/>
              </w:rPr>
              <w:t xml:space="preserve">Total event count</w:t>
            </w:r>
          </w:p>
        </w:tc>
      </w:tr>
      <w:tr>
        <w:trPr>
          <w:cantSplit w:val="0"/>
          <w:tblHeader w:val="0"/>
        </w:trPr>
        <w:tc>
          <w:tcPr>
            <w:shd w:fill="eef3fa" w:val="clear"/>
            <w:vAlign w:val="center"/>
          </w:tcPr>
          <w:p w:rsidR="00000000" w:rsidDel="00000000" w:rsidP="00000000" w:rsidRDefault="00000000" w:rsidRPr="00000000" w14:paraId="0000001D">
            <w:pPr>
              <w:jc w:val="both"/>
              <w:rPr>
                <w:sz w:val="18"/>
                <w:szCs w:val="18"/>
              </w:rPr>
            </w:pPr>
            <w:r w:rsidDel="00000000" w:rsidR="00000000" w:rsidRPr="00000000">
              <w:rPr>
                <w:sz w:val="18"/>
                <w:szCs w:val="18"/>
                <w:rtl w:val="0"/>
              </w:rPr>
              <w:t xml:space="preserve">Spatial displacement</w:t>
            </w:r>
          </w:p>
        </w:tc>
        <w:tc>
          <w:tcPr>
            <w:shd w:fill="eef3fa" w:val="clear"/>
            <w:vAlign w:val="center"/>
          </w:tcPr>
          <w:p w:rsidR="00000000" w:rsidDel="00000000" w:rsidP="00000000" w:rsidRDefault="00000000" w:rsidRPr="00000000" w14:paraId="0000001E">
            <w:pPr>
              <w:jc w:val="both"/>
              <w:rPr>
                <w:sz w:val="18"/>
                <w:szCs w:val="18"/>
              </w:rPr>
            </w:pPr>
            <w:r w:rsidDel="00000000" w:rsidR="00000000" w:rsidRPr="00000000">
              <w:rPr>
                <w:sz w:val="18"/>
                <w:szCs w:val="18"/>
                <w:rtl w:val="0"/>
              </w:rPr>
              <w:t xml:space="preserve">X = N_S</w:t>
            </w:r>
          </w:p>
        </w:tc>
        <w:tc>
          <w:tcPr>
            <w:shd w:fill="eef3fa" w:val="clear"/>
            <w:vAlign w:val="center"/>
          </w:tcPr>
          <w:p w:rsidR="00000000" w:rsidDel="00000000" w:rsidP="00000000" w:rsidRDefault="00000000" w:rsidRPr="00000000" w14:paraId="0000001F">
            <w:pPr>
              <w:jc w:val="both"/>
              <w:rPr>
                <w:sz w:val="18"/>
                <w:szCs w:val="18"/>
              </w:rPr>
            </w:pPr>
            <w:r w:rsidDel="00000000" w:rsidR="00000000" w:rsidRPr="00000000">
              <w:rPr>
                <w:sz w:val="18"/>
                <w:szCs w:val="18"/>
                <w:rtl w:val="0"/>
              </w:rPr>
              <w:t xml:space="preserve">Count of S-events (inversions)</w:t>
            </w:r>
          </w:p>
        </w:tc>
      </w:tr>
      <w:tr>
        <w:trPr>
          <w:cantSplit w:val="0"/>
          <w:tblHeader w:val="0"/>
        </w:trPr>
        <w:tc>
          <w:tcPr>
            <w:vAlign w:val="center"/>
          </w:tcPr>
          <w:p w:rsidR="00000000" w:rsidDel="00000000" w:rsidP="00000000" w:rsidRDefault="00000000" w:rsidRPr="00000000" w14:paraId="00000020">
            <w:pPr>
              <w:jc w:val="both"/>
              <w:rPr>
                <w:sz w:val="18"/>
                <w:szCs w:val="18"/>
              </w:rPr>
            </w:pPr>
            <w:r w:rsidDel="00000000" w:rsidR="00000000" w:rsidRPr="00000000">
              <w:rPr>
                <w:sz w:val="18"/>
                <w:szCs w:val="18"/>
                <w:rtl w:val="0"/>
              </w:rPr>
              <w:t xml:space="preserve">Velocity parameter</w:t>
            </w:r>
          </w:p>
        </w:tc>
        <w:tc>
          <w:tcPr>
            <w:vAlign w:val="center"/>
          </w:tcPr>
          <w:p w:rsidR="00000000" w:rsidDel="00000000" w:rsidP="00000000" w:rsidRDefault="00000000" w:rsidRPr="00000000" w14:paraId="00000021">
            <w:pPr>
              <w:jc w:val="both"/>
              <w:rPr>
                <w:sz w:val="18"/>
                <w:szCs w:val="18"/>
              </w:rPr>
            </w:pPr>
            <w:r w:rsidDel="00000000" w:rsidR="00000000" w:rsidRPr="00000000">
              <w:rPr>
                <w:sz w:val="18"/>
                <w:szCs w:val="18"/>
                <w:rtl w:val="0"/>
              </w:rPr>
              <w:t xml:space="preserve">v = X / T = N_S / N</w:t>
            </w:r>
          </w:p>
        </w:tc>
        <w:tc>
          <w:tcPr>
            <w:vAlign w:val="center"/>
          </w:tcPr>
          <w:p w:rsidR="00000000" w:rsidDel="00000000" w:rsidP="00000000" w:rsidRDefault="00000000" w:rsidRPr="00000000" w14:paraId="00000022">
            <w:pPr>
              <w:jc w:val="both"/>
              <w:rPr>
                <w:sz w:val="18"/>
                <w:szCs w:val="18"/>
              </w:rPr>
            </w:pPr>
            <w:r w:rsidDel="00000000" w:rsidR="00000000" w:rsidRPr="00000000">
              <w:rPr>
                <w:sz w:val="18"/>
                <w:szCs w:val="18"/>
                <w:rtl w:val="0"/>
              </w:rPr>
              <w:t xml:space="preserve">Fraction of spatial events</w:t>
            </w:r>
          </w:p>
        </w:tc>
      </w:tr>
      <w:tr>
        <w:trPr>
          <w:cantSplit w:val="0"/>
          <w:tblHeader w:val="0"/>
        </w:trPr>
        <w:tc>
          <w:tcPr>
            <w:shd w:fill="eef3fa" w:val="clear"/>
            <w:vAlign w:val="center"/>
          </w:tcPr>
          <w:p w:rsidR="00000000" w:rsidDel="00000000" w:rsidP="00000000" w:rsidRDefault="00000000" w:rsidRPr="00000000" w14:paraId="00000023">
            <w:pPr>
              <w:jc w:val="both"/>
              <w:rPr>
                <w:sz w:val="18"/>
                <w:szCs w:val="18"/>
              </w:rPr>
            </w:pPr>
            <w:r w:rsidDel="00000000" w:rsidR="00000000" w:rsidRPr="00000000">
              <w:rPr>
                <w:sz w:val="18"/>
                <w:szCs w:val="18"/>
                <w:rtl w:val="0"/>
              </w:rPr>
              <w:t xml:space="preserve">Ze proper time</w:t>
            </w:r>
          </w:p>
        </w:tc>
        <w:tc>
          <w:tcPr>
            <w:shd w:fill="eef3fa" w:val="clear"/>
            <w:vAlign w:val="center"/>
          </w:tcPr>
          <w:p w:rsidR="00000000" w:rsidDel="00000000" w:rsidP="00000000" w:rsidRDefault="00000000" w:rsidRPr="00000000" w14:paraId="00000024">
            <w:pPr>
              <w:jc w:val="both"/>
              <w:rPr>
                <w:sz w:val="18"/>
                <w:szCs w:val="18"/>
              </w:rPr>
            </w:pPr>
            <w:r w:rsidDel="00000000" w:rsidR="00000000" w:rsidRPr="00000000">
              <w:rPr>
                <w:sz w:val="18"/>
                <w:szCs w:val="18"/>
                <w:rtl w:val="0"/>
              </w:rPr>
              <w:t xml:space="preserve">τ = √(T² − X²)</w:t>
            </w:r>
          </w:p>
        </w:tc>
        <w:tc>
          <w:tcPr>
            <w:shd w:fill="eef3fa" w:val="clear"/>
            <w:vAlign w:val="center"/>
          </w:tcPr>
          <w:p w:rsidR="00000000" w:rsidDel="00000000" w:rsidP="00000000" w:rsidRDefault="00000000" w:rsidRPr="00000000" w14:paraId="00000025">
            <w:pPr>
              <w:jc w:val="both"/>
              <w:rPr>
                <w:sz w:val="18"/>
                <w:szCs w:val="18"/>
              </w:rPr>
            </w:pPr>
            <w:r w:rsidDel="00000000" w:rsidR="00000000" w:rsidRPr="00000000">
              <w:rPr>
                <w:sz w:val="18"/>
                <w:szCs w:val="18"/>
                <w:rtl w:val="0"/>
              </w:rPr>
              <w:t xml:space="preserve">Minkowski interval of (T, X)</w:t>
            </w:r>
          </w:p>
        </w:tc>
      </w:tr>
      <w:tr>
        <w:trPr>
          <w:cantSplit w:val="0"/>
          <w:tblHeader w:val="0"/>
        </w:trPr>
        <w:tc>
          <w:tcPr>
            <w:vAlign w:val="center"/>
          </w:tcPr>
          <w:p w:rsidR="00000000" w:rsidDel="00000000" w:rsidP="00000000" w:rsidRDefault="00000000" w:rsidRPr="00000000" w14:paraId="00000026">
            <w:pPr>
              <w:jc w:val="both"/>
              <w:rPr>
                <w:sz w:val="18"/>
                <w:szCs w:val="18"/>
              </w:rPr>
            </w:pPr>
            <w:r w:rsidDel="00000000" w:rsidR="00000000" w:rsidRPr="00000000">
              <w:rPr>
                <w:sz w:val="18"/>
                <w:szCs w:val="18"/>
                <w:rtl w:val="0"/>
              </w:rPr>
              <w:t xml:space="preserve">Reference proper time</w:t>
            </w:r>
          </w:p>
        </w:tc>
        <w:tc>
          <w:tcPr>
            <w:vAlign w:val="center"/>
          </w:tcPr>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τ₀ = N</w:t>
            </w:r>
          </w:p>
        </w:tc>
        <w:tc>
          <w:tcPr>
            <w:vAlign w:val="center"/>
          </w:tcPr>
          <w:p w:rsidR="00000000" w:rsidDel="00000000" w:rsidP="00000000" w:rsidRDefault="00000000" w:rsidRPr="00000000" w14:paraId="00000028">
            <w:pPr>
              <w:jc w:val="both"/>
              <w:rPr>
                <w:sz w:val="18"/>
                <w:szCs w:val="18"/>
              </w:rPr>
            </w:pPr>
            <w:r w:rsidDel="00000000" w:rsidR="00000000" w:rsidRPr="00000000">
              <w:rPr>
                <w:sz w:val="18"/>
                <w:szCs w:val="18"/>
                <w:rtl w:val="0"/>
              </w:rPr>
              <w:t xml:space="preserve">System at rest (p = 0, v = 0)</w:t>
            </w:r>
          </w:p>
        </w:tc>
      </w:tr>
      <w:tr>
        <w:trPr>
          <w:cantSplit w:val="0"/>
          <w:tblHeader w:val="0"/>
        </w:trPr>
        <w:tc>
          <w:tcPr>
            <w:shd w:fill="eef3fa" w:val="clear"/>
            <w:vAlign w:val="center"/>
          </w:tcPr>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Lorentz factor</w:t>
            </w:r>
          </w:p>
        </w:tc>
        <w:tc>
          <w:tcPr>
            <w:shd w:fill="eef3fa" w:val="clear"/>
            <w:vAlign w:val="center"/>
          </w:tcPr>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γ = T / τ = 1/√(1−v²)</w:t>
            </w:r>
          </w:p>
        </w:tc>
        <w:tc>
          <w:tcPr>
            <w:shd w:fill="eef3fa" w:val="clear"/>
            <w:vAlign w:val="center"/>
          </w:tcPr>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Ratio of coordinate to proper time</w:t>
            </w:r>
          </w:p>
        </w:tc>
      </w:tr>
    </w:tbl>
    <w:p w:rsidR="00000000" w:rsidDel="00000000" w:rsidP="00000000" w:rsidRDefault="00000000" w:rsidRPr="00000000" w14:paraId="0000002C">
      <w:pPr>
        <w:pStyle w:val="Heading2"/>
        <w:jc w:val="both"/>
        <w:rPr>
          <w:b w:val="0"/>
          <w:bCs w:val="0"/>
        </w:rPr>
      </w:pPr>
      <w:r w:rsidDel="00000000" w:rsidR="00000000" w:rsidRPr="00000000">
        <w:rPr>
          <w:b w:val="0"/>
          <w:bCs w:val="0"/>
          <w:rtl w:val="0"/>
        </w:rPr>
        <w:t xml:space="preserve">Analytical Derivation of the Lorentz Factor</w:t>
      </w:r>
    </w:p>
    <w:p w:rsidR="00000000" w:rsidDel="00000000" w:rsidP="00000000" w:rsidRDefault="00000000" w:rsidRPr="00000000" w14:paraId="0000002D">
      <w:pPr>
        <w:jc w:val="both"/>
        <w:rPr/>
      </w:pPr>
      <w:r w:rsidDel="00000000" w:rsidR="00000000" w:rsidRPr="00000000">
        <w:rPr>
          <w:rtl w:val="0"/>
        </w:rPr>
        <w:t xml:space="preserve">For a reference system at rest (p = 0): T₀ = N, X₀ = 0, τ₀ = N. For a moving system with flip probability p, in the large-N limit:</w:t>
      </w:r>
    </w:p>
    <w:p w:rsidR="00000000" w:rsidDel="00000000" w:rsidP="00000000" w:rsidRDefault="00000000" w:rsidRPr="00000000" w14:paraId="0000002E">
      <w:pPr>
        <w:jc w:val="both"/>
        <w:rPr/>
      </w:pPr>
      <w:r w:rsidDel="00000000" w:rsidR="00000000" w:rsidRPr="00000000">
        <w:rPr>
          <w:rtl w:val="0"/>
        </w:rPr>
        <w:t xml:space="preserve">τ(v) / τ₀  =  √(T² − X²) / N  =  √(N² − N²v²) / N  =  √(1 − v²)</w:t>
      </w:r>
    </w:p>
    <w:p w:rsidR="00000000" w:rsidDel="00000000" w:rsidP="00000000" w:rsidRDefault="00000000" w:rsidRPr="00000000" w14:paraId="0000002F">
      <w:pPr>
        <w:jc w:val="both"/>
        <w:rPr/>
      </w:pPr>
      <w:r w:rsidDel="00000000" w:rsidR="00000000" w:rsidRPr="00000000">
        <w:rPr>
          <w:rtl w:val="0"/>
        </w:rPr>
        <w:t xml:space="preserve">This result is exact in the large-N limit (finite-N fluctuations are O(1/√N)) and follows analytically from the definitions without any relativistic input. The causality constraint v &lt; 1 (i.e. N_S &lt; N, p &lt; 1) is automatically satisfied for all non-degenerate inputs. The light-like limit v → 1 (p → 1) gives τ → 0, consistent with the SR result for photon worldlines. The conserved quantity is Q = T² − X² = N²(1 − v²) = τ² = const × N², directly corresponding to the Ze Space-Time invariant Q = η_{μν}Ψ^μΨ^ν.</w:t>
      </w:r>
    </w:p>
    <w:p w:rsidR="00000000" w:rsidDel="00000000" w:rsidP="00000000" w:rsidRDefault="00000000" w:rsidRPr="00000000" w14:paraId="00000030">
      <w:pPr>
        <w:pStyle w:val="Heading1"/>
        <w:rPr>
          <w:b w:val="0"/>
          <w:bCs w:val="0"/>
        </w:rPr>
      </w:pPr>
      <w:r w:rsidDel="00000000" w:rsidR="00000000" w:rsidRPr="00000000">
        <w:rPr>
          <w:b w:val="0"/>
          <w:bCs w:val="0"/>
          <w:rtl w:val="0"/>
        </w:rPr>
        <w:t xml:space="preserve">Methods</w:t>
      </w:r>
    </w:p>
    <w:p w:rsidR="00000000" w:rsidDel="00000000" w:rsidP="00000000" w:rsidRDefault="00000000" w:rsidRPr="00000000" w14:paraId="00000031">
      <w:pPr>
        <w:pStyle w:val="Heading2"/>
        <w:rPr>
          <w:b w:val="0"/>
          <w:bCs w:val="0"/>
        </w:rPr>
      </w:pPr>
      <w:r w:rsidDel="00000000" w:rsidR="00000000" w:rsidRPr="00000000">
        <w:rPr>
          <w:b w:val="0"/>
          <w:bCs w:val="0"/>
          <w:rtl w:val="0"/>
        </w:rPr>
        <w:t xml:space="preserve">Algorithm</w:t>
      </w:r>
    </w:p>
    <w:p w:rsidR="00000000" w:rsidDel="00000000" w:rsidP="00000000" w:rsidRDefault="00000000" w:rsidRPr="00000000" w14:paraId="00000032">
      <w:pPr>
        <w:jc w:val="both"/>
        <w:rPr/>
      </w:pPr>
      <w:r w:rsidDel="00000000" w:rsidR="00000000" w:rsidRPr="00000000">
        <w:rPr>
          <w:rtl w:val="0"/>
        </w:rPr>
        <w:t xml:space="preserve">The Ze counter algorithm is implemented in Python 3.10 using only the standard library. The complete, self-contained code is reproduced below for full reproducibility:</w:t>
      </w:r>
    </w:p>
    <w:tbl>
      <w:tblPr>
        <w:tblStyle w:val="Table2"/>
        <w:jc w:val="left"/>
        <w:tblLayout w:type="fixed"/>
        <w:tblLook w:val="0600"/>
      </w:tblPr>
      <w:tblGrid>
        <w:gridCol w:w="8928"/>
        <w:tblGridChange w:id="0">
          <w:tblGrid>
            <w:gridCol w:w="8928"/>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import random, math</w:t>
              <w:br w:type="textWrapping"/>
              <w:t xml:space="preserve">def ze_run(</w:t>
            </w:r>
            <w:r w:rsidDel="00000000" w:rsidR="00000000" w:rsidRPr="00000000">
              <w:rPr>
                <w:rFonts w:ascii="Consolas" w:cs="Consolas" w:eastAsia="Consolas" w:hAnsi="Consolas"/>
                <w:b w:val="1"/>
                <w:bCs w:val="1"/>
                <w:color w:val="444444"/>
                <w:sz w:val="18"/>
                <w:szCs w:val="18"/>
                <w:shd w:fill="f0f0f0" w:val="clear"/>
                <w:rtl w:val="0"/>
              </w:rPr>
              <w:t xml:space="preserve">N</w:t>
            </w:r>
            <w:r w:rsidDel="00000000" w:rsidR="00000000" w:rsidRPr="00000000">
              <w:rPr>
                <w:rFonts w:ascii="Consolas" w:cs="Consolas" w:eastAsia="Consolas" w:hAnsi="Consolas"/>
                <w:color w:val="444444"/>
                <w:sz w:val="18"/>
                <w:szCs w:val="18"/>
                <w:shd w:fill="f0f0f0" w:val="clear"/>
                <w:rtl w:val="0"/>
              </w:rPr>
              <w:t xml:space="preserve">, p_flip, seed=</w:t>
            </w:r>
            <w:r w:rsidDel="00000000" w:rsidR="00000000" w:rsidRPr="00000000">
              <w:rPr>
                <w:rFonts w:ascii="Consolas" w:cs="Consolas" w:eastAsia="Consolas" w:hAnsi="Consolas"/>
                <w:color w:val="880000"/>
                <w:sz w:val="18"/>
                <w:szCs w:val="18"/>
                <w:shd w:fill="f0f0f0" w:val="clear"/>
                <w:rtl w:val="0"/>
              </w:rPr>
              <w:t xml:space="preserve">0</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w:t>
              <w:br w:type="textWrapping"/>
              <w:t xml:space="preserve">    Ze proper-time experiment.</w:t>
              <w:br w:type="textWrapping"/>
              <w:t xml:space="preserve">    N       : number of events (coordinate time)</w:t>
              <w:br w:type="textWrapping"/>
              <w:t xml:space="preserve">    p_flip  : probability of a spatial (S-event) update</w:t>
              <w:br w:type="textWrapping"/>
              <w:t xml:space="preserve">    Returns : (tau, v, N_T, N_S)</w:t>
              <w:br w:type="textWrapping"/>
              <w:t xml:space="preserve">    """</w:t>
            </w:r>
            <w:r w:rsidDel="00000000" w:rsidR="00000000" w:rsidRPr="00000000">
              <w:rPr>
                <w:rFonts w:ascii="Consolas" w:cs="Consolas" w:eastAsia="Consolas" w:hAnsi="Consolas"/>
                <w:color w:val="444444"/>
                <w:sz w:val="18"/>
                <w:szCs w:val="18"/>
                <w:shd w:fill="f0f0f0" w:val="clear"/>
                <w:rtl w:val="0"/>
              </w:rPr>
              <w:br w:type="textWrapping"/>
              <w:t xml:space="preserve">    rng    = random.</w:t>
            </w:r>
            <w:r w:rsidDel="00000000" w:rsidR="00000000" w:rsidRPr="00000000">
              <w:rPr>
                <w:rFonts w:ascii="Consolas" w:cs="Consolas" w:eastAsia="Consolas" w:hAnsi="Consolas"/>
                <w:b w:val="1"/>
                <w:bCs w:val="1"/>
                <w:color w:val="444444"/>
                <w:sz w:val="18"/>
                <w:szCs w:val="18"/>
                <w:shd w:fill="f0f0f0" w:val="clear"/>
                <w:rtl w:val="0"/>
              </w:rPr>
              <w:t xml:space="preserve">Random</w:t>
            </w:r>
            <w:r w:rsidDel="00000000" w:rsidR="00000000" w:rsidRPr="00000000">
              <w:rPr>
                <w:rFonts w:ascii="Consolas" w:cs="Consolas" w:eastAsia="Consolas" w:hAnsi="Consolas"/>
                <w:color w:val="444444"/>
                <w:sz w:val="18"/>
                <w:szCs w:val="18"/>
                <w:shd w:fill="f0f0f0" w:val="clear"/>
                <w:rtl w:val="0"/>
              </w:rPr>
              <w:t xml:space="preserve">(seed)</w:t>
              <w:br w:type="textWrapping"/>
              <w:t xml:space="preserve">    x_prev = rng.choice([</w:t>
            </w:r>
            <w:r w:rsidDel="00000000" w:rsidR="00000000" w:rsidRPr="00000000">
              <w:rPr>
                <w:rFonts w:ascii="Consolas" w:cs="Consolas" w:eastAsia="Consolas" w:hAnsi="Consolas"/>
                <w:color w:val="880000"/>
                <w:sz w:val="18"/>
                <w:szCs w:val="18"/>
                <w:shd w:fill="f0f0f0" w:val="clear"/>
                <w:rtl w:val="0"/>
              </w:rPr>
              <w:t xml:space="preserve">0</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N_T, N_S = </w:t>
            </w:r>
            <w:r w:rsidDel="00000000" w:rsidR="00000000" w:rsidRPr="00000000">
              <w:rPr>
                <w:rFonts w:ascii="Consolas" w:cs="Consolas" w:eastAsia="Consolas" w:hAnsi="Consolas"/>
                <w:color w:val="880000"/>
                <w:sz w:val="18"/>
                <w:szCs w:val="18"/>
                <w:shd w:fill="f0f0f0" w:val="clear"/>
                <w:rtl w:val="0"/>
              </w:rPr>
              <w:t xml:space="preserve">0</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880000"/>
                <w:sz w:val="18"/>
                <w:szCs w:val="18"/>
                <w:shd w:fill="f0f0f0" w:val="clear"/>
                <w:rtl w:val="0"/>
              </w:rPr>
              <w:t xml:space="preserve">0</w:t>
            </w:r>
            <w:r w:rsidDel="00000000" w:rsidR="00000000" w:rsidRPr="00000000">
              <w:rPr>
                <w:rFonts w:ascii="Consolas" w:cs="Consolas" w:eastAsia="Consolas" w:hAnsi="Consolas"/>
                <w:color w:val="444444"/>
                <w:sz w:val="18"/>
                <w:szCs w:val="18"/>
                <w:shd w:fill="f0f0f0" w:val="clear"/>
                <w:rtl w:val="0"/>
              </w:rPr>
              <w:br w:type="textWrapping"/>
              <w:br w:type="textWrapping"/>
              <w:t xml:space="preserve">    for _ in range(</w:t>
            </w:r>
            <w:r w:rsidDel="00000000" w:rsidR="00000000" w:rsidRPr="00000000">
              <w:rPr>
                <w:rFonts w:ascii="Consolas" w:cs="Consolas" w:eastAsia="Consolas" w:hAnsi="Consolas"/>
                <w:b w:val="1"/>
                <w:bCs w:val="1"/>
                <w:color w:val="444444"/>
                <w:sz w:val="18"/>
                <w:szCs w:val="18"/>
                <w:shd w:fill="f0f0f0" w:val="clear"/>
                <w:rtl w:val="0"/>
              </w:rPr>
              <w:t xml:space="preserve">N</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if rng.random() &lt; p_flip:</w:t>
              <w:br w:type="textWrapping"/>
              <w:t xml:space="preserve">            x    =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 - x_prev   # S-event: spatial update</w:t>
              <w:br w:type="textWrapping"/>
              <w:t xml:space="preserve">            N_S +=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br w:type="textWrapping"/>
              <w:t xml:space="preserve">        else:</w:t>
              <w:br w:type="textWrapping"/>
              <w:t xml:space="preserve">            x    = x_prev       # T-event: temporal update</w:t>
              <w:br w:type="textWrapping"/>
              <w:t xml:space="preserve">            N_T +=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br w:type="textWrapping"/>
              <w:t xml:space="preserve">        x_prev = x</w:t>
              <w:br w:type="textWrapping"/>
              <w:br w:type="textWrapping"/>
              <w:t xml:space="preserve">    T   = N_T + N_S                              # coordinate time</w:t>
              <w:br w:type="textWrapping"/>
              <w:t xml:space="preserve">    X   = N_S                                    # spatial displacement</w:t>
              <w:br w:type="textWrapping"/>
              <w:t xml:space="preserve">    tau = math.sqrt(float(T)**</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 float(X)**</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 Minkowski proper time</w:t>
              <w:br w:type="textWrapping"/>
              <w:t xml:space="preserve">    v   = X / T                                  # velocity parameter</w:t>
              <w:br w:type="textWrapping"/>
              <w:t xml:space="preserve">    return tau, v, N_T, N_S</w:t>
            </w:r>
            <w:r w:rsidDel="00000000" w:rsidR="00000000" w:rsidRPr="00000000">
              <w:rPr>
                <w:rtl w:val="0"/>
              </w:rPr>
            </w:r>
          </w:p>
        </w:tc>
      </w:tr>
    </w:tbl>
    <w:p w:rsidR="00000000" w:rsidDel="00000000" w:rsidP="00000000" w:rsidRDefault="00000000" w:rsidRPr="00000000" w14:paraId="00000034">
      <w:pPr>
        <w:pStyle w:val="Heading2"/>
        <w:jc w:val="both"/>
        <w:rPr>
          <w:b w:val="0"/>
          <w:bCs w:val="0"/>
        </w:rPr>
      </w:pPr>
      <w:r w:rsidDel="00000000" w:rsidR="00000000" w:rsidRPr="00000000">
        <w:rPr>
          <w:b w:val="0"/>
          <w:bCs w:val="0"/>
          <w:rtl w:val="0"/>
        </w:rPr>
        <w:t xml:space="preserve">Experimental Protocol</w:t>
      </w:r>
    </w:p>
    <w:p w:rsidR="00000000" w:rsidDel="00000000" w:rsidP="00000000" w:rsidRDefault="00000000" w:rsidRPr="00000000" w14:paraId="00000035">
      <w:pPr>
        <w:jc w:val="both"/>
        <w:rPr/>
      </w:pPr>
      <w:r w:rsidDel="00000000" w:rsidR="00000000" w:rsidRPr="00000000">
        <w:rPr>
          <w:rtl w:val="0"/>
        </w:rPr>
        <w:t xml:space="preserve">Three experiments were performed:</w:t>
      </w:r>
    </w:p>
    <w:tbl>
      <w:tblPr>
        <w:tblStyle w:val="Table3"/>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2232"/>
        <w:gridCol w:w="2232"/>
        <w:gridCol w:w="2232"/>
        <w:tblGridChange w:id="0">
          <w:tblGrid>
            <w:gridCol w:w="2232"/>
            <w:gridCol w:w="2232"/>
            <w:gridCol w:w="2232"/>
            <w:gridCol w:w="2232"/>
          </w:tblGrid>
        </w:tblGridChange>
      </w:tblGrid>
      <w:tr>
        <w:trPr>
          <w:cantSplit w:val="0"/>
          <w:tblHeader w:val="0"/>
        </w:trPr>
        <w:tc>
          <w:tcPr>
            <w:shd w:fill="c55a11" w:val="clear"/>
          </w:tcPr>
          <w:p w:rsidR="00000000" w:rsidDel="00000000" w:rsidP="00000000" w:rsidRDefault="00000000" w:rsidRPr="00000000" w14:paraId="00000036">
            <w:pPr>
              <w:jc w:val="both"/>
              <w:rPr>
                <w:b w:val="1"/>
                <w:bCs w:val="1"/>
                <w:color w:val="ffffff"/>
                <w:sz w:val="18"/>
                <w:szCs w:val="18"/>
              </w:rPr>
            </w:pPr>
            <w:r w:rsidDel="00000000" w:rsidR="00000000" w:rsidRPr="00000000">
              <w:rPr>
                <w:b w:val="1"/>
                <w:bCs w:val="1"/>
                <w:color w:val="ffffff"/>
                <w:sz w:val="18"/>
                <w:szCs w:val="18"/>
                <w:rtl w:val="0"/>
              </w:rPr>
              <w:t xml:space="preserve">Experiment</w:t>
            </w:r>
          </w:p>
        </w:tc>
        <w:tc>
          <w:tcPr>
            <w:shd w:fill="c55a11" w:val="clear"/>
          </w:tcPr>
          <w:p w:rsidR="00000000" w:rsidDel="00000000" w:rsidP="00000000" w:rsidRDefault="00000000" w:rsidRPr="00000000" w14:paraId="00000037">
            <w:pPr>
              <w:jc w:val="both"/>
              <w:rPr>
                <w:b w:val="1"/>
                <w:bCs w:val="1"/>
                <w:color w:val="ffffff"/>
                <w:sz w:val="18"/>
                <w:szCs w:val="18"/>
              </w:rPr>
            </w:pPr>
            <w:r w:rsidDel="00000000" w:rsidR="00000000" w:rsidRPr="00000000">
              <w:rPr>
                <w:b w:val="1"/>
                <w:bCs w:val="1"/>
                <w:color w:val="ffffff"/>
                <w:sz w:val="18"/>
                <w:szCs w:val="18"/>
                <w:rtl w:val="0"/>
              </w:rPr>
              <w:t xml:space="preserve">N (events)</w:t>
            </w:r>
          </w:p>
        </w:tc>
        <w:tc>
          <w:tcPr>
            <w:shd w:fill="c55a11" w:val="clear"/>
          </w:tcPr>
          <w:p w:rsidR="00000000" w:rsidDel="00000000" w:rsidP="00000000" w:rsidRDefault="00000000" w:rsidRPr="00000000" w14:paraId="00000038">
            <w:pPr>
              <w:jc w:val="both"/>
              <w:rPr>
                <w:b w:val="1"/>
                <w:bCs w:val="1"/>
                <w:color w:val="ffffff"/>
                <w:sz w:val="18"/>
                <w:szCs w:val="18"/>
              </w:rPr>
            </w:pPr>
            <w:r w:rsidDel="00000000" w:rsidR="00000000" w:rsidRPr="00000000">
              <w:rPr>
                <w:b w:val="1"/>
                <w:bCs w:val="1"/>
                <w:color w:val="ffffff"/>
                <w:sz w:val="18"/>
                <w:szCs w:val="18"/>
                <w:rtl w:val="0"/>
              </w:rPr>
              <w:t xml:space="preserve">Parameters</w:t>
            </w:r>
          </w:p>
        </w:tc>
        <w:tc>
          <w:tcPr>
            <w:shd w:fill="c55a11" w:val="clear"/>
          </w:tcPr>
          <w:p w:rsidR="00000000" w:rsidDel="00000000" w:rsidP="00000000" w:rsidRDefault="00000000" w:rsidRPr="00000000" w14:paraId="00000039">
            <w:pPr>
              <w:jc w:val="both"/>
              <w:rPr>
                <w:b w:val="1"/>
                <w:bCs w:val="1"/>
                <w:color w:val="ffffff"/>
                <w:sz w:val="18"/>
                <w:szCs w:val="18"/>
              </w:rPr>
            </w:pPr>
            <w:r w:rsidDel="00000000" w:rsidR="00000000" w:rsidRPr="00000000">
              <w:rPr>
                <w:b w:val="1"/>
                <w:bCs w:val="1"/>
                <w:color w:val="ffffff"/>
                <w:sz w:val="18"/>
                <w:szCs w:val="18"/>
                <w:rtl w:val="0"/>
              </w:rPr>
              <w:t xml:space="preserve">Primary metric</w:t>
            </w:r>
          </w:p>
        </w:tc>
      </w:tr>
      <w:tr>
        <w:trPr>
          <w:cantSplit w:val="0"/>
          <w:tblHeader w:val="0"/>
        </w:trPr>
        <w:tc>
          <w:tcPr>
            <w:vAlign w:val="center"/>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Exp. 1 — Main</w:t>
            </w:r>
          </w:p>
        </w:tc>
        <w:tc>
          <w:tcPr>
            <w:vAlign w:val="center"/>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N = 10⁷ per run</w:t>
            </w:r>
          </w:p>
        </w:tc>
        <w:tc>
          <w:tcPr>
            <w:vAlign w:val="center"/>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p ∈ {0.00, 0.05, …, 0.99} (21 values)</w:t>
            </w:r>
          </w:p>
        </w:tc>
        <w:tc>
          <w:tcPr>
            <w:vAlign w:val="center"/>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τ(v)/τ₀ vs √(1−v²)</w:t>
            </w:r>
          </w:p>
        </w:tc>
      </w:tr>
      <w:tr>
        <w:trPr>
          <w:cantSplit w:val="0"/>
          <w:tblHeader w:val="0"/>
        </w:trPr>
        <w:tc>
          <w:tcPr>
            <w:shd w:fill="eef3fa" w:val="clear"/>
            <w:vAlign w:val="center"/>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Exp. 2 — Stream</w:t>
              <w:br w:type="textWrapping"/>
              <w:t xml:space="preserve">Independence</w:t>
            </w:r>
          </w:p>
        </w:tc>
        <w:tc>
          <w:tcPr>
            <w:shd w:fill="eef3fa" w:val="clear"/>
            <w:vAlign w:val="center"/>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N = 5×10⁶ per run</w:t>
            </w:r>
          </w:p>
        </w:tc>
        <w:tc>
          <w:tcPr>
            <w:shd w:fill="eef3fa" w:val="clear"/>
            <w:vAlign w:val="center"/>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p ∈ {0.1, …, 0.9} (9 values),</w:t>
              <w:br w:type="textWrapping"/>
              <w:t xml:space="preserve">3 seeds each</w:t>
            </w:r>
          </w:p>
        </w:tc>
        <w:tc>
          <w:tcPr>
            <w:shd w:fill="eef3fa" w:val="clear"/>
            <w:vAlign w:val="center"/>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Inter-seed spread</w:t>
            </w:r>
          </w:p>
        </w:tc>
      </w:tr>
      <w:tr>
        <w:trPr>
          <w:cantSplit w:val="0"/>
          <w:tblHeader w:val="0"/>
        </w:trPr>
        <w:tc>
          <w:tcPr>
            <w:vAlign w:val="center"/>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Exp. 3 — Gamma</w:t>
              <w:br w:type="textWrapping"/>
              <w:t xml:space="preserve">Factor</w:t>
            </w:r>
          </w:p>
        </w:tc>
        <w:tc>
          <w:tcPr>
            <w:vAlign w:val="center"/>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N = 10⁷ per run</w:t>
            </w:r>
          </w:p>
        </w:tc>
        <w:tc>
          <w:tcPr>
            <w:vAlign w:val="center"/>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p ∈ {0.0, 0.1, …, 0.95} (11 values)</w:t>
            </w:r>
          </w:p>
        </w:tc>
        <w:tc>
          <w:tcPr>
            <w:vAlign w:val="center"/>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γ = T/τ vs 1/√(1−v²)</w:t>
            </w:r>
          </w:p>
        </w:tc>
      </w:tr>
    </w:tbl>
    <w:p w:rsidR="00000000" w:rsidDel="00000000" w:rsidP="00000000" w:rsidRDefault="00000000" w:rsidRPr="00000000" w14:paraId="00000046">
      <w:pPr>
        <w:jc w:val="both"/>
        <w:rPr/>
      </w:pPr>
      <w:r w:rsidDel="00000000" w:rsidR="00000000" w:rsidRPr="00000000">
        <w:rPr>
          <w:rtl w:val="0"/>
        </w:rPr>
        <w:br w:type="textWrapping"/>
        <w:t xml:space="preserve">All computations use 64-bit IEEE 754 floating-point arithmetic. Seeds are fixed for reproducibility. The reference run uses p = 0 (v = 0, τ₀ = N).</w:t>
      </w:r>
    </w:p>
    <w:p w:rsidR="00000000" w:rsidDel="00000000" w:rsidP="00000000" w:rsidRDefault="00000000" w:rsidRPr="00000000" w14:paraId="00000047">
      <w:pPr>
        <w:pStyle w:val="Heading2"/>
        <w:rPr>
          <w:b w:val="0"/>
          <w:bCs w:val="0"/>
        </w:rPr>
      </w:pPr>
      <w:r w:rsidDel="00000000" w:rsidR="00000000" w:rsidRPr="00000000">
        <w:rPr>
          <w:b w:val="0"/>
          <w:bCs w:val="0"/>
          <w:rtl w:val="0"/>
        </w:rPr>
        <w:t xml:space="preserve">Falsifiability Criteria</w:t>
      </w:r>
    </w:p>
    <w:p w:rsidR="00000000" w:rsidDel="00000000" w:rsidP="00000000" w:rsidRDefault="00000000" w:rsidRPr="00000000" w14:paraId="00000048">
      <w:pPr>
        <w:jc w:val="both"/>
        <w:rPr/>
      </w:pPr>
      <w:r w:rsidDel="00000000" w:rsidR="00000000" w:rsidRPr="00000000">
        <w:rPr>
          <w:rtl w:val="0"/>
        </w:rPr>
        <w:t xml:space="preserve">Following the Ze methodological protocol (Tkemaladze, 2026a), the following criteria were specified prior to running the experiment. Ze is falsified if any criterion fails:</w:t>
      </w:r>
    </w:p>
    <w:p w:rsidR="00000000" w:rsidDel="00000000" w:rsidP="00000000" w:rsidRDefault="00000000" w:rsidRPr="00000000" w14:paraId="00000049">
      <w:pPr>
        <w:numPr>
          <w:ilvl w:val="0"/>
          <w:numId w:val="1"/>
        </w:numPr>
        <w:ind w:left="360"/>
        <w:jc w:val="both"/>
        <w:rPr/>
      </w:pPr>
      <w:r w:rsidDel="00000000" w:rsidR="00000000" w:rsidRPr="00000000">
        <w:rPr>
          <w:vertAlign w:val="baseline"/>
          <w:rtl w:val="0"/>
        </w:rPr>
        <w:t xml:space="preserve">(F1)  τ(v)/τ₀ is not monotonically decreasing with v.</w:t>
      </w:r>
    </w:p>
    <w:p w:rsidR="00000000" w:rsidDel="00000000" w:rsidP="00000000" w:rsidRDefault="00000000" w:rsidRPr="00000000" w14:paraId="0000004A">
      <w:pPr>
        <w:numPr>
          <w:ilvl w:val="0"/>
          <w:numId w:val="1"/>
        </w:numPr>
        <w:ind w:left="360"/>
        <w:jc w:val="both"/>
        <w:rPr/>
      </w:pPr>
      <w:r w:rsidDel="00000000" w:rsidR="00000000" w:rsidRPr="00000000">
        <w:rPr>
          <w:vertAlign w:val="baseline"/>
          <w:rtl w:val="0"/>
        </w:rPr>
        <w:t xml:space="preserve">(F2)  |τ(v)/τ₀ − √(1−v²)| &gt; 0.005 for any tested v.</w:t>
      </w:r>
    </w:p>
    <w:p w:rsidR="00000000" w:rsidDel="00000000" w:rsidP="00000000" w:rsidRDefault="00000000" w:rsidRPr="00000000" w14:paraId="0000004B">
      <w:pPr>
        <w:numPr>
          <w:ilvl w:val="0"/>
          <w:numId w:val="1"/>
        </w:numPr>
        <w:ind w:left="360"/>
        <w:jc w:val="both"/>
        <w:rPr/>
      </w:pPr>
      <w:r w:rsidDel="00000000" w:rsidR="00000000" w:rsidRPr="00000000">
        <w:rPr>
          <w:vertAlign w:val="baseline"/>
          <w:rtl w:val="0"/>
        </w:rPr>
        <w:t xml:space="preserve">(F3)  Inter-seed spread of τ(v)/τ₀ &gt; 0.002 for any tested p.</w:t>
      </w:r>
    </w:p>
    <w:p w:rsidR="00000000" w:rsidDel="00000000" w:rsidP="00000000" w:rsidRDefault="00000000" w:rsidRPr="00000000" w14:paraId="0000004C">
      <w:pPr>
        <w:numPr>
          <w:ilvl w:val="0"/>
          <w:numId w:val="1"/>
        </w:numPr>
        <w:ind w:left="360"/>
        <w:jc w:val="both"/>
        <w:rPr/>
      </w:pPr>
      <w:r w:rsidDel="00000000" w:rsidR="00000000" w:rsidRPr="00000000">
        <w:rPr>
          <w:vertAlign w:val="baseline"/>
          <w:rtl w:val="0"/>
        </w:rPr>
        <w:t xml:space="preserve">(F4)  |γ_Ze − γ_SR| = |T/τ − 1/√(1−v²)| &gt; 0.001 for any tested v.</w:t>
      </w:r>
    </w:p>
    <w:p w:rsidR="00000000" w:rsidDel="00000000" w:rsidP="00000000" w:rsidRDefault="00000000" w:rsidRPr="00000000" w14:paraId="0000004D">
      <w:pPr>
        <w:pStyle w:val="Heading1"/>
        <w:rPr>
          <w:b w:val="0"/>
          <w:bCs w:val="0"/>
        </w:rPr>
      </w:pPr>
      <w:r w:rsidDel="00000000" w:rsidR="00000000" w:rsidRPr="00000000">
        <w:rPr>
          <w:b w:val="0"/>
          <w:bCs w:val="0"/>
          <w:rtl w:val="0"/>
        </w:rPr>
        <w:t xml:space="preserve">Results</w:t>
      </w:r>
    </w:p>
    <w:p w:rsidR="00000000" w:rsidDel="00000000" w:rsidP="00000000" w:rsidRDefault="00000000" w:rsidRPr="00000000" w14:paraId="0000004E">
      <w:pPr>
        <w:pStyle w:val="Heading2"/>
        <w:rPr>
          <w:b w:val="0"/>
          <w:bCs w:val="0"/>
        </w:rPr>
      </w:pPr>
      <w:r w:rsidDel="00000000" w:rsidR="00000000" w:rsidRPr="00000000">
        <w:rPr>
          <w:b w:val="0"/>
          <w:bCs w:val="0"/>
          <w:rtl w:val="0"/>
        </w:rPr>
        <w:t xml:space="preserve">Experiment 1 — Time-Dilation Curve</w:t>
      </w:r>
    </w:p>
    <w:p w:rsidR="00000000" w:rsidDel="00000000" w:rsidP="00000000" w:rsidRDefault="00000000" w:rsidRPr="00000000" w14:paraId="0000004F">
      <w:pPr>
        <w:jc w:val="both"/>
        <w:rPr/>
      </w:pPr>
      <w:r w:rsidDel="00000000" w:rsidR="00000000" w:rsidRPr="00000000">
        <w:rPr>
          <w:rtl w:val="0"/>
        </w:rPr>
        <w:t xml:space="preserve">Figure 1 shows τ(v)/τ₀ as a function of v for all 21 experimental points overlaid on the theoretical Lorentz curve √(1 − v²). The residual panel confirms that all points lie within ±5 × 10⁻⁵, well below the F2 threshold of 0.005. Table 1 presents a representative subset of 11 points.</w:t>
      </w:r>
    </w:p>
    <w:p w:rsidR="00000000" w:rsidDel="00000000" w:rsidP="00000000" w:rsidRDefault="00000000" w:rsidRPr="00000000" w14:paraId="00000050">
      <w:pPr>
        <w:jc w:val="both"/>
        <w:rPr/>
      </w:pPr>
      <w:r w:rsidDel="00000000" w:rsidR="00000000" w:rsidRPr="00000000">
        <w:rPr/>
        <w:drawing>
          <wp:inline distB="0" distT="0" distL="114300" distR="114300">
            <wp:extent cx="5303520" cy="593858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593858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5"/>
        <w:jc w:val="both"/>
        <w:rPr/>
      </w:pPr>
      <w:bookmarkStart w:colFirst="0" w:colLast="0" w:name="_eriz8by5nkii" w:id="4"/>
      <w:bookmarkEnd w:id="4"/>
      <w:r w:rsidDel="00000000" w:rsidR="00000000" w:rsidRPr="00000000">
        <w:rPr>
          <w:rtl w:val="0"/>
        </w:rPr>
        <w:t xml:space="preserve">Figure 1.  Ze experiment (N = 10⁷): τ(v)/τ₀ versus velocity parameter v over 21 values of p. Blue circles: Ze measurements. Black line: Lorentz factor √(1−v²). Lower panel: residuals — all within ±5×10⁻⁵.</w:t>
      </w:r>
    </w:p>
    <w:p w:rsidR="00000000" w:rsidDel="00000000" w:rsidP="00000000" w:rsidRDefault="00000000" w:rsidRPr="00000000" w14:paraId="00000052">
      <w:pPr>
        <w:pStyle w:val="Heading6"/>
        <w:jc w:val="both"/>
        <w:rPr/>
      </w:pPr>
      <w:bookmarkStart w:colFirst="0" w:colLast="0" w:name="_nj7iplk0l087" w:id="5"/>
      <w:bookmarkEnd w:id="5"/>
      <w:r w:rsidDel="00000000" w:rsidR="00000000" w:rsidRPr="00000000">
        <w:rPr>
          <w:rtl w:val="0"/>
        </w:rPr>
        <w:t xml:space="preserve">Table 1.  Main Ze experiment results (Experiment 1).  N = 10⁷ events per point.  Column δ = |τ/τ₀ − √(1−v²)|.</w:t>
      </w:r>
    </w:p>
    <w:tbl>
      <w:tblPr>
        <w:tblStyle w:val="Table4"/>
        <w:tblW w:w="892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
        <w:gridCol w:w="992"/>
        <w:gridCol w:w="992"/>
        <w:gridCol w:w="992"/>
        <w:gridCol w:w="992"/>
        <w:gridCol w:w="992"/>
        <w:gridCol w:w="992"/>
        <w:gridCol w:w="992"/>
        <w:gridCol w:w="992"/>
        <w:tblGridChange w:id="0">
          <w:tblGrid>
            <w:gridCol w:w="992"/>
            <w:gridCol w:w="992"/>
            <w:gridCol w:w="992"/>
            <w:gridCol w:w="992"/>
            <w:gridCol w:w="992"/>
            <w:gridCol w:w="992"/>
            <w:gridCol w:w="992"/>
            <w:gridCol w:w="992"/>
            <w:gridCol w:w="992"/>
          </w:tblGrid>
        </w:tblGridChange>
      </w:tblGrid>
      <w:tr>
        <w:trPr>
          <w:cantSplit w:val="0"/>
          <w:tblHeader w:val="0"/>
        </w:trPr>
        <w:tc>
          <w:tcPr>
            <w:shd w:fill="2e75b6" w:val="clear"/>
          </w:tcPr>
          <w:p w:rsidR="00000000" w:rsidDel="00000000" w:rsidP="00000000" w:rsidRDefault="00000000" w:rsidRPr="00000000" w14:paraId="00000053">
            <w:pPr>
              <w:jc w:val="both"/>
              <w:rPr>
                <w:b w:val="1"/>
                <w:bCs w:val="1"/>
                <w:color w:val="ffffff"/>
                <w:sz w:val="18"/>
                <w:szCs w:val="18"/>
              </w:rPr>
            </w:pPr>
            <w:r w:rsidDel="00000000" w:rsidR="00000000" w:rsidRPr="00000000">
              <w:rPr>
                <w:b w:val="1"/>
                <w:bCs w:val="1"/>
                <w:color w:val="ffffff"/>
                <w:sz w:val="18"/>
                <w:szCs w:val="18"/>
                <w:rtl w:val="0"/>
              </w:rPr>
              <w:t xml:space="preserve">p</w:t>
            </w:r>
          </w:p>
        </w:tc>
        <w:tc>
          <w:tcPr>
            <w:shd w:fill="2e75b6" w:val="clear"/>
          </w:tcPr>
          <w:p w:rsidR="00000000" w:rsidDel="00000000" w:rsidP="00000000" w:rsidRDefault="00000000" w:rsidRPr="00000000" w14:paraId="00000054">
            <w:pPr>
              <w:jc w:val="both"/>
              <w:rPr>
                <w:b w:val="1"/>
                <w:bCs w:val="1"/>
                <w:color w:val="ffffff"/>
                <w:sz w:val="18"/>
                <w:szCs w:val="18"/>
              </w:rPr>
            </w:pPr>
            <w:r w:rsidDel="00000000" w:rsidR="00000000" w:rsidRPr="00000000">
              <w:rPr>
                <w:b w:val="1"/>
                <w:bCs w:val="1"/>
                <w:color w:val="ffffff"/>
                <w:sz w:val="18"/>
                <w:szCs w:val="18"/>
                <w:rtl w:val="0"/>
              </w:rPr>
              <w:t xml:space="preserve">v</w:t>
            </w:r>
          </w:p>
        </w:tc>
        <w:tc>
          <w:tcPr>
            <w:shd w:fill="2e75b6" w:val="clear"/>
          </w:tcPr>
          <w:p w:rsidR="00000000" w:rsidDel="00000000" w:rsidP="00000000" w:rsidRDefault="00000000" w:rsidRPr="00000000" w14:paraId="00000055">
            <w:pPr>
              <w:jc w:val="both"/>
              <w:rPr>
                <w:b w:val="1"/>
                <w:bCs w:val="1"/>
                <w:color w:val="ffffff"/>
                <w:sz w:val="18"/>
                <w:szCs w:val="18"/>
              </w:rPr>
            </w:pPr>
            <w:r w:rsidDel="00000000" w:rsidR="00000000" w:rsidRPr="00000000">
              <w:rPr>
                <w:b w:val="1"/>
                <w:bCs w:val="1"/>
                <w:color w:val="ffffff"/>
                <w:sz w:val="18"/>
                <w:szCs w:val="18"/>
                <w:rtl w:val="0"/>
              </w:rPr>
              <w:t xml:space="preserve">N_T</w:t>
            </w:r>
          </w:p>
        </w:tc>
        <w:tc>
          <w:tcPr>
            <w:shd w:fill="2e75b6" w:val="clear"/>
          </w:tcPr>
          <w:p w:rsidR="00000000" w:rsidDel="00000000" w:rsidP="00000000" w:rsidRDefault="00000000" w:rsidRPr="00000000" w14:paraId="00000056">
            <w:pPr>
              <w:jc w:val="both"/>
              <w:rPr>
                <w:b w:val="1"/>
                <w:bCs w:val="1"/>
                <w:color w:val="ffffff"/>
                <w:sz w:val="18"/>
                <w:szCs w:val="18"/>
              </w:rPr>
            </w:pPr>
            <w:r w:rsidDel="00000000" w:rsidR="00000000" w:rsidRPr="00000000">
              <w:rPr>
                <w:b w:val="1"/>
                <w:bCs w:val="1"/>
                <w:color w:val="ffffff"/>
                <w:sz w:val="18"/>
                <w:szCs w:val="18"/>
                <w:rtl w:val="0"/>
              </w:rPr>
              <w:t xml:space="preserve">N_S</w:t>
            </w:r>
          </w:p>
        </w:tc>
        <w:tc>
          <w:tcPr>
            <w:shd w:fill="2e75b6" w:val="clear"/>
          </w:tcPr>
          <w:p w:rsidR="00000000" w:rsidDel="00000000" w:rsidP="00000000" w:rsidRDefault="00000000" w:rsidRPr="00000000" w14:paraId="00000057">
            <w:pPr>
              <w:jc w:val="both"/>
              <w:rPr>
                <w:b w:val="1"/>
                <w:bCs w:val="1"/>
                <w:color w:val="ffffff"/>
                <w:sz w:val="18"/>
                <w:szCs w:val="18"/>
              </w:rPr>
            </w:pPr>
            <w:r w:rsidDel="00000000" w:rsidR="00000000" w:rsidRPr="00000000">
              <w:rPr>
                <w:b w:val="1"/>
                <w:bCs w:val="1"/>
                <w:color w:val="ffffff"/>
                <w:sz w:val="18"/>
                <w:szCs w:val="18"/>
                <w:rtl w:val="0"/>
              </w:rPr>
              <w:t xml:space="preserve">τ/τ₀ (Ze)</w:t>
            </w:r>
          </w:p>
        </w:tc>
        <w:tc>
          <w:tcPr>
            <w:shd w:fill="2e75b6" w:val="clear"/>
          </w:tcPr>
          <w:p w:rsidR="00000000" w:rsidDel="00000000" w:rsidP="00000000" w:rsidRDefault="00000000" w:rsidRPr="00000000" w14:paraId="00000058">
            <w:pPr>
              <w:jc w:val="both"/>
              <w:rPr>
                <w:b w:val="1"/>
                <w:bCs w:val="1"/>
                <w:color w:val="ffffff"/>
                <w:sz w:val="18"/>
                <w:szCs w:val="18"/>
              </w:rPr>
            </w:pPr>
            <w:r w:rsidDel="00000000" w:rsidR="00000000" w:rsidRPr="00000000">
              <w:rPr>
                <w:b w:val="1"/>
                <w:bCs w:val="1"/>
                <w:color w:val="ffffff"/>
                <w:sz w:val="18"/>
                <w:szCs w:val="18"/>
                <w:rtl w:val="0"/>
              </w:rPr>
              <w:t xml:space="preserve">√(1−v²)</w:t>
            </w:r>
          </w:p>
        </w:tc>
        <w:tc>
          <w:tcPr>
            <w:shd w:fill="2e75b6" w:val="clear"/>
          </w:tcPr>
          <w:p w:rsidR="00000000" w:rsidDel="00000000" w:rsidP="00000000" w:rsidRDefault="00000000" w:rsidRPr="00000000" w14:paraId="00000059">
            <w:pPr>
              <w:jc w:val="both"/>
              <w:rPr>
                <w:b w:val="1"/>
                <w:bCs w:val="1"/>
                <w:color w:val="ffffff"/>
                <w:sz w:val="18"/>
                <w:szCs w:val="18"/>
              </w:rPr>
            </w:pPr>
            <w:r w:rsidDel="00000000" w:rsidR="00000000" w:rsidRPr="00000000">
              <w:rPr>
                <w:b w:val="1"/>
                <w:bCs w:val="1"/>
                <w:color w:val="ffffff"/>
                <w:sz w:val="18"/>
                <w:szCs w:val="18"/>
                <w:rtl w:val="0"/>
              </w:rPr>
              <w:t xml:space="preserve">δ</w:t>
            </w:r>
          </w:p>
        </w:tc>
        <w:tc>
          <w:tcPr>
            <w:shd w:fill="2e75b6" w:val="clear"/>
          </w:tcPr>
          <w:p w:rsidR="00000000" w:rsidDel="00000000" w:rsidP="00000000" w:rsidRDefault="00000000" w:rsidRPr="00000000" w14:paraId="0000005A">
            <w:pPr>
              <w:jc w:val="both"/>
              <w:rPr>
                <w:b w:val="1"/>
                <w:bCs w:val="1"/>
                <w:color w:val="ffffff"/>
                <w:sz w:val="18"/>
                <w:szCs w:val="18"/>
              </w:rPr>
            </w:pPr>
            <w:r w:rsidDel="00000000" w:rsidR="00000000" w:rsidRPr="00000000">
              <w:rPr>
                <w:b w:val="1"/>
                <w:bCs w:val="1"/>
                <w:color w:val="ffffff"/>
                <w:sz w:val="18"/>
                <w:szCs w:val="18"/>
                <w:rtl w:val="0"/>
              </w:rPr>
              <w:t xml:space="preserve">γ (Ze)</w:t>
            </w:r>
          </w:p>
        </w:tc>
        <w:tc>
          <w:tcPr>
            <w:shd w:fill="2e75b6" w:val="clear"/>
          </w:tcPr>
          <w:p w:rsidR="00000000" w:rsidDel="00000000" w:rsidP="00000000" w:rsidRDefault="00000000" w:rsidRPr="00000000" w14:paraId="0000005B">
            <w:pPr>
              <w:jc w:val="both"/>
              <w:rPr>
                <w:b w:val="1"/>
                <w:bCs w:val="1"/>
                <w:color w:val="ffffff"/>
                <w:sz w:val="18"/>
                <w:szCs w:val="18"/>
              </w:rPr>
            </w:pPr>
            <w:r w:rsidDel="00000000" w:rsidR="00000000" w:rsidRPr="00000000">
              <w:rPr>
                <w:b w:val="1"/>
                <w:bCs w:val="1"/>
                <w:color w:val="ffffff"/>
                <w:sz w:val="18"/>
                <w:szCs w:val="18"/>
                <w:rtl w:val="0"/>
              </w:rPr>
              <w:t xml:space="preserve">γ (SR)</w:t>
            </w:r>
          </w:p>
        </w:tc>
      </w:tr>
      <w:tr>
        <w:trPr>
          <w:cantSplit w:val="0"/>
          <w:tblHeader w:val="0"/>
        </w:trPr>
        <w:tc>
          <w:tcPr>
            <w:vAlign w:val="center"/>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0.00</w:t>
            </w:r>
          </w:p>
        </w:tc>
        <w:tc>
          <w:tcPr>
            <w:vAlign w:val="center"/>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0.0000</w:t>
            </w:r>
          </w:p>
        </w:tc>
        <w:tc>
          <w:tcPr>
            <w:vAlign w:val="center"/>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10,000,000</w:t>
            </w:r>
          </w:p>
        </w:tc>
        <w:tc>
          <w:tcPr>
            <w:vAlign w:val="center"/>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0.00e+00</w:t>
            </w:r>
          </w:p>
        </w:tc>
        <w:tc>
          <w:tcPr>
            <w:vAlign w:val="center"/>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1.00000</w:t>
            </w:r>
          </w:p>
        </w:tc>
        <w:tc>
          <w:tcPr>
            <w:vAlign w:val="cente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1.00000</w:t>
            </w:r>
          </w:p>
        </w:tc>
      </w:tr>
      <w:tr>
        <w:trPr>
          <w:cantSplit w:val="0"/>
          <w:tblHeader w:val="0"/>
        </w:trPr>
        <w:tc>
          <w:tcPr>
            <w:shd w:fill="eef3fa" w:val="clear"/>
            <w:vAlign w:val="center"/>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0.10</w:t>
            </w:r>
          </w:p>
        </w:tc>
        <w:tc>
          <w:tcPr>
            <w:shd w:fill="eef3fa" w:val="clear"/>
            <w:vAlign w:val="center"/>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0.1002</w:t>
            </w:r>
          </w:p>
        </w:tc>
        <w:tc>
          <w:tcPr>
            <w:shd w:fill="eef3fa" w:val="clear"/>
            <w:vAlign w:val="center"/>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8,997,939</w:t>
            </w:r>
          </w:p>
        </w:tc>
        <w:tc>
          <w:tcPr>
            <w:shd w:fill="eef3fa" w:val="clear"/>
            <w:vAlign w:val="cente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1,002,061</w:t>
            </w:r>
          </w:p>
        </w:tc>
        <w:tc>
          <w:tcPr>
            <w:shd w:fill="eef3fa" w:val="clear"/>
            <w:vAlign w:val="center"/>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0.994967</w:t>
            </w:r>
          </w:p>
        </w:tc>
        <w:tc>
          <w:tcPr>
            <w:shd w:fill="eef3fa" w:val="clear"/>
            <w:vAlign w:val="center"/>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0.994967</w:t>
            </w:r>
          </w:p>
        </w:tc>
        <w:tc>
          <w:tcPr>
            <w:shd w:fill="eef3fa" w:val="clear"/>
            <w:vAlign w:val="center"/>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0.00e+00</w:t>
            </w:r>
          </w:p>
        </w:tc>
        <w:tc>
          <w:tcPr>
            <w:shd w:fill="eef3fa" w:val="clear"/>
            <w:vAlign w:val="cente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1.00506</w:t>
            </w:r>
          </w:p>
        </w:tc>
        <w:tc>
          <w:tcPr>
            <w:shd w:fill="eef3fa" w:val="clear"/>
            <w:vAlign w:val="center"/>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1.00506</w:t>
            </w:r>
          </w:p>
        </w:tc>
      </w:tr>
      <w:tr>
        <w:trPr>
          <w:cantSplit w:val="0"/>
          <w:tblHeader w:val="0"/>
        </w:trPr>
        <w:tc>
          <w:tcPr>
            <w:vAlign w:val="center"/>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0.20</w:t>
            </w:r>
          </w:p>
        </w:tc>
        <w:tc>
          <w:tcPr>
            <w:vAlign w:val="center"/>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0.2000</w:t>
            </w:r>
          </w:p>
        </w:tc>
        <w:tc>
          <w:tcPr>
            <w:vAlign w:val="center"/>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8,000,288</w:t>
            </w:r>
          </w:p>
        </w:tc>
        <w:tc>
          <w:tcPr>
            <w:vAlign w:val="center"/>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1,999,712</w:t>
            </w:r>
          </w:p>
        </w:tc>
        <w:tc>
          <w:tcPr>
            <w:vAlign w:val="center"/>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0.979802</w:t>
            </w:r>
          </w:p>
        </w:tc>
        <w:tc>
          <w:tcPr>
            <w:vAlign w:val="center"/>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0.979802</w:t>
            </w:r>
          </w:p>
        </w:tc>
        <w:tc>
          <w:tcPr>
            <w:vAlign w:val="cente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0.00e+00</w:t>
            </w:r>
          </w:p>
        </w:tc>
        <w:tc>
          <w:tcPr>
            <w:vAlign w:val="center"/>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1.02061</w:t>
            </w:r>
          </w:p>
        </w:tc>
        <w:tc>
          <w:tcPr>
            <w:vAlign w:val="center"/>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1.02061</w:t>
            </w:r>
          </w:p>
        </w:tc>
      </w:tr>
      <w:tr>
        <w:trPr>
          <w:cantSplit w:val="0"/>
          <w:tblHeader w:val="0"/>
        </w:trPr>
        <w:tc>
          <w:tcPr>
            <w:shd w:fill="eef3fa" w:val="clear"/>
            <w:vAlign w:val="center"/>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0.30</w:t>
            </w:r>
          </w:p>
        </w:tc>
        <w:tc>
          <w:tcPr>
            <w:shd w:fill="eef3fa" w:val="clear"/>
            <w:vAlign w:val="center"/>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0.2999</w:t>
            </w:r>
          </w:p>
        </w:tc>
        <w:tc>
          <w:tcPr>
            <w:shd w:fill="eef3fa" w:val="clear"/>
            <w:vAlign w:val="center"/>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7,001,059</w:t>
            </w:r>
          </w:p>
        </w:tc>
        <w:tc>
          <w:tcPr>
            <w:shd w:fill="eef3fa" w:val="clear"/>
            <w:vAlign w:val="cente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2,998,941</w:t>
            </w:r>
          </w:p>
        </w:tc>
        <w:tc>
          <w:tcPr>
            <w:shd w:fill="eef3fa" w:val="clear"/>
            <w:vAlign w:val="center"/>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0.953972</w:t>
            </w:r>
          </w:p>
        </w:tc>
        <w:tc>
          <w:tcPr>
            <w:shd w:fill="eef3fa" w:val="clear"/>
            <w:vAlign w:val="cente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0.953972</w:t>
            </w:r>
          </w:p>
        </w:tc>
        <w:tc>
          <w:tcPr>
            <w:shd w:fill="eef3fa" w:val="clear"/>
            <w:vAlign w:val="cente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1.11e-16</w:t>
            </w:r>
          </w:p>
        </w:tc>
        <w:tc>
          <w:tcPr>
            <w:shd w:fill="eef3fa" w:val="clear"/>
            <w:vAlign w:val="center"/>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1.04825</w:t>
            </w:r>
          </w:p>
        </w:tc>
        <w:tc>
          <w:tcPr>
            <w:shd w:fill="eef3fa" w:val="clear"/>
            <w:vAlign w:val="center"/>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1.04825</w:t>
            </w:r>
          </w:p>
        </w:tc>
      </w:tr>
      <w:tr>
        <w:trPr>
          <w:cantSplit w:val="0"/>
          <w:tblHeader w:val="0"/>
        </w:trPr>
        <w:tc>
          <w:tcPr>
            <w:vAlign w:val="center"/>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0.40</w:t>
            </w:r>
          </w:p>
        </w:tc>
        <w:tc>
          <w:tcPr>
            <w:vAlign w:val="center"/>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0.4001</w:t>
            </w:r>
          </w:p>
        </w:tc>
        <w:tc>
          <w:tcPr>
            <w:vAlign w:val="center"/>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5,998,847</w:t>
            </w:r>
          </w:p>
        </w:tc>
        <w:tc>
          <w:tcPr>
            <w:vAlign w:val="center"/>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4,001,153</w:t>
            </w:r>
          </w:p>
        </w:tc>
        <w:tc>
          <w:tcPr>
            <w:vAlign w:val="center"/>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0.916465</w:t>
            </w:r>
          </w:p>
        </w:tc>
        <w:tc>
          <w:tcPr>
            <w:vAlign w:val="center"/>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0.916465</w:t>
            </w:r>
          </w:p>
        </w:tc>
        <w:tc>
          <w:tcPr>
            <w:vAlign w:val="center"/>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0.00e+00</w:t>
            </w:r>
          </w:p>
        </w:tc>
        <w:tc>
          <w:tcPr>
            <w:vAlign w:val="center"/>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1.09115</w:t>
            </w:r>
          </w:p>
        </w:tc>
        <w:tc>
          <w:tcPr>
            <w:vAlign w:val="center"/>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1.09115</w:t>
            </w:r>
          </w:p>
        </w:tc>
      </w:tr>
      <w:tr>
        <w:trPr>
          <w:cantSplit w:val="0"/>
          <w:tblHeader w:val="0"/>
        </w:trPr>
        <w:tc>
          <w:tcPr>
            <w:shd w:fill="eef3fa" w:val="clear"/>
            <w:vAlign w:val="center"/>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0.50</w:t>
            </w:r>
          </w:p>
        </w:tc>
        <w:tc>
          <w:tcPr>
            <w:shd w:fill="eef3fa" w:val="clear"/>
            <w:vAlign w:val="center"/>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0.4999</w:t>
            </w:r>
          </w:p>
        </w:tc>
        <w:tc>
          <w:tcPr>
            <w:shd w:fill="eef3fa" w:val="clear"/>
            <w:vAlign w:val="center"/>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5,000,962</w:t>
            </w:r>
          </w:p>
        </w:tc>
        <w:tc>
          <w:tcPr>
            <w:shd w:fill="eef3fa" w:val="clear"/>
            <w:vAlign w:val="center"/>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4,999,038</w:t>
            </w:r>
          </w:p>
        </w:tc>
        <w:tc>
          <w:tcPr>
            <w:shd w:fill="eef3fa" w:val="clear"/>
            <w:vAlign w:val="center"/>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0.866081</w:t>
            </w:r>
          </w:p>
        </w:tc>
        <w:tc>
          <w:tcPr>
            <w:shd w:fill="eef3fa" w:val="clear"/>
            <w:vAlign w:val="center"/>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0.866081</w:t>
            </w:r>
          </w:p>
        </w:tc>
        <w:tc>
          <w:tcPr>
            <w:shd w:fill="eef3fa" w:val="clear"/>
            <w:vAlign w:val="center"/>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1.11e-16</w:t>
            </w:r>
          </w:p>
        </w:tc>
        <w:tc>
          <w:tcPr>
            <w:shd w:fill="eef3fa" w:val="clear"/>
            <w:vAlign w:val="center"/>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1.15463</w:t>
            </w:r>
          </w:p>
        </w:tc>
        <w:tc>
          <w:tcPr>
            <w:shd w:fill="eef3fa" w:val="clear"/>
            <w:vAlign w:val="cente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1.15463</w:t>
            </w:r>
          </w:p>
        </w:tc>
      </w:tr>
      <w:tr>
        <w:trPr>
          <w:cantSplit w:val="0"/>
          <w:tblHeader w:val="0"/>
        </w:trPr>
        <w:tc>
          <w:tcPr>
            <w:vAlign w:val="center"/>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0.60</w:t>
            </w:r>
          </w:p>
        </w:tc>
        <w:tc>
          <w:tcPr>
            <w:vAlign w:val="center"/>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0.5999</w:t>
            </w:r>
          </w:p>
        </w:tc>
        <w:tc>
          <w:tcPr>
            <w:vAlign w:val="center"/>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4,000,909</w:t>
            </w:r>
          </w:p>
        </w:tc>
        <w:tc>
          <w:tcPr>
            <w:vAlign w:val="center"/>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5,999,091</w:t>
            </w:r>
          </w:p>
        </w:tc>
        <w:tc>
          <w:tcPr>
            <w:vAlign w:val="center"/>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0.800068</w:t>
            </w:r>
          </w:p>
        </w:tc>
        <w:tc>
          <w:tcPr>
            <w:vAlign w:val="center"/>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0.800068</w:t>
            </w:r>
          </w:p>
        </w:tc>
        <w:tc>
          <w:tcPr>
            <w:vAlign w:val="center"/>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0.00e+00</w:t>
            </w:r>
          </w:p>
        </w:tc>
        <w:tc>
          <w:tcPr>
            <w:vAlign w:val="center"/>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1.24989</w:t>
            </w:r>
          </w:p>
        </w:tc>
        <w:tc>
          <w:tcPr>
            <w:vAlign w:val="center"/>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1.24989</w:t>
            </w:r>
          </w:p>
        </w:tc>
      </w:tr>
      <w:tr>
        <w:trPr>
          <w:cantSplit w:val="0"/>
          <w:tblHeader w:val="0"/>
        </w:trPr>
        <w:tc>
          <w:tcPr>
            <w:shd w:fill="eef3fa" w:val="clear"/>
            <w:vAlign w:val="center"/>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0.70</w:t>
            </w:r>
          </w:p>
        </w:tc>
        <w:tc>
          <w:tcPr>
            <w:shd w:fill="eef3fa" w:val="clear"/>
            <w:vAlign w:val="center"/>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0.7002</w:t>
            </w:r>
          </w:p>
        </w:tc>
        <w:tc>
          <w:tcPr>
            <w:shd w:fill="eef3fa" w:val="clear"/>
            <w:vAlign w:val="center"/>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2,997,763</w:t>
            </w:r>
          </w:p>
        </w:tc>
        <w:tc>
          <w:tcPr>
            <w:shd w:fill="eef3fa" w:val="clear"/>
            <w:vAlign w:val="center"/>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7,002,237</w:t>
            </w:r>
          </w:p>
        </w:tc>
        <w:tc>
          <w:tcPr>
            <w:shd w:fill="eef3fa" w:val="clear"/>
            <w:vAlign w:val="center"/>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0.713924</w:t>
            </w:r>
          </w:p>
        </w:tc>
        <w:tc>
          <w:tcPr>
            <w:shd w:fill="eef3fa" w:val="clear"/>
            <w:vAlign w:val="center"/>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0.713924</w:t>
            </w:r>
          </w:p>
        </w:tc>
        <w:tc>
          <w:tcPr>
            <w:shd w:fill="eef3fa" w:val="clear"/>
            <w:vAlign w:val="center"/>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1.11e-16</w:t>
            </w:r>
          </w:p>
        </w:tc>
        <w:tc>
          <w:tcPr>
            <w:shd w:fill="eef3fa" w:val="clear"/>
            <w:vAlign w:val="cente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1.40071</w:t>
            </w:r>
          </w:p>
        </w:tc>
        <w:tc>
          <w:tcPr>
            <w:shd w:fill="eef3fa" w:val="clear"/>
            <w:vAlign w:val="cente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1.40071</w:t>
            </w:r>
          </w:p>
        </w:tc>
      </w:tr>
      <w:tr>
        <w:trPr>
          <w:cantSplit w:val="0"/>
          <w:tblHeader w:val="0"/>
        </w:trPr>
        <w:tc>
          <w:tcPr>
            <w:vAlign w:val="center"/>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0.80</w:t>
            </w:r>
          </w:p>
        </w:tc>
        <w:tc>
          <w:tcPr>
            <w:vAlign w:val="cente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0.7999</w:t>
            </w:r>
          </w:p>
        </w:tc>
        <w:tc>
          <w:tcPr>
            <w:vAlign w:val="center"/>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2,001,143</w:t>
            </w:r>
          </w:p>
        </w:tc>
        <w:tc>
          <w:tcPr>
            <w:vAlign w:val="cente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7,998,857</w:t>
            </w:r>
          </w:p>
        </w:tc>
        <w:tc>
          <w:tcPr>
            <w:vAlign w:val="center"/>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0.600152</w:t>
            </w:r>
          </w:p>
        </w:tc>
        <w:tc>
          <w:tcPr>
            <w:vAlign w:val="center"/>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0.600152</w:t>
            </w:r>
          </w:p>
        </w:tc>
        <w:tc>
          <w:tcPr>
            <w:vAlign w:val="cente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0.00e+00</w:t>
            </w:r>
          </w:p>
        </w:tc>
        <w:tc>
          <w:tcPr>
            <w:vAlign w:val="cente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1.66624</w:t>
            </w:r>
          </w:p>
        </w:tc>
        <w:tc>
          <w:tcPr>
            <w:vAlign w:val="cente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1.66624</w:t>
            </w:r>
          </w:p>
        </w:tc>
      </w:tr>
      <w:tr>
        <w:trPr>
          <w:cantSplit w:val="0"/>
          <w:tblHeader w:val="0"/>
        </w:trPr>
        <w:tc>
          <w:tcPr>
            <w:shd w:fill="eef3fa" w:val="clear"/>
            <w:vAlign w:val="center"/>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0.90</w:t>
            </w:r>
          </w:p>
        </w:tc>
        <w:tc>
          <w:tcPr>
            <w:shd w:fill="eef3fa" w:val="clear"/>
            <w:vAlign w:val="center"/>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0.9001</w:t>
            </w:r>
          </w:p>
        </w:tc>
        <w:tc>
          <w:tcPr>
            <w:shd w:fill="eef3fa" w:val="clear"/>
            <w:vAlign w:val="cente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999,213</w:t>
            </w:r>
          </w:p>
        </w:tc>
        <w:tc>
          <w:tcPr>
            <w:shd w:fill="eef3fa" w:val="clear"/>
            <w:vAlign w:val="center"/>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9,000,787</w:t>
            </w:r>
          </w:p>
        </w:tc>
        <w:tc>
          <w:tcPr>
            <w:shd w:fill="eef3fa" w:val="clear"/>
            <w:vAlign w:val="cente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0.435727</w:t>
            </w:r>
          </w:p>
        </w:tc>
        <w:tc>
          <w:tcPr>
            <w:shd w:fill="eef3fa" w:val="clear"/>
            <w:vAlign w:val="center"/>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0.435727</w:t>
            </w:r>
          </w:p>
        </w:tc>
        <w:tc>
          <w:tcPr>
            <w:shd w:fill="eef3fa" w:val="clear"/>
            <w:vAlign w:val="center"/>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5.55e-17</w:t>
            </w:r>
          </w:p>
        </w:tc>
        <w:tc>
          <w:tcPr>
            <w:shd w:fill="eef3fa" w:val="clear"/>
            <w:vAlign w:val="cente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2.29501</w:t>
            </w:r>
          </w:p>
        </w:tc>
        <w:tc>
          <w:tcPr>
            <w:shd w:fill="eef3fa" w:val="clear"/>
            <w:vAlign w:val="cente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2.29501</w:t>
            </w:r>
          </w:p>
        </w:tc>
      </w:tr>
      <w:tr>
        <w:trPr>
          <w:cantSplit w:val="0"/>
          <w:tblHeader w:val="0"/>
        </w:trPr>
        <w:tc>
          <w:tcPr>
            <w:vAlign w:val="center"/>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0.99</w:t>
            </w:r>
          </w:p>
        </w:tc>
        <w:tc>
          <w:tcPr>
            <w:vAlign w:val="center"/>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0.9900</w:t>
            </w:r>
          </w:p>
        </w:tc>
        <w:tc>
          <w:tcPr>
            <w:vAlign w:val="cente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100,066</w:t>
            </w:r>
          </w:p>
        </w:tc>
        <w:tc>
          <w:tcPr>
            <w:vAlign w:val="center"/>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9,899,934</w:t>
            </w:r>
          </w:p>
        </w:tc>
        <w:tc>
          <w:tcPr>
            <w:vAlign w:val="center"/>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0.141114</w:t>
            </w:r>
          </w:p>
        </w:tc>
        <w:tc>
          <w:tcPr>
            <w:vAlign w:val="cente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0.141114</w:t>
            </w:r>
          </w:p>
        </w:tc>
        <w:tc>
          <w:tcPr>
            <w:vAlign w:val="center"/>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5.55e-17</w:t>
            </w:r>
          </w:p>
        </w:tc>
        <w:tc>
          <w:tcPr>
            <w:vAlign w:val="center"/>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7.08649</w:t>
            </w:r>
          </w:p>
        </w:tc>
        <w:tc>
          <w:tcPr>
            <w:vAlign w:val="center"/>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7.08649</w:t>
            </w:r>
          </w:p>
        </w:tc>
      </w:tr>
    </w:tbl>
    <w:p w:rsidR="00000000" w:rsidDel="00000000" w:rsidP="00000000" w:rsidRDefault="00000000" w:rsidRPr="00000000" w14:paraId="000000BF">
      <w:pPr>
        <w:pStyle w:val="Heading2"/>
        <w:jc w:val="both"/>
        <w:rPr>
          <w:b w:val="0"/>
          <w:bCs w:val="0"/>
        </w:rPr>
      </w:pPr>
      <w:r w:rsidDel="00000000" w:rsidR="00000000" w:rsidRPr="00000000">
        <w:rPr>
          <w:b w:val="0"/>
          <w:bCs w:val="0"/>
          <w:rtl w:val="0"/>
        </w:rPr>
        <w:t xml:space="preserve">Experiment 2 — Stream Independence</w:t>
      </w:r>
    </w:p>
    <w:p w:rsidR="00000000" w:rsidDel="00000000" w:rsidP="00000000" w:rsidRDefault="00000000" w:rsidRPr="00000000" w14:paraId="000000C0">
      <w:pPr>
        <w:jc w:val="both"/>
        <w:rPr/>
      </w:pPr>
      <w:r w:rsidDel="00000000" w:rsidR="00000000" w:rsidRPr="00000000">
        <w:rPr>
          <w:rtl w:val="0"/>
        </w:rPr>
        <w:t xml:space="preserve">Table 2 and Figure 2b demonstrate that three streams generated with different random seeds yield indistinguishable τ/τ₀ curves. The maximum inter-seed spread across all tested p-values is 0.000385, far below the F3 threshold of 0.002. This confirms that the Lorentz law is an intrinsic property of the Ze counting rule, not an artefact of a particular random seed.</w:t>
      </w:r>
    </w:p>
    <w:p w:rsidR="00000000" w:rsidDel="00000000" w:rsidP="00000000" w:rsidRDefault="00000000" w:rsidRPr="00000000" w14:paraId="000000C1">
      <w:pPr>
        <w:pStyle w:val="Heading6"/>
        <w:jc w:val="both"/>
        <w:rPr/>
      </w:pPr>
      <w:bookmarkStart w:colFirst="0" w:colLast="0" w:name="_wpre9zt6qi0h" w:id="6"/>
      <w:bookmarkEnd w:id="6"/>
      <w:r w:rsidDel="00000000" w:rsidR="00000000" w:rsidRPr="00000000">
        <w:rPr>
          <w:rtl w:val="0"/>
        </w:rPr>
        <w:t xml:space="preserve">Table 2.  Stream independence test (Experiment 2).  N = 5×10⁶.  Three independent seeds per p-value.  Spread = max − min across seeds.</w:t>
      </w:r>
    </w:p>
    <w:tbl>
      <w:tblPr>
        <w:tblStyle w:val="Table5"/>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1488"/>
        <w:gridCol w:w="1488"/>
        <w:gridCol w:w="1488"/>
        <w:gridCol w:w="1488"/>
        <w:gridCol w:w="1488"/>
        <w:tblGridChange w:id="0">
          <w:tblGrid>
            <w:gridCol w:w="1488"/>
            <w:gridCol w:w="1488"/>
            <w:gridCol w:w="1488"/>
            <w:gridCol w:w="1488"/>
            <w:gridCol w:w="1488"/>
            <w:gridCol w:w="1488"/>
          </w:tblGrid>
        </w:tblGridChange>
      </w:tblGrid>
      <w:tr>
        <w:trPr>
          <w:cantSplit w:val="0"/>
          <w:tblHeader w:val="0"/>
        </w:trPr>
        <w:tc>
          <w:tcPr>
            <w:shd w:fill="1f7a4d" w:val="clear"/>
          </w:tcPr>
          <w:p w:rsidR="00000000" w:rsidDel="00000000" w:rsidP="00000000" w:rsidRDefault="00000000" w:rsidRPr="00000000" w14:paraId="000000C2">
            <w:pPr>
              <w:jc w:val="both"/>
              <w:rPr>
                <w:b w:val="1"/>
                <w:bCs w:val="1"/>
                <w:color w:val="ffffff"/>
                <w:sz w:val="18"/>
                <w:szCs w:val="18"/>
              </w:rPr>
            </w:pPr>
            <w:r w:rsidDel="00000000" w:rsidR="00000000" w:rsidRPr="00000000">
              <w:rPr>
                <w:b w:val="1"/>
                <w:bCs w:val="1"/>
                <w:color w:val="ffffff"/>
                <w:sz w:val="18"/>
                <w:szCs w:val="18"/>
                <w:rtl w:val="0"/>
              </w:rPr>
              <w:t xml:space="preserve">p</w:t>
            </w:r>
          </w:p>
        </w:tc>
        <w:tc>
          <w:tcPr>
            <w:shd w:fill="1f7a4d" w:val="clear"/>
          </w:tcPr>
          <w:p w:rsidR="00000000" w:rsidDel="00000000" w:rsidP="00000000" w:rsidRDefault="00000000" w:rsidRPr="00000000" w14:paraId="000000C3">
            <w:pPr>
              <w:jc w:val="both"/>
              <w:rPr>
                <w:b w:val="1"/>
                <w:bCs w:val="1"/>
                <w:color w:val="ffffff"/>
                <w:sz w:val="18"/>
                <w:szCs w:val="18"/>
              </w:rPr>
            </w:pPr>
            <w:r w:rsidDel="00000000" w:rsidR="00000000" w:rsidRPr="00000000">
              <w:rPr>
                <w:b w:val="1"/>
                <w:bCs w:val="1"/>
                <w:color w:val="ffffff"/>
                <w:sz w:val="18"/>
                <w:szCs w:val="18"/>
                <w:rtl w:val="0"/>
              </w:rPr>
              <w:t xml:space="preserve">√(1−v²)</w:t>
            </w:r>
          </w:p>
        </w:tc>
        <w:tc>
          <w:tcPr>
            <w:shd w:fill="1f7a4d" w:val="clear"/>
          </w:tcPr>
          <w:p w:rsidR="00000000" w:rsidDel="00000000" w:rsidP="00000000" w:rsidRDefault="00000000" w:rsidRPr="00000000" w14:paraId="000000C4">
            <w:pPr>
              <w:jc w:val="both"/>
              <w:rPr>
                <w:b w:val="1"/>
                <w:bCs w:val="1"/>
                <w:color w:val="ffffff"/>
                <w:sz w:val="18"/>
                <w:szCs w:val="18"/>
              </w:rPr>
            </w:pPr>
            <w:r w:rsidDel="00000000" w:rsidR="00000000" w:rsidRPr="00000000">
              <w:rPr>
                <w:b w:val="1"/>
                <w:bCs w:val="1"/>
                <w:color w:val="ffffff"/>
                <w:sz w:val="18"/>
                <w:szCs w:val="18"/>
                <w:rtl w:val="0"/>
              </w:rPr>
              <w:t xml:space="preserve">Seed A (1)</w:t>
            </w:r>
          </w:p>
        </w:tc>
        <w:tc>
          <w:tcPr>
            <w:shd w:fill="1f7a4d" w:val="clear"/>
          </w:tcPr>
          <w:p w:rsidR="00000000" w:rsidDel="00000000" w:rsidP="00000000" w:rsidRDefault="00000000" w:rsidRPr="00000000" w14:paraId="000000C5">
            <w:pPr>
              <w:jc w:val="both"/>
              <w:rPr>
                <w:b w:val="1"/>
                <w:bCs w:val="1"/>
                <w:color w:val="ffffff"/>
                <w:sz w:val="18"/>
                <w:szCs w:val="18"/>
              </w:rPr>
            </w:pPr>
            <w:r w:rsidDel="00000000" w:rsidR="00000000" w:rsidRPr="00000000">
              <w:rPr>
                <w:b w:val="1"/>
                <w:bCs w:val="1"/>
                <w:color w:val="ffffff"/>
                <w:sz w:val="18"/>
                <w:szCs w:val="18"/>
                <w:rtl w:val="0"/>
              </w:rPr>
              <w:t xml:space="preserve">Seed B (99)</w:t>
            </w:r>
          </w:p>
        </w:tc>
        <w:tc>
          <w:tcPr>
            <w:shd w:fill="1f7a4d" w:val="clear"/>
          </w:tcPr>
          <w:p w:rsidR="00000000" w:rsidDel="00000000" w:rsidP="00000000" w:rsidRDefault="00000000" w:rsidRPr="00000000" w14:paraId="000000C6">
            <w:pPr>
              <w:jc w:val="both"/>
              <w:rPr>
                <w:b w:val="1"/>
                <w:bCs w:val="1"/>
                <w:color w:val="ffffff"/>
                <w:sz w:val="18"/>
                <w:szCs w:val="18"/>
              </w:rPr>
            </w:pPr>
            <w:r w:rsidDel="00000000" w:rsidR="00000000" w:rsidRPr="00000000">
              <w:rPr>
                <w:b w:val="1"/>
                <w:bCs w:val="1"/>
                <w:color w:val="ffffff"/>
                <w:sz w:val="18"/>
                <w:szCs w:val="18"/>
                <w:rtl w:val="0"/>
              </w:rPr>
              <w:t xml:space="preserve">Seed C (777)</w:t>
            </w:r>
          </w:p>
        </w:tc>
        <w:tc>
          <w:tcPr>
            <w:shd w:fill="1f7a4d" w:val="clear"/>
          </w:tcPr>
          <w:p w:rsidR="00000000" w:rsidDel="00000000" w:rsidP="00000000" w:rsidRDefault="00000000" w:rsidRPr="00000000" w14:paraId="000000C7">
            <w:pPr>
              <w:jc w:val="both"/>
              <w:rPr>
                <w:b w:val="1"/>
                <w:bCs w:val="1"/>
                <w:color w:val="ffffff"/>
                <w:sz w:val="18"/>
                <w:szCs w:val="18"/>
              </w:rPr>
            </w:pPr>
            <w:r w:rsidDel="00000000" w:rsidR="00000000" w:rsidRPr="00000000">
              <w:rPr>
                <w:b w:val="1"/>
                <w:bCs w:val="1"/>
                <w:color w:val="ffffff"/>
                <w:sz w:val="18"/>
                <w:szCs w:val="18"/>
                <w:rtl w:val="0"/>
              </w:rPr>
              <w:t xml:space="preserve">Spread</w:t>
            </w:r>
          </w:p>
        </w:tc>
      </w:tr>
      <w:tr>
        <w:trPr>
          <w:cantSplit w:val="0"/>
          <w:tblHeader w:val="0"/>
        </w:trPr>
        <w:tc>
          <w:tcPr>
            <w:vAlign w:val="cente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0.10</w:t>
            </w:r>
          </w:p>
        </w:tc>
        <w:tc>
          <w:tcPr>
            <w:vAlign w:val="cente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0.994987</w:t>
            </w:r>
          </w:p>
        </w:tc>
        <w:tc>
          <w:tcPr>
            <w:vAlign w:val="center"/>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0.994970</w:t>
            </w:r>
          </w:p>
        </w:tc>
        <w:tc>
          <w:tcPr>
            <w:vAlign w:val="center"/>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0.995011</w:t>
            </w:r>
          </w:p>
        </w:tc>
        <w:tc>
          <w:tcPr>
            <w:vAlign w:val="center"/>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0.994987</w:t>
            </w:r>
          </w:p>
        </w:tc>
        <w:tc>
          <w:tcPr>
            <w:vAlign w:val="center"/>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0.000041</w:t>
            </w:r>
          </w:p>
        </w:tc>
      </w:tr>
      <w:tr>
        <w:trPr>
          <w:cantSplit w:val="0"/>
          <w:tblHeader w:val="0"/>
        </w:trPr>
        <w:tc>
          <w:tcPr>
            <w:shd w:fill="eef3fa" w:val="clear"/>
            <w:vAlign w:val="center"/>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0.20</w:t>
            </w:r>
          </w:p>
        </w:tc>
        <w:tc>
          <w:tcPr>
            <w:shd w:fill="eef3fa" w:val="clear"/>
            <w:vAlign w:val="center"/>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0.979769</w:t>
            </w:r>
          </w:p>
        </w:tc>
        <w:tc>
          <w:tcPr>
            <w:shd w:fill="eef3fa" w:val="clear"/>
            <w:vAlign w:val="center"/>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0.979835</w:t>
            </w:r>
          </w:p>
        </w:tc>
        <w:tc>
          <w:tcPr>
            <w:shd w:fill="eef3fa" w:val="clear"/>
            <w:vAlign w:val="center"/>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0.979792</w:t>
            </w:r>
          </w:p>
        </w:tc>
        <w:tc>
          <w:tcPr>
            <w:shd w:fill="eef3fa" w:val="clear"/>
            <w:vAlign w:val="center"/>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0.979769</w:t>
            </w:r>
          </w:p>
        </w:tc>
        <w:tc>
          <w:tcPr>
            <w:shd w:fill="eef3fa" w:val="clear"/>
            <w:vAlign w:val="center"/>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0.000066</w:t>
            </w:r>
          </w:p>
        </w:tc>
      </w:tr>
      <w:tr>
        <w:trPr>
          <w:cantSplit w:val="0"/>
          <w:tblHeader w:val="0"/>
        </w:trPr>
        <w:tc>
          <w:tcPr>
            <w:vAlign w:val="center"/>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0.30</w:t>
            </w:r>
          </w:p>
        </w:tc>
        <w:tc>
          <w:tcPr>
            <w:vAlign w:val="center"/>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0.953773</w:t>
            </w:r>
          </w:p>
        </w:tc>
        <w:tc>
          <w:tcPr>
            <w:vAlign w:val="center"/>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0.953946</w:t>
            </w:r>
          </w:p>
        </w:tc>
        <w:tc>
          <w:tcPr>
            <w:vAlign w:val="center"/>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0.953844</w:t>
            </w:r>
          </w:p>
        </w:tc>
        <w:tc>
          <w:tcPr>
            <w:vAlign w:val="center"/>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0.953773</w:t>
            </w:r>
          </w:p>
        </w:tc>
        <w:tc>
          <w:tcPr>
            <w:vAlign w:val="center"/>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0.000173</w:t>
            </w:r>
          </w:p>
        </w:tc>
      </w:tr>
      <w:tr>
        <w:trPr>
          <w:cantSplit w:val="0"/>
          <w:tblHeader w:val="0"/>
        </w:trPr>
        <w:tc>
          <w:tcPr>
            <w:shd w:fill="eef3fa" w:val="clear"/>
            <w:vAlign w:val="center"/>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0.40</w:t>
            </w:r>
          </w:p>
        </w:tc>
        <w:tc>
          <w:tcPr>
            <w:shd w:fill="eef3fa" w:val="clear"/>
            <w:vAlign w:val="center"/>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0.916434</w:t>
            </w:r>
          </w:p>
        </w:tc>
        <w:tc>
          <w:tcPr>
            <w:shd w:fill="eef3fa" w:val="clear"/>
            <w:vAlign w:val="center"/>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0.916471</w:t>
            </w:r>
          </w:p>
        </w:tc>
        <w:tc>
          <w:tcPr>
            <w:shd w:fill="eef3fa" w:val="clear"/>
            <w:vAlign w:val="center"/>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0.916731</w:t>
            </w:r>
          </w:p>
        </w:tc>
        <w:tc>
          <w:tcPr>
            <w:shd w:fill="eef3fa" w:val="clear"/>
            <w:vAlign w:val="center"/>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0.916434</w:t>
            </w:r>
          </w:p>
        </w:tc>
        <w:tc>
          <w:tcPr>
            <w:shd w:fill="eef3fa" w:val="clear"/>
            <w:vAlign w:val="center"/>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0.000297</w:t>
            </w:r>
          </w:p>
        </w:tc>
      </w:tr>
      <w:tr>
        <w:trPr>
          <w:cantSplit w:val="0"/>
          <w:tblHeader w:val="0"/>
        </w:trPr>
        <w:tc>
          <w:tcPr>
            <w:vAlign w:val="center"/>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0.50</w:t>
            </w:r>
          </w:p>
        </w:tc>
        <w:tc>
          <w:tcPr>
            <w:vAlign w:val="center"/>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0.865989</w:t>
            </w:r>
          </w:p>
        </w:tc>
        <w:tc>
          <w:tcPr>
            <w:vAlign w:val="center"/>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0.866080</w:t>
            </w:r>
          </w:p>
        </w:tc>
        <w:tc>
          <w:tcPr>
            <w:vAlign w:val="center"/>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0.866088</w:t>
            </w:r>
          </w:p>
        </w:tc>
        <w:tc>
          <w:tcPr>
            <w:vAlign w:val="center"/>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0.865989</w:t>
            </w:r>
          </w:p>
        </w:tc>
        <w:tc>
          <w:tcPr>
            <w:vAlign w:val="center"/>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0.000098</w:t>
            </w:r>
          </w:p>
        </w:tc>
      </w:tr>
      <w:tr>
        <w:trPr>
          <w:cantSplit w:val="0"/>
          <w:tblHeader w:val="0"/>
        </w:trPr>
        <w:tc>
          <w:tcPr>
            <w:shd w:fill="eef3fa" w:val="clear"/>
            <w:vAlign w:val="center"/>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0.60</w:t>
            </w:r>
          </w:p>
        </w:tc>
        <w:tc>
          <w:tcPr>
            <w:shd w:fill="eef3fa" w:val="clear"/>
            <w:vAlign w:val="center"/>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0.799698</w:t>
            </w:r>
          </w:p>
        </w:tc>
        <w:tc>
          <w:tcPr>
            <w:shd w:fill="eef3fa" w:val="clear"/>
            <w:vAlign w:val="center"/>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0.800083</w:t>
            </w:r>
          </w:p>
        </w:tc>
        <w:tc>
          <w:tcPr>
            <w:shd w:fill="eef3fa" w:val="clear"/>
            <w:vAlign w:val="center"/>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0.799800</w:t>
            </w:r>
          </w:p>
        </w:tc>
        <w:tc>
          <w:tcPr>
            <w:shd w:fill="eef3fa" w:val="clear"/>
            <w:vAlign w:val="center"/>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0.799698</w:t>
            </w:r>
          </w:p>
        </w:tc>
        <w:tc>
          <w:tcPr>
            <w:shd w:fill="eef3fa" w:val="clear"/>
            <w:vAlign w:val="center"/>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0.000385</w:t>
            </w:r>
          </w:p>
        </w:tc>
      </w:tr>
      <w:tr>
        <w:trPr>
          <w:cantSplit w:val="0"/>
          <w:tblHeader w:val="0"/>
        </w:trPr>
        <w:tc>
          <w:tcPr>
            <w:vAlign w:val="center"/>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0.70</w:t>
            </w:r>
          </w:p>
        </w:tc>
        <w:tc>
          <w:tcPr>
            <w:vAlign w:val="center"/>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0.714225</w:t>
            </w:r>
          </w:p>
        </w:tc>
        <w:tc>
          <w:tcPr>
            <w:vAlign w:val="center"/>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0.714215</w:t>
            </w:r>
          </w:p>
        </w:tc>
        <w:tc>
          <w:tcPr>
            <w:vAlign w:val="center"/>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0.714363</w:t>
            </w:r>
          </w:p>
        </w:tc>
        <w:tc>
          <w:tcPr>
            <w:vAlign w:val="center"/>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0.714225</w:t>
            </w:r>
          </w:p>
        </w:tc>
        <w:tc>
          <w:tcPr>
            <w:vAlign w:val="center"/>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0.000148</w:t>
            </w:r>
          </w:p>
        </w:tc>
      </w:tr>
      <w:tr>
        <w:trPr>
          <w:cantSplit w:val="0"/>
          <w:tblHeader w:val="0"/>
        </w:trPr>
        <w:tc>
          <w:tcPr>
            <w:shd w:fill="eef3fa" w:val="clear"/>
            <w:vAlign w:val="center"/>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0.80</w:t>
            </w:r>
          </w:p>
        </w:tc>
        <w:tc>
          <w:tcPr>
            <w:shd w:fill="eef3fa" w:val="clear"/>
            <w:vAlign w:val="center"/>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0.599972</w:t>
            </w:r>
          </w:p>
        </w:tc>
        <w:tc>
          <w:tcPr>
            <w:shd w:fill="eef3fa" w:val="clear"/>
            <w:vAlign w:val="center"/>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0.599844</w:t>
            </w:r>
          </w:p>
        </w:tc>
        <w:tc>
          <w:tcPr>
            <w:shd w:fill="eef3fa" w:val="clear"/>
            <w:vAlign w:val="center"/>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0.599742</w:t>
            </w:r>
          </w:p>
        </w:tc>
        <w:tc>
          <w:tcPr>
            <w:shd w:fill="eef3fa" w:val="clear"/>
            <w:vAlign w:val="center"/>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0.599972</w:t>
            </w:r>
          </w:p>
        </w:tc>
        <w:tc>
          <w:tcPr>
            <w:shd w:fill="eef3fa" w:val="clear"/>
            <w:vAlign w:val="center"/>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0.000230</w:t>
            </w:r>
          </w:p>
        </w:tc>
      </w:tr>
      <w:tr>
        <w:trPr>
          <w:cantSplit w:val="0"/>
          <w:tblHeader w:val="0"/>
        </w:trPr>
        <w:tc>
          <w:tcPr>
            <w:vAlign w:val="center"/>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0.90</w:t>
            </w:r>
          </w:p>
        </w:tc>
        <w:tc>
          <w:tcPr>
            <w:vAlign w:val="center"/>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0.436201</w:t>
            </w:r>
          </w:p>
        </w:tc>
        <w:tc>
          <w:tcPr>
            <w:vAlign w:val="center"/>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0.435877</w:t>
            </w:r>
          </w:p>
        </w:tc>
        <w:tc>
          <w:tcPr>
            <w:vAlign w:val="center"/>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0.435879</w:t>
            </w:r>
          </w:p>
        </w:tc>
        <w:tc>
          <w:tcPr>
            <w:vAlign w:val="center"/>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0.436201</w:t>
            </w:r>
          </w:p>
        </w:tc>
        <w:tc>
          <w:tcPr>
            <w:vAlign w:val="center"/>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0.000324</w:t>
            </w:r>
          </w:p>
        </w:tc>
      </w:tr>
    </w:tbl>
    <w:p w:rsidR="00000000" w:rsidDel="00000000" w:rsidP="00000000" w:rsidRDefault="00000000" w:rsidRPr="00000000" w14:paraId="000000FE">
      <w:pPr>
        <w:pStyle w:val="Heading2"/>
        <w:jc w:val="both"/>
        <w:rPr>
          <w:b w:val="0"/>
          <w:bCs w:val="0"/>
        </w:rPr>
      </w:pPr>
      <w:r w:rsidDel="00000000" w:rsidR="00000000" w:rsidRPr="00000000">
        <w:rPr>
          <w:b w:val="0"/>
          <w:bCs w:val="0"/>
          <w:rtl w:val="0"/>
        </w:rPr>
        <w:t xml:space="preserve">Experiment 3 — Lorentz Factor γ</w:t>
      </w:r>
    </w:p>
    <w:p w:rsidR="00000000" w:rsidDel="00000000" w:rsidP="00000000" w:rsidRDefault="00000000" w:rsidRPr="00000000" w14:paraId="000000FF">
      <w:pPr>
        <w:jc w:val="both"/>
        <w:rPr/>
      </w:pPr>
      <w:r w:rsidDel="00000000" w:rsidR="00000000" w:rsidRPr="00000000">
        <w:rPr>
          <w:rtl w:val="0"/>
        </w:rPr>
        <w:t xml:space="preserve">Table 3 presents the observed Lorentz factor γ = T/τ alongside the SR prediction 1/√(1−v²). Figure 2a shows agreement across the full velocity range. The maximum absolute deviation is 1.33e-15, satisfying criterion F4 with a margin of three orders of magnitude.</w:t>
      </w:r>
    </w:p>
    <w:p w:rsidR="00000000" w:rsidDel="00000000" w:rsidP="00000000" w:rsidRDefault="00000000" w:rsidRPr="00000000" w14:paraId="00000100">
      <w:pPr>
        <w:pStyle w:val="Heading6"/>
        <w:jc w:val="both"/>
        <w:rPr/>
      </w:pPr>
      <w:bookmarkStart w:colFirst="0" w:colLast="0" w:name="_1bbqj7l85hm6" w:id="7"/>
      <w:bookmarkEnd w:id="7"/>
      <w:r w:rsidDel="00000000" w:rsidR="00000000" w:rsidRPr="00000000">
        <w:rPr>
          <w:rtl w:val="0"/>
        </w:rPr>
        <w:t xml:space="preserve">Table 3.  Lorentz factor γ from Ze counters versus SR prediction.  N = 10⁷.  |Δγ| = |γ_Ze − γ_SR|.</w:t>
      </w:r>
    </w:p>
    <w:tbl>
      <w:tblPr>
        <w:tblStyle w:val="Table6"/>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1786"/>
        <w:gridCol w:w="1786"/>
        <w:gridCol w:w="1786"/>
        <w:gridCol w:w="1786"/>
        <w:tblGridChange w:id="0">
          <w:tblGrid>
            <w:gridCol w:w="1786"/>
            <w:gridCol w:w="1786"/>
            <w:gridCol w:w="1786"/>
            <w:gridCol w:w="1786"/>
            <w:gridCol w:w="1786"/>
          </w:tblGrid>
        </w:tblGridChange>
      </w:tblGrid>
      <w:tr>
        <w:trPr>
          <w:cantSplit w:val="0"/>
          <w:tblHeader w:val="0"/>
        </w:trPr>
        <w:tc>
          <w:tcPr>
            <w:shd w:fill="7b2d8b" w:val="clear"/>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p</w:t>
            </w:r>
          </w:p>
        </w:tc>
        <w:tc>
          <w:tcPr>
            <w:shd w:fill="7b2d8b" w:val="clear"/>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v</w:t>
            </w:r>
          </w:p>
        </w:tc>
        <w:tc>
          <w:tcPr>
            <w:shd w:fill="7b2d8b" w:val="clear"/>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γ Ze = T/τ</w:t>
            </w:r>
          </w:p>
        </w:tc>
        <w:tc>
          <w:tcPr>
            <w:shd w:fill="7b2d8b" w:val="clear"/>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γ SR = 1/√(1−v²)</w:t>
            </w:r>
          </w:p>
        </w:tc>
        <w:tc>
          <w:tcPr>
            <w:shd w:fill="7b2d8b" w:val="clear"/>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|Δγ|</w:t>
            </w:r>
          </w:p>
        </w:tc>
      </w:tr>
      <w:tr>
        <w:trPr>
          <w:cantSplit w:val="0"/>
          <w:tblHeader w:val="0"/>
        </w:trPr>
        <w:tc>
          <w:tcPr>
            <w:vAlign w:val="center"/>
          </w:tcPr>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0.00</w:t>
            </w:r>
          </w:p>
        </w:tc>
        <w:tc>
          <w:tcPr>
            <w:vAlign w:val="center"/>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0.0000</w:t>
            </w:r>
          </w:p>
        </w:tc>
        <w:tc>
          <w:tcPr>
            <w:vAlign w:val="center"/>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09">
            <w:pPr>
              <w:jc w:val="both"/>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0.10</w:t>
            </w:r>
          </w:p>
        </w:tc>
        <w:tc>
          <w:tcPr>
            <w:shd w:fill="eef3fa" w:val="clear"/>
            <w:vAlign w:val="center"/>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0.0999</w:t>
            </w:r>
          </w:p>
        </w:tc>
        <w:tc>
          <w:tcPr>
            <w:shd w:fill="eef3fa" w:val="clear"/>
            <w:vAlign w:val="center"/>
          </w:tcPr>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1.005030</w:t>
            </w:r>
          </w:p>
        </w:tc>
        <w:tc>
          <w:tcPr>
            <w:shd w:fill="eef3fa" w:val="clear"/>
            <w:vAlign w:val="center"/>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1.005030</w:t>
            </w:r>
          </w:p>
        </w:tc>
        <w:tc>
          <w:tcPr>
            <w:shd w:fill="eef3fa" w:val="clear"/>
            <w:vAlign w:val="center"/>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2.22e-16</w:t>
            </w:r>
          </w:p>
        </w:tc>
      </w:tr>
      <w:tr>
        <w:trPr>
          <w:cantSplit w:val="0"/>
          <w:tblHeader w:val="0"/>
        </w:trPr>
        <w:tc>
          <w:tcPr>
            <w:vAlign w:val="center"/>
          </w:tcPr>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0.20</w:t>
            </w:r>
          </w:p>
        </w:tc>
        <w:tc>
          <w:tcPr>
            <w:vAlign w:val="center"/>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0.2000</w:t>
            </w:r>
          </w:p>
        </w:tc>
        <w:tc>
          <w:tcPr>
            <w:vAlign w:val="center"/>
          </w:tcPr>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1.020628</w:t>
            </w:r>
          </w:p>
        </w:tc>
        <w:tc>
          <w:tcPr>
            <w:vAlign w:val="center"/>
          </w:tcPr>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1.020628</w:t>
            </w:r>
          </w:p>
        </w:tc>
        <w:tc>
          <w:tcPr>
            <w:vAlign w:val="center"/>
          </w:tcPr>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0.30</w:t>
            </w:r>
          </w:p>
        </w:tc>
        <w:tc>
          <w:tcPr>
            <w:shd w:fill="eef3fa" w:val="clear"/>
            <w:vAlign w:val="center"/>
          </w:tcPr>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0.3000</w:t>
            </w:r>
          </w:p>
        </w:tc>
        <w:tc>
          <w:tcPr>
            <w:shd w:fill="eef3fa" w:val="clear"/>
            <w:vAlign w:val="center"/>
          </w:tcPr>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1.048270</w:t>
            </w:r>
          </w:p>
        </w:tc>
        <w:tc>
          <w:tcPr>
            <w:shd w:fill="eef3fa" w:val="clear"/>
            <w:vAlign w:val="center"/>
          </w:tcPr>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1.048270</w:t>
            </w:r>
          </w:p>
        </w:tc>
        <w:tc>
          <w:tcPr>
            <w:shd w:fill="eef3fa" w:val="clear"/>
            <w:vAlign w:val="center"/>
          </w:tcPr>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0.40</w:t>
            </w:r>
          </w:p>
        </w:tc>
        <w:tc>
          <w:tcPr>
            <w:vAlign w:val="center"/>
          </w:tcPr>
          <w:p w:rsidR="00000000" w:rsidDel="00000000" w:rsidP="00000000" w:rsidRDefault="00000000" w:rsidRPr="00000000" w14:paraId="0000011B">
            <w:pPr>
              <w:jc w:val="both"/>
              <w:rPr>
                <w:sz w:val="18"/>
                <w:szCs w:val="18"/>
              </w:rPr>
            </w:pPr>
            <w:r w:rsidDel="00000000" w:rsidR="00000000" w:rsidRPr="00000000">
              <w:rPr>
                <w:sz w:val="18"/>
                <w:szCs w:val="18"/>
                <w:rtl w:val="0"/>
              </w:rPr>
              <w:t xml:space="preserve">0.4001</w:t>
            </w:r>
          </w:p>
        </w:tc>
        <w:tc>
          <w:tcPr>
            <w:vAlign w:val="center"/>
          </w:tcPr>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1.091117</w:t>
            </w:r>
          </w:p>
        </w:tc>
        <w:tc>
          <w:tcPr>
            <w:vAlign w:val="center"/>
          </w:tcPr>
          <w:p w:rsidR="00000000" w:rsidDel="00000000" w:rsidP="00000000" w:rsidRDefault="00000000" w:rsidRPr="00000000" w14:paraId="0000011D">
            <w:pPr>
              <w:jc w:val="both"/>
              <w:rPr>
                <w:sz w:val="18"/>
                <w:szCs w:val="18"/>
              </w:rPr>
            </w:pPr>
            <w:r w:rsidDel="00000000" w:rsidR="00000000" w:rsidRPr="00000000">
              <w:rPr>
                <w:sz w:val="18"/>
                <w:szCs w:val="18"/>
                <w:rtl w:val="0"/>
              </w:rPr>
              <w:t xml:space="preserve">1.091117</w:t>
            </w:r>
          </w:p>
        </w:tc>
        <w:tc>
          <w:tcPr>
            <w:vAlign w:val="center"/>
          </w:tcPr>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2.22e-16</w:t>
            </w:r>
          </w:p>
        </w:tc>
      </w:tr>
      <w:tr>
        <w:trPr>
          <w:cantSplit w:val="0"/>
          <w:tblHeader w:val="0"/>
        </w:trPr>
        <w:tc>
          <w:tcPr>
            <w:shd w:fill="eef3fa" w:val="clear"/>
            <w:vAlign w:val="center"/>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0.50</w:t>
            </w:r>
          </w:p>
        </w:tc>
        <w:tc>
          <w:tcPr>
            <w:shd w:fill="eef3fa" w:val="clear"/>
            <w:vAlign w:val="center"/>
          </w:tcPr>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0.5000</w:t>
            </w:r>
          </w:p>
        </w:tc>
        <w:tc>
          <w:tcPr>
            <w:shd w:fill="eef3fa" w:val="clear"/>
            <w:vAlign w:val="center"/>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1.154663</w:t>
            </w:r>
          </w:p>
        </w:tc>
        <w:tc>
          <w:tcPr>
            <w:shd w:fill="eef3fa" w:val="clear"/>
            <w:vAlign w:val="center"/>
          </w:tcPr>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1.154663</w:t>
            </w:r>
          </w:p>
        </w:tc>
        <w:tc>
          <w:tcPr>
            <w:shd w:fill="eef3fa" w:val="clear"/>
            <w:vAlign w:val="center"/>
          </w:tcPr>
          <w:p w:rsidR="00000000" w:rsidDel="00000000" w:rsidP="00000000" w:rsidRDefault="00000000" w:rsidRPr="00000000" w14:paraId="00000123">
            <w:pPr>
              <w:jc w:val="both"/>
              <w:rPr>
                <w:sz w:val="18"/>
                <w:szCs w:val="18"/>
              </w:rPr>
            </w:pPr>
            <w:r w:rsidDel="00000000" w:rsidR="00000000" w:rsidRPr="00000000">
              <w:rPr>
                <w:sz w:val="18"/>
                <w:szCs w:val="18"/>
                <w:rtl w:val="0"/>
              </w:rPr>
              <w:t xml:space="preserve">2.22e-16</w:t>
            </w:r>
          </w:p>
        </w:tc>
      </w:tr>
      <w:tr>
        <w:trPr>
          <w:cantSplit w:val="0"/>
          <w:tblHeader w:val="0"/>
        </w:trPr>
        <w:tc>
          <w:tcPr>
            <w:vAlign w:val="center"/>
          </w:tcPr>
          <w:p w:rsidR="00000000" w:rsidDel="00000000" w:rsidP="00000000" w:rsidRDefault="00000000" w:rsidRPr="00000000" w14:paraId="00000124">
            <w:pPr>
              <w:jc w:val="both"/>
              <w:rPr>
                <w:sz w:val="18"/>
                <w:szCs w:val="18"/>
              </w:rPr>
            </w:pPr>
            <w:r w:rsidDel="00000000" w:rsidR="00000000" w:rsidRPr="00000000">
              <w:rPr>
                <w:sz w:val="18"/>
                <w:szCs w:val="18"/>
                <w:rtl w:val="0"/>
              </w:rPr>
              <w:t xml:space="preserve">0.60</w:t>
            </w:r>
          </w:p>
        </w:tc>
        <w:tc>
          <w:tcPr>
            <w:vAlign w:val="center"/>
          </w:tcPr>
          <w:p w:rsidR="00000000" w:rsidDel="00000000" w:rsidP="00000000" w:rsidRDefault="00000000" w:rsidRPr="00000000" w14:paraId="00000125">
            <w:pPr>
              <w:jc w:val="both"/>
              <w:rPr>
                <w:sz w:val="18"/>
                <w:szCs w:val="18"/>
              </w:rPr>
            </w:pPr>
            <w:r w:rsidDel="00000000" w:rsidR="00000000" w:rsidRPr="00000000">
              <w:rPr>
                <w:sz w:val="18"/>
                <w:szCs w:val="18"/>
                <w:rtl w:val="0"/>
              </w:rPr>
              <w:t xml:space="preserve">0.6000</w:t>
            </w:r>
          </w:p>
        </w:tc>
        <w:tc>
          <w:tcPr>
            <w:vAlign w:val="center"/>
          </w:tcPr>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1.250027</w:t>
            </w:r>
          </w:p>
        </w:tc>
        <w:tc>
          <w:tcPr>
            <w:vAlign w:val="center"/>
          </w:tcPr>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1.250027</w:t>
            </w:r>
          </w:p>
        </w:tc>
        <w:tc>
          <w:tcPr>
            <w:vAlign w:val="center"/>
          </w:tcPr>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0.70</w:t>
            </w:r>
          </w:p>
        </w:tc>
        <w:tc>
          <w:tcPr>
            <w:shd w:fill="eef3fa" w:val="clear"/>
            <w:vAlign w:val="center"/>
          </w:tcPr>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0.6999</w:t>
            </w:r>
          </w:p>
        </w:tc>
        <w:tc>
          <w:tcPr>
            <w:shd w:fill="eef3fa" w:val="clear"/>
            <w:vAlign w:val="center"/>
          </w:tcPr>
          <w:p w:rsidR="00000000" w:rsidDel="00000000" w:rsidP="00000000" w:rsidRDefault="00000000" w:rsidRPr="00000000" w14:paraId="0000012B">
            <w:pPr>
              <w:jc w:val="both"/>
              <w:rPr>
                <w:sz w:val="18"/>
                <w:szCs w:val="18"/>
              </w:rPr>
            </w:pPr>
            <w:r w:rsidDel="00000000" w:rsidR="00000000" w:rsidRPr="00000000">
              <w:rPr>
                <w:sz w:val="18"/>
                <w:szCs w:val="18"/>
                <w:rtl w:val="0"/>
              </w:rPr>
              <w:t xml:space="preserve">1.400157</w:t>
            </w:r>
          </w:p>
        </w:tc>
        <w:tc>
          <w:tcPr>
            <w:shd w:fill="eef3fa" w:val="clear"/>
            <w:vAlign w:val="center"/>
          </w:tcPr>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1.400157</w:t>
            </w:r>
          </w:p>
        </w:tc>
        <w:tc>
          <w:tcPr>
            <w:shd w:fill="eef3fa" w:val="clear"/>
            <w:vAlign w:val="center"/>
          </w:tcPr>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0.80</w:t>
            </w:r>
          </w:p>
        </w:tc>
        <w:tc>
          <w:tcPr>
            <w:vAlign w:val="center"/>
          </w:tcPr>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0.7999</w:t>
            </w:r>
          </w:p>
        </w:tc>
        <w:tc>
          <w:tcPr>
            <w:vAlign w:val="center"/>
          </w:tcPr>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1.666324</w:t>
            </w:r>
          </w:p>
        </w:tc>
        <w:tc>
          <w:tcPr>
            <w:vAlign w:val="center"/>
          </w:tcPr>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1.666324</w:t>
            </w:r>
          </w:p>
        </w:tc>
        <w:tc>
          <w:tcPr>
            <w:vAlign w:val="center"/>
          </w:tcPr>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0.90</w:t>
            </w:r>
          </w:p>
        </w:tc>
        <w:tc>
          <w:tcPr>
            <w:shd w:fill="eef3fa" w:val="clear"/>
            <w:vAlign w:val="center"/>
          </w:tcPr>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0.9001</w:t>
            </w:r>
          </w:p>
        </w:tc>
        <w:tc>
          <w:tcPr>
            <w:shd w:fill="eef3fa" w:val="clear"/>
            <w:vAlign w:val="center"/>
          </w:tcPr>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2.294704</w:t>
            </w:r>
          </w:p>
        </w:tc>
        <w:tc>
          <w:tcPr>
            <w:shd w:fill="eef3fa" w:val="clear"/>
            <w:vAlign w:val="center"/>
          </w:tcPr>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2.294704</w:t>
            </w:r>
          </w:p>
        </w:tc>
        <w:tc>
          <w:tcPr>
            <w:shd w:fill="eef3fa" w:val="clear"/>
            <w:vAlign w:val="center"/>
          </w:tcPr>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4.44e-16</w:t>
            </w:r>
          </w:p>
        </w:tc>
      </w:tr>
      <w:tr>
        <w:trPr>
          <w:cantSplit w:val="0"/>
          <w:tblHeader w:val="0"/>
        </w:trPr>
        <w:tc>
          <w:tcPr>
            <w:vAlign w:val="center"/>
          </w:tcPr>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0.95</w:t>
            </w:r>
          </w:p>
        </w:tc>
        <w:tc>
          <w:tcPr>
            <w:vAlign w:val="center"/>
          </w:tcPr>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0.9500</w:t>
            </w:r>
          </w:p>
        </w:tc>
        <w:tc>
          <w:tcPr>
            <w:vAlign w:val="center"/>
          </w:tcPr>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3.203740</w:t>
            </w:r>
          </w:p>
        </w:tc>
        <w:tc>
          <w:tcPr>
            <w:vAlign w:val="center"/>
          </w:tcPr>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3.203740</w:t>
            </w:r>
          </w:p>
        </w:tc>
        <w:tc>
          <w:tcPr>
            <w:vAlign w:val="center"/>
          </w:tcPr>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1.33e-15</w:t>
            </w:r>
          </w:p>
        </w:tc>
      </w:tr>
    </w:tbl>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drawing>
          <wp:inline distB="0" distT="0" distL="114300" distR="114300">
            <wp:extent cx="5760720" cy="2363821"/>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720" cy="236382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5"/>
        <w:jc w:val="both"/>
        <w:rPr/>
      </w:pPr>
      <w:bookmarkStart w:colFirst="0" w:colLast="0" w:name="_dcplktqhkyo9" w:id="8"/>
      <w:bookmarkEnd w:id="8"/>
      <w:r w:rsidDel="00000000" w:rsidR="00000000" w:rsidRPr="00000000">
        <w:rPr>
          <w:rtl w:val="0"/>
        </w:rPr>
        <w:t xml:space="preserve">Figure 2.  Left (2a): Lorentz factor γ = T/τ from Ze counters (orange) vs. SR prediction 1/√(1−v²) (black line); residuals are at numerical precision. Right (2b): Stream independence — three independent random seeds (A, B, C) yield indistinguishable τ(v)/τ₀ curves.</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drawing>
          <wp:inline distB="0" distT="0" distL="114300" distR="114300">
            <wp:extent cx="4389120" cy="44045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9120" cy="44045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5"/>
        <w:jc w:val="both"/>
        <w:rPr/>
      </w:pPr>
      <w:bookmarkStart w:colFirst="0" w:colLast="0" w:name="_e7g0reffrub2" w:id="9"/>
      <w:bookmarkEnd w:id="9"/>
      <w:r w:rsidDel="00000000" w:rsidR="00000000" w:rsidRPr="00000000">
        <w:rPr>
          <w:rtl w:val="0"/>
        </w:rPr>
        <w:t xml:space="preserve">Figure 3.  Minkowski "worldline" diagram. Each Ze data point traces the arc τ/τ₀ = √(1−v²) in the (v, τ/τ₀) plane. Color encodes the flip probability p from 0 (dark purple) to 0.99 (yellow).</w:t>
      </w:r>
    </w:p>
    <w:p w:rsidR="00000000" w:rsidDel="00000000" w:rsidP="00000000" w:rsidRDefault="00000000" w:rsidRPr="00000000" w14:paraId="00000143">
      <w:pPr>
        <w:pStyle w:val="Heading1"/>
        <w:jc w:val="both"/>
        <w:rPr>
          <w:b w:val="0"/>
          <w:bCs w:val="0"/>
        </w:rPr>
      </w:pPr>
      <w:r w:rsidDel="00000000" w:rsidR="00000000" w:rsidRPr="00000000">
        <w:rPr>
          <w:b w:val="0"/>
          <w:bCs w:val="0"/>
          <w:rtl w:val="0"/>
        </w:rPr>
        <w:t xml:space="preserve">Falsifiability Evaluation</w:t>
      </w:r>
    </w:p>
    <w:p w:rsidR="00000000" w:rsidDel="00000000" w:rsidP="00000000" w:rsidRDefault="00000000" w:rsidRPr="00000000" w14:paraId="00000144">
      <w:pPr>
        <w:pStyle w:val="Heading6"/>
        <w:jc w:val="both"/>
        <w:rPr/>
      </w:pPr>
      <w:bookmarkStart w:colFirst="0" w:colLast="0" w:name="_rec9cbbhgx" w:id="10"/>
      <w:bookmarkEnd w:id="10"/>
      <w:r w:rsidDel="00000000" w:rsidR="00000000" w:rsidRPr="00000000">
        <w:rPr>
          <w:rtl w:val="0"/>
        </w:rPr>
        <w:t xml:space="preserve">Table 4.  Pre-specified falsifiability criteria and experimental outcomes.</w:t>
      </w:r>
    </w:p>
    <w:tbl>
      <w:tblPr>
        <w:tblStyle w:val="Table7"/>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1786"/>
        <w:gridCol w:w="1786"/>
        <w:gridCol w:w="1786"/>
        <w:gridCol w:w="1786"/>
        <w:tblGridChange w:id="0">
          <w:tblGrid>
            <w:gridCol w:w="1786"/>
            <w:gridCol w:w="1786"/>
            <w:gridCol w:w="1786"/>
            <w:gridCol w:w="1786"/>
            <w:gridCol w:w="1786"/>
          </w:tblGrid>
        </w:tblGridChange>
      </w:tblGrid>
      <w:tr>
        <w:trPr>
          <w:cantSplit w:val="0"/>
          <w:tblHeader w:val="0"/>
        </w:trPr>
        <w:tc>
          <w:tcPr>
            <w:shd w:fill="c55a11" w:val="clear"/>
          </w:tcPr>
          <w:p w:rsidR="00000000" w:rsidDel="00000000" w:rsidP="00000000" w:rsidRDefault="00000000" w:rsidRPr="00000000" w14:paraId="00000145">
            <w:pPr>
              <w:jc w:val="both"/>
              <w:rPr>
                <w:b w:val="1"/>
                <w:bCs w:val="1"/>
                <w:color w:val="ffffff"/>
                <w:sz w:val="18"/>
                <w:szCs w:val="18"/>
              </w:rPr>
            </w:pPr>
            <w:r w:rsidDel="00000000" w:rsidR="00000000" w:rsidRPr="00000000">
              <w:rPr>
                <w:b w:val="1"/>
                <w:bCs w:val="1"/>
                <w:color w:val="ffffff"/>
                <w:sz w:val="18"/>
                <w:szCs w:val="18"/>
                <w:rtl w:val="0"/>
              </w:rPr>
              <w:t xml:space="preserve">#</w:t>
            </w:r>
          </w:p>
        </w:tc>
        <w:tc>
          <w:tcPr>
            <w:shd w:fill="c55a11" w:val="clear"/>
          </w:tcPr>
          <w:p w:rsidR="00000000" w:rsidDel="00000000" w:rsidP="00000000" w:rsidRDefault="00000000" w:rsidRPr="00000000" w14:paraId="00000146">
            <w:pPr>
              <w:jc w:val="both"/>
              <w:rPr>
                <w:b w:val="1"/>
                <w:bCs w:val="1"/>
                <w:color w:val="ffffff"/>
                <w:sz w:val="18"/>
                <w:szCs w:val="18"/>
              </w:rPr>
            </w:pPr>
            <w:r w:rsidDel="00000000" w:rsidR="00000000" w:rsidRPr="00000000">
              <w:rPr>
                <w:b w:val="1"/>
                <w:bCs w:val="1"/>
                <w:color w:val="ffffff"/>
                <w:sz w:val="18"/>
                <w:szCs w:val="18"/>
                <w:rtl w:val="0"/>
              </w:rPr>
              <w:t xml:space="preserve">Criterion</w:t>
            </w:r>
          </w:p>
        </w:tc>
        <w:tc>
          <w:tcPr>
            <w:shd w:fill="c55a11" w:val="clear"/>
          </w:tcPr>
          <w:p w:rsidR="00000000" w:rsidDel="00000000" w:rsidP="00000000" w:rsidRDefault="00000000" w:rsidRPr="00000000" w14:paraId="00000147">
            <w:pPr>
              <w:jc w:val="both"/>
              <w:rPr>
                <w:b w:val="1"/>
                <w:bCs w:val="1"/>
                <w:color w:val="ffffff"/>
                <w:sz w:val="18"/>
                <w:szCs w:val="18"/>
              </w:rPr>
            </w:pPr>
            <w:r w:rsidDel="00000000" w:rsidR="00000000" w:rsidRPr="00000000">
              <w:rPr>
                <w:b w:val="1"/>
                <w:bCs w:val="1"/>
                <w:color w:val="ffffff"/>
                <w:sz w:val="18"/>
                <w:szCs w:val="18"/>
                <w:rtl w:val="0"/>
              </w:rPr>
              <w:t xml:space="preserve">Threshold</w:t>
            </w:r>
          </w:p>
        </w:tc>
        <w:tc>
          <w:tcPr>
            <w:shd w:fill="c55a11" w:val="clear"/>
          </w:tcPr>
          <w:p w:rsidR="00000000" w:rsidDel="00000000" w:rsidP="00000000" w:rsidRDefault="00000000" w:rsidRPr="00000000" w14:paraId="00000148">
            <w:pPr>
              <w:jc w:val="both"/>
              <w:rPr>
                <w:b w:val="1"/>
                <w:bCs w:val="1"/>
                <w:color w:val="ffffff"/>
                <w:sz w:val="18"/>
                <w:szCs w:val="18"/>
              </w:rPr>
            </w:pPr>
            <w:r w:rsidDel="00000000" w:rsidR="00000000" w:rsidRPr="00000000">
              <w:rPr>
                <w:b w:val="1"/>
                <w:bCs w:val="1"/>
                <w:color w:val="ffffff"/>
                <w:sz w:val="18"/>
                <w:szCs w:val="18"/>
                <w:rtl w:val="0"/>
              </w:rPr>
              <w:t xml:space="preserve">Observed</w:t>
            </w:r>
          </w:p>
        </w:tc>
        <w:tc>
          <w:tcPr>
            <w:shd w:fill="c55a11" w:val="clear"/>
          </w:tcPr>
          <w:p w:rsidR="00000000" w:rsidDel="00000000" w:rsidP="00000000" w:rsidRDefault="00000000" w:rsidRPr="00000000" w14:paraId="00000149">
            <w:pPr>
              <w:jc w:val="both"/>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vAlign w:val="center"/>
          </w:tcPr>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F1</w:t>
            </w:r>
          </w:p>
        </w:tc>
        <w:tc>
          <w:tcPr>
            <w:vAlign w:val="center"/>
          </w:tcPr>
          <w:p w:rsidR="00000000" w:rsidDel="00000000" w:rsidP="00000000" w:rsidRDefault="00000000" w:rsidRPr="00000000" w14:paraId="0000014B">
            <w:pPr>
              <w:jc w:val="both"/>
              <w:rPr>
                <w:sz w:val="18"/>
                <w:szCs w:val="18"/>
              </w:rPr>
            </w:pPr>
            <w:r w:rsidDel="00000000" w:rsidR="00000000" w:rsidRPr="00000000">
              <w:rPr>
                <w:sz w:val="18"/>
                <w:szCs w:val="18"/>
                <w:rtl w:val="0"/>
              </w:rPr>
              <w:t xml:space="preserve">Monotonicity of τ(v)</w:t>
            </w:r>
          </w:p>
        </w:tc>
        <w:tc>
          <w:tcPr>
            <w:vAlign w:val="center"/>
          </w:tcPr>
          <w:p w:rsidR="00000000" w:rsidDel="00000000" w:rsidP="00000000" w:rsidRDefault="00000000" w:rsidRPr="00000000" w14:paraId="0000014C">
            <w:pPr>
              <w:jc w:val="both"/>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Strictly decreasing</w:t>
            </w:r>
          </w:p>
        </w:tc>
        <w:tc>
          <w:tcPr>
            <w:vAlign w:val="center"/>
          </w:tcPr>
          <w:p w:rsidR="00000000" w:rsidDel="00000000" w:rsidP="00000000" w:rsidRDefault="00000000" w:rsidRPr="00000000" w14:paraId="0000014E">
            <w:pPr>
              <w:jc w:val="both"/>
              <w:rPr>
                <w:sz w:val="18"/>
                <w:szCs w:val="18"/>
              </w:rPr>
            </w:pPr>
            <w:r w:rsidDel="00000000" w:rsidR="00000000" w:rsidRPr="00000000">
              <w:rPr>
                <w:sz w:val="18"/>
                <w:szCs w:val="18"/>
                <w:rtl w:val="0"/>
              </w:rPr>
              <w:t xml:space="preserve">PASS ✓</w:t>
            </w:r>
          </w:p>
        </w:tc>
      </w:tr>
      <w:tr>
        <w:trPr>
          <w:cantSplit w:val="0"/>
          <w:tblHeader w:val="0"/>
        </w:trPr>
        <w:tc>
          <w:tcPr>
            <w:shd w:fill="eef3fa" w:val="clear"/>
            <w:vAlign w:val="center"/>
          </w:tcPr>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F2</w:t>
            </w:r>
          </w:p>
        </w:tc>
        <w:tc>
          <w:tcPr>
            <w:shd w:fill="eef3fa" w:val="clear"/>
            <w:vAlign w:val="center"/>
          </w:tcPr>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Max deviation from √(1−v²)</w:t>
            </w:r>
          </w:p>
        </w:tc>
        <w:tc>
          <w:tcPr>
            <w:shd w:fill="eef3fa" w:val="clear"/>
            <w:vAlign w:val="center"/>
          </w:tcPr>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&lt; 0.005</w:t>
            </w:r>
          </w:p>
        </w:tc>
        <w:tc>
          <w:tcPr>
            <w:shd w:fill="eef3fa" w:val="clear"/>
            <w:vAlign w:val="center"/>
          </w:tcPr>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1.11e-16</w:t>
            </w:r>
          </w:p>
        </w:tc>
        <w:tc>
          <w:tcPr>
            <w:shd w:fill="eef3fa" w:val="clear"/>
            <w:vAlign w:val="center"/>
          </w:tcPr>
          <w:p w:rsidR="00000000" w:rsidDel="00000000" w:rsidP="00000000" w:rsidRDefault="00000000" w:rsidRPr="00000000" w14:paraId="00000153">
            <w:pPr>
              <w:jc w:val="both"/>
              <w:rPr>
                <w:sz w:val="18"/>
                <w:szCs w:val="18"/>
              </w:rPr>
            </w:pPr>
            <w:r w:rsidDel="00000000" w:rsidR="00000000" w:rsidRPr="00000000">
              <w:rPr>
                <w:sz w:val="18"/>
                <w:szCs w:val="18"/>
                <w:rtl w:val="0"/>
              </w:rPr>
              <w:t xml:space="preserve">PASS ✓</w:t>
            </w:r>
          </w:p>
        </w:tc>
      </w:tr>
      <w:tr>
        <w:trPr>
          <w:cantSplit w:val="0"/>
          <w:tblHeader w:val="0"/>
        </w:trPr>
        <w:tc>
          <w:tcPr>
            <w:vAlign w:val="center"/>
          </w:tcPr>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F3</w:t>
            </w:r>
          </w:p>
        </w:tc>
        <w:tc>
          <w:tcPr>
            <w:vAlign w:val="center"/>
          </w:tcPr>
          <w:p w:rsidR="00000000" w:rsidDel="00000000" w:rsidP="00000000" w:rsidRDefault="00000000" w:rsidRPr="00000000" w14:paraId="00000155">
            <w:pPr>
              <w:jc w:val="both"/>
              <w:rPr>
                <w:sz w:val="18"/>
                <w:szCs w:val="18"/>
              </w:rPr>
            </w:pPr>
            <w:r w:rsidDel="00000000" w:rsidR="00000000" w:rsidRPr="00000000">
              <w:rPr>
                <w:sz w:val="18"/>
                <w:szCs w:val="18"/>
                <w:rtl w:val="0"/>
              </w:rPr>
              <w:t xml:space="preserve">Inter-seed spread (Exp. 2)</w:t>
            </w:r>
          </w:p>
        </w:tc>
        <w:tc>
          <w:tcPr>
            <w:vAlign w:val="center"/>
          </w:tcPr>
          <w:p w:rsidR="00000000" w:rsidDel="00000000" w:rsidP="00000000" w:rsidRDefault="00000000" w:rsidRPr="00000000" w14:paraId="00000156">
            <w:pPr>
              <w:jc w:val="both"/>
              <w:rPr>
                <w:sz w:val="18"/>
                <w:szCs w:val="18"/>
              </w:rPr>
            </w:pPr>
            <w:r w:rsidDel="00000000" w:rsidR="00000000" w:rsidRPr="00000000">
              <w:rPr>
                <w:sz w:val="18"/>
                <w:szCs w:val="18"/>
                <w:rtl w:val="0"/>
              </w:rPr>
              <w:t xml:space="preserve">&lt; 0.002</w:t>
            </w:r>
          </w:p>
        </w:tc>
        <w:tc>
          <w:tcPr>
            <w:vAlign w:val="center"/>
          </w:tcPr>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0.000385</w:t>
            </w:r>
          </w:p>
        </w:tc>
        <w:tc>
          <w:tcPr>
            <w:vAlign w:val="center"/>
          </w:tcPr>
          <w:p w:rsidR="00000000" w:rsidDel="00000000" w:rsidP="00000000" w:rsidRDefault="00000000" w:rsidRPr="00000000" w14:paraId="00000158">
            <w:pPr>
              <w:jc w:val="both"/>
              <w:rPr>
                <w:sz w:val="18"/>
                <w:szCs w:val="18"/>
              </w:rPr>
            </w:pPr>
            <w:r w:rsidDel="00000000" w:rsidR="00000000" w:rsidRPr="00000000">
              <w:rPr>
                <w:sz w:val="18"/>
                <w:szCs w:val="18"/>
                <w:rtl w:val="0"/>
              </w:rPr>
              <w:t xml:space="preserve">PASS ✓</w:t>
            </w:r>
          </w:p>
        </w:tc>
      </w:tr>
      <w:tr>
        <w:trPr>
          <w:cantSplit w:val="0"/>
          <w:tblHeader w:val="0"/>
        </w:trPr>
        <w:tc>
          <w:tcPr>
            <w:shd w:fill="eef3fa" w:val="clear"/>
            <w:vAlign w:val="center"/>
          </w:tcPr>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F4</w:t>
            </w:r>
          </w:p>
        </w:tc>
        <w:tc>
          <w:tcPr>
            <w:shd w:fill="eef3fa" w:val="clear"/>
            <w:vAlign w:val="center"/>
          </w:tcPr>
          <w:p w:rsidR="00000000" w:rsidDel="00000000" w:rsidP="00000000" w:rsidRDefault="00000000" w:rsidRPr="00000000" w14:paraId="0000015A">
            <w:pPr>
              <w:jc w:val="both"/>
              <w:rPr>
                <w:sz w:val="18"/>
                <w:szCs w:val="18"/>
              </w:rPr>
            </w:pPr>
            <w:r w:rsidDel="00000000" w:rsidR="00000000" w:rsidRPr="00000000">
              <w:rPr>
                <w:sz w:val="18"/>
                <w:szCs w:val="18"/>
                <w:rtl w:val="0"/>
              </w:rPr>
              <w:t xml:space="preserve">Max |Δγ| (Exp. 3)</w:t>
            </w:r>
          </w:p>
        </w:tc>
        <w:tc>
          <w:tcPr>
            <w:shd w:fill="eef3fa" w:val="clear"/>
            <w:vAlign w:val="center"/>
          </w:tcPr>
          <w:p w:rsidR="00000000" w:rsidDel="00000000" w:rsidP="00000000" w:rsidRDefault="00000000" w:rsidRPr="00000000" w14:paraId="0000015B">
            <w:pPr>
              <w:jc w:val="both"/>
              <w:rPr>
                <w:sz w:val="18"/>
                <w:szCs w:val="18"/>
              </w:rPr>
            </w:pPr>
            <w:r w:rsidDel="00000000" w:rsidR="00000000" w:rsidRPr="00000000">
              <w:rPr>
                <w:sz w:val="18"/>
                <w:szCs w:val="18"/>
                <w:rtl w:val="0"/>
              </w:rPr>
              <w:t xml:space="preserve">&lt; 0.001</w:t>
            </w:r>
          </w:p>
        </w:tc>
        <w:tc>
          <w:tcPr>
            <w:shd w:fill="eef3fa" w:val="clear"/>
            <w:vAlign w:val="center"/>
          </w:tcPr>
          <w:p w:rsidR="00000000" w:rsidDel="00000000" w:rsidP="00000000" w:rsidRDefault="00000000" w:rsidRPr="00000000" w14:paraId="0000015C">
            <w:pPr>
              <w:jc w:val="both"/>
              <w:rPr>
                <w:sz w:val="18"/>
                <w:szCs w:val="18"/>
              </w:rPr>
            </w:pPr>
            <w:r w:rsidDel="00000000" w:rsidR="00000000" w:rsidRPr="00000000">
              <w:rPr>
                <w:sz w:val="18"/>
                <w:szCs w:val="18"/>
                <w:rtl w:val="0"/>
              </w:rPr>
              <w:t xml:space="preserve">1.33e-15</w:t>
            </w:r>
          </w:p>
        </w:tc>
        <w:tc>
          <w:tcPr>
            <w:shd w:fill="eef3fa" w:val="clear"/>
            <w:vAlign w:val="center"/>
          </w:tcPr>
          <w:p w:rsidR="00000000" w:rsidDel="00000000" w:rsidP="00000000" w:rsidRDefault="00000000" w:rsidRPr="00000000" w14:paraId="0000015D">
            <w:pPr>
              <w:jc w:val="both"/>
              <w:rPr>
                <w:sz w:val="18"/>
                <w:szCs w:val="18"/>
              </w:rPr>
            </w:pPr>
            <w:r w:rsidDel="00000000" w:rsidR="00000000" w:rsidRPr="00000000">
              <w:rPr>
                <w:sz w:val="18"/>
                <w:szCs w:val="18"/>
                <w:rtl w:val="0"/>
              </w:rPr>
              <w:t xml:space="preserve">PASS ✓</w:t>
            </w:r>
          </w:p>
        </w:tc>
      </w:tr>
    </w:tbl>
    <w:p w:rsidR="00000000" w:rsidDel="00000000" w:rsidP="00000000" w:rsidRDefault="00000000" w:rsidRPr="00000000" w14:paraId="0000015E">
      <w:pPr>
        <w:jc w:val="both"/>
        <w:rPr/>
      </w:pPr>
      <w:r w:rsidDel="00000000" w:rsidR="00000000" w:rsidRPr="00000000">
        <w:rPr>
          <w:rtl w:val="0"/>
        </w:rPr>
        <w:br w:type="textWrapping"/>
        <w:t xml:space="preserve">All four criteria are satisfied. Under the Ze falsifiability protocol, this constitutes a positive experimental result: Ze is not falsified, and the Lorentz time-dilation structure is confirmed to emerge from Ze counter dynamics.</w:t>
      </w:r>
    </w:p>
    <w:p w:rsidR="00000000" w:rsidDel="00000000" w:rsidP="00000000" w:rsidRDefault="00000000" w:rsidRPr="00000000" w14:paraId="0000015F">
      <w:pPr>
        <w:pStyle w:val="Heading1"/>
        <w:jc w:val="both"/>
        <w:rPr>
          <w:b w:val="0"/>
          <w:bCs w:val="0"/>
        </w:rPr>
      </w:pPr>
      <w:r w:rsidDel="00000000" w:rsidR="00000000" w:rsidRPr="00000000">
        <w:rPr>
          <w:b w:val="0"/>
          <w:bCs w:val="0"/>
          <w:rtl w:val="0"/>
        </w:rPr>
        <w:t xml:space="preserve">Discussion</w:t>
      </w:r>
    </w:p>
    <w:p w:rsidR="00000000" w:rsidDel="00000000" w:rsidP="00000000" w:rsidRDefault="00000000" w:rsidRPr="00000000" w14:paraId="00000160">
      <w:pPr>
        <w:pStyle w:val="Heading2"/>
        <w:jc w:val="both"/>
        <w:rPr>
          <w:b w:val="0"/>
          <w:bCs w:val="0"/>
        </w:rPr>
      </w:pPr>
      <w:r w:rsidDel="00000000" w:rsidR="00000000" w:rsidRPr="00000000">
        <w:rPr>
          <w:b w:val="0"/>
          <w:bCs w:val="0"/>
          <w:rtl w:val="0"/>
        </w:rPr>
        <w:t xml:space="preserve">Physical Interpretation</w:t>
      </w:r>
    </w:p>
    <w:p w:rsidR="00000000" w:rsidDel="00000000" w:rsidP="00000000" w:rsidRDefault="00000000" w:rsidRPr="00000000" w14:paraId="00000161">
      <w:pPr>
        <w:jc w:val="both"/>
        <w:rPr/>
      </w:pPr>
      <w:r w:rsidDel="00000000" w:rsidR="00000000" w:rsidRPr="00000000">
        <w:rPr>
          <w:rtl w:val="0"/>
        </w:rPr>
        <w:t xml:space="preserve">The Ze experiment reveals that the Lorentz time-dilation factor is not uniquely a consequence of the geometry of Minkowski spacetime. It arises whenever two conditions are met: (i) a total event count serves as coordinate time T, and (ii) proper time is defined as the Minkowski norm τ = √(T² − X²) of the (T, X) vector. The specific content of the binary stream is irrelevant; what matters solely is the ratio v = X/T, which parameterises how much of the "motion through events" is spatial rather than temporal.</w:t>
      </w:r>
    </w:p>
    <w:p w:rsidR="00000000" w:rsidDel="00000000" w:rsidP="00000000" w:rsidRDefault="00000000" w:rsidRPr="00000000" w14:paraId="00000162">
      <w:pPr>
        <w:jc w:val="both"/>
        <w:rPr/>
      </w:pPr>
      <w:r w:rsidDel="00000000" w:rsidR="00000000" w:rsidRPr="00000000">
        <w:rPr>
          <w:rtl w:val="0"/>
        </w:rPr>
        <w:t xml:space="preserve">This is consistent with the Ze Space-Time framework (Tkemaladze, 2026b), where the conserved quantity is Q = η_{μν}Ψ^μΨ^ν = −T² + X² = const. In the Ze counter experiment, Q = −N²(1 − v²) = −τ² = const × N², confirming the theoretical prediction. The Lorentz factor therefore emerges as the ratio between coordinate time and the Minkowski norm of the state vector — precisely as in the Ze Space-Time derivation.</w:t>
      </w:r>
    </w:p>
    <w:p w:rsidR="00000000" w:rsidDel="00000000" w:rsidP="00000000" w:rsidRDefault="00000000" w:rsidRPr="00000000" w14:paraId="00000163">
      <w:pPr>
        <w:pStyle w:val="Heading2"/>
        <w:jc w:val="both"/>
        <w:rPr>
          <w:b w:val="0"/>
          <w:bCs w:val="0"/>
        </w:rPr>
      </w:pPr>
      <w:r w:rsidDel="00000000" w:rsidR="00000000" w:rsidRPr="00000000">
        <w:rPr>
          <w:b w:val="0"/>
          <w:bCs w:val="0"/>
          <w:rtl w:val="0"/>
        </w:rPr>
        <w:t xml:space="preserve">Relation to Prior Work</w:t>
      </w:r>
    </w:p>
    <w:p w:rsidR="00000000" w:rsidDel="00000000" w:rsidP="00000000" w:rsidRDefault="00000000" w:rsidRPr="00000000" w14:paraId="00000164">
      <w:pPr>
        <w:jc w:val="both"/>
        <w:rPr/>
      </w:pPr>
      <w:r w:rsidDel="00000000" w:rsidR="00000000" w:rsidRPr="00000000">
        <w:rPr>
          <w:rtl w:val="0"/>
        </w:rPr>
        <w:t xml:space="preserve">Feynman's checkerboard model (Feynman &amp; Hibbs, 1965) shows that the 1+1D Dirac propagator can be expressed as a sum over zigzag paths on a discrete spacetime lattice, where corner-counts play the role of the action. The Ze counter experiment is conceptually related but distinct: it does not simulate a particle path but counts correlational modes in an abstract binary stream, with the Minkowski interval emerging directly from the counting rule.</w:t>
      </w:r>
    </w:p>
    <w:p w:rsidR="00000000" w:rsidDel="00000000" w:rsidP="00000000" w:rsidRDefault="00000000" w:rsidRPr="00000000" w14:paraId="00000165">
      <w:pPr>
        <w:jc w:val="both"/>
        <w:rPr/>
      </w:pPr>
      <w:r w:rsidDel="00000000" w:rsidR="00000000" w:rsidRPr="00000000">
        <w:rPr>
          <w:rtl w:val="0"/>
        </w:rPr>
        <w:t xml:space="preserve">This aligns with the "It from Bit" programme (Wheeler, 1990) — the idea that every physical quantity derives from binary choices — and with information-theoretic reconstructions of quantum theory (Chiribella et al., 2011) and of spacetime (Jacobson, 1995; Padmanabhan, 2010). The Ze framework adds a concrete, computationally verifiable layer to this programme: not merely a philosophical principle but a falsifiable experimental protocol with pre-specified criteria.</w:t>
      </w:r>
    </w:p>
    <w:p w:rsidR="00000000" w:rsidDel="00000000" w:rsidP="00000000" w:rsidRDefault="00000000" w:rsidRPr="00000000" w14:paraId="00000166">
      <w:pPr>
        <w:pStyle w:val="Heading2"/>
        <w:jc w:val="both"/>
        <w:rPr>
          <w:b w:val="0"/>
          <w:bCs w:val="0"/>
        </w:rPr>
      </w:pPr>
      <w:r w:rsidDel="00000000" w:rsidR="00000000" w:rsidRPr="00000000">
        <w:rPr>
          <w:b w:val="0"/>
          <w:bCs w:val="0"/>
          <w:rtl w:val="0"/>
        </w:rPr>
        <w:t xml:space="preserve">Limitations and Future Directions</w:t>
      </w:r>
    </w:p>
    <w:p w:rsidR="00000000" w:rsidDel="00000000" w:rsidP="00000000" w:rsidRDefault="00000000" w:rsidRPr="00000000" w14:paraId="00000167">
      <w:pPr>
        <w:jc w:val="both"/>
        <w:rPr/>
      </w:pPr>
      <w:r w:rsidDel="00000000" w:rsidR="00000000" w:rsidRPr="00000000">
        <w:rPr>
          <w:rtl w:val="0"/>
        </w:rPr>
        <w:t xml:space="preserve">The present experiment operates exclusively in the large-N ensemble regime. The Lorentz formula holds exactly only in this limit; finite-N fluctuations scale as O(1/√N) and are negligible for N ≥ 10⁵. The derivation is one-dimensional (one spatial axis); extension to 3+1 dimensions is straightforward by defining three independent spatial counters X^i and computing τ = √(T² − X₁² − X₂² − X₃²), which will be the subject of a subsequent paper.</w:t>
      </w:r>
    </w:p>
    <w:p w:rsidR="00000000" w:rsidDel="00000000" w:rsidP="00000000" w:rsidRDefault="00000000" w:rsidRPr="00000000" w14:paraId="00000168">
      <w:pPr>
        <w:jc w:val="both"/>
        <w:rPr/>
      </w:pPr>
      <w:r w:rsidDel="00000000" w:rsidR="00000000" w:rsidRPr="00000000">
        <w:rPr>
          <w:rtl w:val="0"/>
        </w:rPr>
        <w:t xml:space="preserve">Future work within the Ze programme will address: (i) the extension to quantum event streams (photon detection sequences), connecting the Ze experiment to the interference-control apparatus described in Tkemaladze (2026c); (ii) a 3+1D generalisation with a full Poincaré symmetry analysis; and (iii) the connection between the Ze Lorentz factor and the "predictability parameter" of the Ze interference experiment, exploring whether the same Ze counting framework unifies both special relativity and quantum complementarity under one informational roof.</w:t>
      </w:r>
    </w:p>
    <w:p w:rsidR="00000000" w:rsidDel="00000000" w:rsidP="00000000" w:rsidRDefault="00000000" w:rsidRPr="00000000" w14:paraId="00000169">
      <w:pPr>
        <w:pStyle w:val="Heading1"/>
        <w:jc w:val="both"/>
        <w:rPr>
          <w:b w:val="0"/>
          <w:bCs w:val="0"/>
        </w:rPr>
      </w:pPr>
      <w:r w:rsidDel="00000000" w:rsidR="00000000" w:rsidRPr="00000000">
        <w:rPr>
          <w:b w:val="0"/>
          <w:bCs w:val="0"/>
          <w:rtl w:val="0"/>
        </w:rPr>
        <w:t xml:space="preserve">Conclusion</w:t>
      </w:r>
    </w:p>
    <w:p w:rsidR="00000000" w:rsidDel="00000000" w:rsidP="00000000" w:rsidRDefault="00000000" w:rsidRPr="00000000" w14:paraId="0000016A">
      <w:pPr>
        <w:jc w:val="both"/>
        <w:rPr/>
      </w:pPr>
      <w:r w:rsidDel="00000000" w:rsidR="00000000" w:rsidRPr="00000000">
        <w:rPr>
          <w:rtl w:val="0"/>
        </w:rPr>
        <w:t xml:space="preserve">I</w:t>
      </w:r>
      <w:r w:rsidDel="00000000" w:rsidR="00000000" w:rsidRPr="00000000">
        <w:rPr>
          <w:rtl w:val="0"/>
        </w:rPr>
        <w:t xml:space="preserve"> have demonstrated that the Lorentz time-dilation factor √(1 − v²) emerges exactly from a minimal counter-based information-processing experiment — the Ze experiment — without assuming spacetime, a metric, or any relativistic postulate. The key step is defining proper time as the Minkowski interval τ = √(T² − X²) applied to event counters, which is motivated by and fully consistent with the Ze Space-Time theoretical framework (Tkemaladze, 2026b).</w:t>
      </w:r>
    </w:p>
    <w:p w:rsidR="00000000" w:rsidDel="00000000" w:rsidP="00000000" w:rsidRDefault="00000000" w:rsidRPr="00000000" w14:paraId="0000016B">
      <w:pPr>
        <w:jc w:val="both"/>
        <w:rPr/>
      </w:pPr>
      <w:r w:rsidDel="00000000" w:rsidR="00000000" w:rsidRPr="00000000">
        <w:rPr>
          <w:rtl w:val="0"/>
        </w:rPr>
        <w:t xml:space="preserve">All four pre-specified falsifiability criteria are satisfied with residuals at the level of numerical precision (δ &lt; 10⁻⁵, spread &lt; 10⁻³, |Δγ| &lt; 10⁻⁴). The Ze experiment thus provides experimental confirmation — within an information-theoretic, counter-based domain — of the formal structure of special-relativistic time dilation, and establishes a clear, reproducible pathway toward an informational derivation of the full geometry of Minkowski spacetime from discrete counting dynamics.</w:t>
      </w:r>
    </w:p>
    <w:p w:rsidR="00000000" w:rsidDel="00000000" w:rsidP="00000000" w:rsidRDefault="00000000" w:rsidRPr="00000000" w14:paraId="0000016C">
      <w:pPr>
        <w:pStyle w:val="Heading1"/>
        <w:jc w:val="both"/>
        <w:rPr>
          <w:b w:val="0"/>
          <w:bCs w:val="0"/>
        </w:rPr>
      </w:pPr>
      <w:r w:rsidDel="00000000" w:rsidR="00000000" w:rsidRPr="00000000">
        <w:rPr>
          <w:b w:val="0"/>
          <w:bCs w:val="0"/>
          <w:rtl w:val="0"/>
        </w:rPr>
        <w:t xml:space="preserve">References</w:t>
      </w:r>
    </w:p>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Chiribella, G., D'Ariano, G. M., &amp; Perinotti, P. (2011). Informational derivation of quantum theory. Physical Review A, 84(1), 012311. https://doi.org/10.1103/PhysRevA.84.012311</w:t>
      </w:r>
    </w:p>
    <w:p w:rsidR="00000000" w:rsidDel="00000000" w:rsidP="00000000" w:rsidRDefault="00000000" w:rsidRPr="00000000" w14:paraId="0000016E">
      <w:pPr>
        <w:jc w:val="both"/>
        <w:rPr>
          <w:sz w:val="18"/>
          <w:szCs w:val="18"/>
        </w:rPr>
      </w:pPr>
      <w:r w:rsidDel="00000000" w:rsidR="00000000" w:rsidRPr="00000000">
        <w:rPr>
          <w:sz w:val="18"/>
          <w:szCs w:val="18"/>
          <w:rtl w:val="0"/>
        </w:rPr>
        <w:t xml:space="preserve">Einstein, A. (1905). Zur Elektrodynamik bewegter Körper. Annalen der Physik, 322(10), 891–921.</w:t>
      </w:r>
    </w:p>
    <w:p w:rsidR="00000000" w:rsidDel="00000000" w:rsidP="00000000" w:rsidRDefault="00000000" w:rsidRPr="00000000" w14:paraId="0000016F">
      <w:pPr>
        <w:jc w:val="both"/>
        <w:rPr>
          <w:sz w:val="18"/>
          <w:szCs w:val="18"/>
        </w:rPr>
      </w:pPr>
      <w:r w:rsidDel="00000000" w:rsidR="00000000" w:rsidRPr="00000000">
        <w:rPr>
          <w:sz w:val="18"/>
          <w:szCs w:val="18"/>
          <w:rtl w:val="0"/>
        </w:rPr>
        <w:t xml:space="preserve">Feynman, R. P., &amp; Hibbs, A. R. (1965). Quantum Mechanics and Path Integrals. McGraw-Hill.</w:t>
      </w:r>
    </w:p>
    <w:p w:rsidR="00000000" w:rsidDel="00000000" w:rsidP="00000000" w:rsidRDefault="00000000" w:rsidRPr="00000000" w14:paraId="00000170">
      <w:pPr>
        <w:jc w:val="both"/>
        <w:rPr>
          <w:sz w:val="18"/>
          <w:szCs w:val="18"/>
        </w:rPr>
      </w:pPr>
      <w:r w:rsidDel="00000000" w:rsidR="00000000" w:rsidRPr="00000000">
        <w:rPr>
          <w:sz w:val="18"/>
          <w:szCs w:val="18"/>
          <w:rtl w:val="0"/>
        </w:rPr>
        <w:t xml:space="preserve">Hafele, J. C., &amp; Keating, R. E. (1972). Around-the-world atomic clocks: Predicted relativistic time gains. Science, 177(4044), 166–168.</w:t>
      </w:r>
    </w:p>
    <w:p w:rsidR="00000000" w:rsidDel="00000000" w:rsidP="00000000" w:rsidRDefault="00000000" w:rsidRPr="00000000" w14:paraId="00000171">
      <w:pPr>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172">
      <w:pPr>
        <w:jc w:val="both"/>
        <w:rPr>
          <w:sz w:val="18"/>
          <w:szCs w:val="18"/>
        </w:rPr>
      </w:pPr>
      <w:r w:rsidDel="00000000" w:rsidR="00000000" w:rsidRPr="00000000">
        <w:rPr>
          <w:sz w:val="18"/>
          <w:szCs w:val="18"/>
          <w:rtl w:val="0"/>
        </w:rPr>
        <w:t xml:space="preserve">Lloyd, S. (2000). Ultimate physical limits to computation. Nature, 406(6799), 1047–1054. https://doi.org/10.1038/35023282</w:t>
      </w:r>
    </w:p>
    <w:p w:rsidR="00000000" w:rsidDel="00000000" w:rsidP="00000000" w:rsidRDefault="00000000" w:rsidRPr="00000000" w14:paraId="00000173">
      <w:pPr>
        <w:jc w:val="both"/>
        <w:rPr>
          <w:sz w:val="18"/>
          <w:szCs w:val="18"/>
        </w:rPr>
      </w:pPr>
      <w:r w:rsidDel="00000000" w:rsidR="00000000" w:rsidRPr="00000000">
        <w:rPr>
          <w:sz w:val="18"/>
          <w:szCs w:val="18"/>
          <w:rtl w:val="0"/>
        </w:rPr>
        <w:t xml:space="preserve">Padmanabhan, T. (2010). Thermodynamical aspects of gravity: New insights. Reports on Progress in Physics, 73(4), 046901.</w:t>
      </w:r>
    </w:p>
    <w:p w:rsidR="00000000" w:rsidDel="00000000" w:rsidP="00000000" w:rsidRDefault="00000000" w:rsidRPr="00000000" w14:paraId="00000174">
      <w:pPr>
        <w:jc w:val="both"/>
        <w:rPr>
          <w:sz w:val="18"/>
          <w:szCs w:val="18"/>
        </w:rPr>
      </w:pPr>
      <w:r w:rsidDel="00000000" w:rsidR="00000000" w:rsidRPr="00000000">
        <w:rPr>
          <w:sz w:val="18"/>
          <w:szCs w:val="18"/>
          <w:rtl w:val="0"/>
        </w:rPr>
        <w:t xml:space="preserve">Rossi, B., &amp; Hall, D. B. (1941). Variation of the rate of decay of mesotrons with momentum. Physical Review, 59(3), 223–228.</w:t>
      </w:r>
    </w:p>
    <w:p w:rsidR="00000000" w:rsidDel="00000000" w:rsidP="00000000" w:rsidRDefault="00000000" w:rsidRPr="00000000" w14:paraId="00000175">
      <w:pPr>
        <w:jc w:val="both"/>
        <w:rPr>
          <w:sz w:val="18"/>
          <w:szCs w:val="18"/>
        </w:rPr>
      </w:pPr>
      <w:r w:rsidDel="00000000" w:rsidR="00000000" w:rsidRPr="00000000">
        <w:rPr>
          <w:sz w:val="18"/>
          <w:szCs w:val="18"/>
          <w:rtl w:val="0"/>
        </w:rPr>
        <w:t xml:space="preserve">Tkemaladze, J. (2026a). Ze System Manifesto. Longevity Horizon, 2(1). DOI: https://doi.org/10.65649/3hm9b025</w:t>
      </w:r>
    </w:p>
    <w:p w:rsidR="00000000" w:rsidDel="00000000" w:rsidP="00000000" w:rsidRDefault="00000000" w:rsidRPr="00000000" w14:paraId="00000176">
      <w:pPr>
        <w:jc w:val="both"/>
        <w:rPr>
          <w:sz w:val="18"/>
          <w:szCs w:val="18"/>
        </w:rPr>
      </w:pPr>
      <w:r w:rsidDel="00000000" w:rsidR="00000000" w:rsidRPr="00000000">
        <w:rPr>
          <w:sz w:val="18"/>
          <w:szCs w:val="18"/>
          <w:rtl w:val="0"/>
        </w:rPr>
        <w:t xml:space="preserve">Tkemaladze, J. (2026b). Space–Time from a Conserved State Vector. Longevity Horizon, 2(4). DOI: https://doi.org/10.65649/jr6h6b33</w:t>
      </w:r>
    </w:p>
    <w:p w:rsidR="00000000" w:rsidDel="00000000" w:rsidP="00000000" w:rsidRDefault="00000000" w:rsidRPr="00000000" w14:paraId="00000177">
      <w:pPr>
        <w:jc w:val="both"/>
        <w:rPr>
          <w:sz w:val="18"/>
          <w:szCs w:val="18"/>
        </w:rPr>
      </w:pPr>
      <w:r w:rsidDel="00000000" w:rsidR="00000000" w:rsidRPr="00000000">
        <w:rPr>
          <w:sz w:val="18"/>
          <w:szCs w:val="18"/>
          <w:rtl w:val="0"/>
        </w:rPr>
        <w:t xml:space="preserve">Tkemaladze, J. (2026c). Interference is Controlled by Prediction. Longevity Horizon, 2(4). DOI: https://doi.org/10.65649/pt1hx971</w:t>
      </w:r>
    </w:p>
    <w:p w:rsidR="00000000" w:rsidDel="00000000" w:rsidP="00000000" w:rsidRDefault="00000000" w:rsidRPr="00000000" w14:paraId="00000178">
      <w:pPr>
        <w:jc w:val="both"/>
        <w:rPr>
          <w:sz w:val="18"/>
          <w:szCs w:val="18"/>
        </w:rPr>
      </w:pPr>
      <w:r w:rsidDel="00000000" w:rsidR="00000000" w:rsidRPr="00000000">
        <w:rPr>
          <w:sz w:val="18"/>
          <w:szCs w:val="18"/>
          <w:rtl w:val="0"/>
        </w:rPr>
        <w:t xml:space="preserve">Wheeler, J. A. (1990). Information, physics, quantum: The search for links. In W. H. Zurek (Ed.), Complexity, Entropy, and the Physics of Information (pp. 3–28). Addison-Wesley.</w:t>
      </w:r>
    </w:p>
    <w:p w:rsidR="00000000" w:rsidDel="00000000" w:rsidP="00000000" w:rsidRDefault="00000000" w:rsidRPr="00000000" w14:paraId="00000179">
      <w:pPr>
        <w:jc w:val="both"/>
        <w:rPr>
          <w:sz w:val="18"/>
          <w:szCs w:val="18"/>
        </w:rPr>
      </w:pPr>
      <w:r w:rsidDel="00000000" w:rsidR="00000000" w:rsidRPr="00000000">
        <w:rPr>
          <w:sz w:val="18"/>
          <w:szCs w:val="18"/>
          <w:rtl w:val="0"/>
        </w:rPr>
        <w:t xml:space="preserve">Zeilinger, A. (1999). A foundational principle for quantum mechanics. Foundations of Physics, 29(4), 631–643. https://doi.org/10.1023/A:1018820410908</w:t>
      </w:r>
    </w:p>
    <w:sectPr>
      <w:headerReference r:id="rId11" w:type="default"/>
      <w:headerReference r:id="rId12" w:type="first"/>
      <w:footerReference r:id="rId13" w:type="default"/>
      <w:footerReference r:id="rId14" w:type="first"/>
      <w:pgSz w:h="15840" w:w="12240" w:orient="portrait"/>
      <w:pgMar w:bottom="1440" w:top="1440" w:left="1656" w:right="165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 Under </w:t>
    </w:r>
    <w:hyperlink r:id="rId1">
      <w:r w:rsidDel="00000000" w:rsidR="00000000" w:rsidRPr="00000000">
        <w:rPr>
          <w:rFonts w:ascii="Arial" w:cs="Arial" w:eastAsia="Arial" w:hAnsi="Arial"/>
          <w:color w:val="1155cc"/>
          <w:sz w:val="18"/>
          <w:szCs w:val="18"/>
          <w:u w:val="single"/>
          <w:rtl w:val="0"/>
        </w:rPr>
        <w:t xml:space="preserve">CC BY-NC-ND 4.0 International License</w:t>
      </w:r>
    </w:hyperlink>
    <w:r w:rsidDel="00000000" w:rsidR="00000000" w:rsidRPr="00000000">
      <w:rPr>
        <w:rFonts w:ascii="Arial" w:cs="Arial" w:eastAsia="Arial" w:hAnsi="Arial"/>
        <w:sz w:val="18"/>
        <w:szCs w:val="18"/>
        <w:rtl w:val="0"/>
      </w:rPr>
      <w:t xml:space="preserve"> | </w:t>
    </w:r>
    <w:hyperlink r:id="rId2">
      <w:r w:rsidDel="00000000" w:rsidR="00000000" w:rsidRPr="00000000">
        <w:rPr>
          <w:rFonts w:ascii="Arial" w:cs="Arial" w:eastAsia="Arial" w:hAnsi="Arial"/>
          <w:color w:val="1155cc"/>
          <w:sz w:val="18"/>
          <w:szCs w:val="18"/>
          <w:u w:val="single"/>
          <w:rtl w:val="0"/>
        </w:rPr>
        <w:t xml:space="preserve">Longevity Horizon</w:t>
      </w:r>
    </w:hyperlink>
    <w:r w:rsidDel="00000000" w:rsidR="00000000" w:rsidRPr="00000000">
      <w:rPr>
        <w:rFonts w:ascii="Arial" w:cs="Arial" w:eastAsia="Arial" w:hAnsi="Arial"/>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right"/>
      <w:rPr/>
    </w:pPr>
    <w:r w:rsidDel="00000000" w:rsidR="00000000" w:rsidRPr="00000000">
      <w:rPr>
        <w:rFonts w:ascii="Arial" w:cs="Arial" w:eastAsia="Arial" w:hAnsi="Arial"/>
        <w:sz w:val="18"/>
        <w:szCs w:val="18"/>
        <w:rtl w:val="0"/>
      </w:rPr>
      <w:t xml:space="preserve">© Under </w:t>
    </w:r>
    <w:hyperlink r:id="rId1">
      <w:r w:rsidDel="00000000" w:rsidR="00000000" w:rsidRPr="00000000">
        <w:rPr>
          <w:rFonts w:ascii="Arial" w:cs="Arial" w:eastAsia="Arial" w:hAnsi="Arial"/>
          <w:color w:val="1155cc"/>
          <w:sz w:val="18"/>
          <w:szCs w:val="18"/>
          <w:u w:val="single"/>
          <w:rtl w:val="0"/>
        </w:rPr>
        <w:t xml:space="preserve">CC BY-NC-ND 4.0 International License</w:t>
      </w:r>
    </w:hyperlink>
    <w:r w:rsidDel="00000000" w:rsidR="00000000" w:rsidRPr="00000000">
      <w:rPr>
        <w:rFonts w:ascii="Arial" w:cs="Arial" w:eastAsia="Arial" w:hAnsi="Arial"/>
        <w:sz w:val="18"/>
        <w:szCs w:val="18"/>
        <w:rtl w:val="0"/>
      </w:rPr>
      <w:t xml:space="preserve"> | </w:t>
    </w:r>
    <w:hyperlink r:id="rId2">
      <w:r w:rsidDel="00000000" w:rsidR="00000000" w:rsidRPr="00000000">
        <w:rPr>
          <w:rFonts w:ascii="Arial" w:cs="Arial" w:eastAsia="Arial" w:hAnsi="Arial"/>
          <w:color w:val="1155cc"/>
          <w:sz w:val="18"/>
          <w:szCs w:val="18"/>
          <w:u w:val="single"/>
          <w:rtl w:val="0"/>
        </w:rPr>
        <w:t xml:space="preserve">Longevity Horizon</w:t>
      </w:r>
    </w:hyperlink>
    <w:r w:rsidDel="00000000" w:rsidR="00000000" w:rsidRPr="00000000">
      <w:rPr>
        <w:rFonts w:ascii="Arial" w:cs="Arial" w:eastAsia="Arial" w:hAnsi="Arial"/>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mc:AlternateContent>
        <mc:Choice Requires="wpg">
          <w:drawing>
            <wp:inline distB="114300" distT="114300" distL="114300" distR="114300">
              <wp:extent cx="5669280" cy="1651000"/>
              <wp:effectExtent b="0" l="0" r="0" t="0"/>
              <wp:docPr id="1" name=""/>
              <a:graphic>
                <a:graphicData uri="http://schemas.microsoft.com/office/word/2010/wordprocessingGroup">
                  <wpg:wgp>
                    <wpg:cNvGrpSpPr/>
                    <wpg:grpSpPr>
                      <a:xfrm>
                        <a:off x="0" y="2591100"/>
                        <a:ext cx="5669280" cy="16510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25</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669280" cy="1651000"/>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669280" cy="16510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1p3e3b94" TargetMode="Externa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