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both"/>
        <w:rPr/>
      </w:pPr>
      <w:bookmarkStart w:colFirst="0" w:colLast="0" w:name="_yxb8gnbugrgi" w:id="0"/>
      <w:bookmarkEnd w:id="0"/>
      <w:r w:rsidDel="00000000" w:rsidR="00000000" w:rsidRPr="00000000">
        <w:rPr>
          <w:rtl w:val="0"/>
        </w:rPr>
        <w:t xml:space="preserve">Knowledge as Co-Created Reality Through Engineered Conflict</w:t>
      </w:r>
    </w:p>
    <w:p w:rsidR="00000000" w:rsidDel="00000000" w:rsidP="00000000" w:rsidRDefault="00000000" w:rsidRPr="00000000" w14:paraId="00000002">
      <w:pPr>
        <w:pStyle w:val="Subtitle"/>
        <w:spacing w:after="200" w:lineRule="auto"/>
        <w:jc w:val="both"/>
        <w:rPr/>
      </w:pPr>
      <w:bookmarkStart w:colFirst="0" w:colLast="0" w:name="_h5jq9goi739g" w:id="1"/>
      <w:bookmarkEnd w:id="1"/>
      <w:r w:rsidDel="00000000" w:rsidR="00000000" w:rsidRPr="00000000">
        <w:rPr>
          <w:rtl w:val="0"/>
        </w:rPr>
        <w:t xml:space="preserve">A framework for second-order science, where predictive models act not as mirrors but as provocations, and truth is localized in the residual error of their failure</w:t>
        <w:br w:type="textWrapping"/>
      </w: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highlight w:val="white"/>
          <w:vertAlign w:val="superscript"/>
          <w:rtl w:val="0"/>
        </w:rPr>
        <w:br w:type="textWrapping"/>
      </w: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8"/>
          <w:szCs w:val="18"/>
          <w:highlight w:val="white"/>
          <w:rtl w:val="0"/>
        </w:rPr>
        <w:t xml:space="preserve">Kutaisi International University </w:t>
      </w:r>
      <w:r w:rsidDel="00000000" w:rsidR="00000000" w:rsidRPr="00000000">
        <w:rPr>
          <w:sz w:val="18"/>
          <w:szCs w:val="18"/>
          <w:rtl w:val="0"/>
        </w:rPr>
        <w:t xml:space="preserve">, Georgia</w:t>
      </w:r>
      <w:r w:rsidDel="00000000" w:rsidR="00000000" w:rsidRPr="00000000">
        <w:rPr>
          <w:sz w:val="18"/>
          <w:szCs w:val="18"/>
          <w:highlight w:val="white"/>
          <w:rtl w:val="0"/>
        </w:rPr>
        <w:br w:type="textWrapping"/>
      </w:r>
      <w:r w:rsidDel="00000000" w:rsidR="00000000" w:rsidRPr="00000000">
        <w:rPr>
          <w:b w:val="1"/>
          <w:bCs w:val="1"/>
          <w:sz w:val="18"/>
          <w:szCs w:val="18"/>
          <w:rtl w:val="0"/>
        </w:rPr>
        <w:t xml:space="preserve">E-Mail</w:t>
      </w:r>
      <w:r w:rsidDel="00000000" w:rsidR="00000000" w:rsidRPr="00000000">
        <w:rPr>
          <w:b w:val="1"/>
          <w:bCs w:val="1"/>
          <w:sz w:val="18"/>
          <w:szCs w:val="18"/>
          <w:rtl w:val="0"/>
        </w:rPr>
        <w:t xml:space="preserve">: </w:t>
      </w:r>
      <w:r w:rsidDel="00000000" w:rsidR="00000000" w:rsidRPr="00000000">
        <w:rPr>
          <w:rFonts w:ascii="Roboto" w:cs="Roboto" w:eastAsia="Roboto" w:hAnsi="Roboto"/>
          <w:color w:val="0f1115"/>
          <w:sz w:val="18"/>
          <w:szCs w:val="18"/>
          <w:highlight w:val="white"/>
          <w:rtl w:val="0"/>
        </w:rPr>
        <w:t xml:space="preserve">djannat@gmail.com</w:t>
      </w:r>
      <w:r w:rsidDel="00000000" w:rsidR="00000000" w:rsidRPr="00000000">
        <w:rPr>
          <w:rFonts w:ascii="Roboto" w:cs="Roboto" w:eastAsia="Roboto" w:hAnsi="Roboto"/>
          <w:color w:val="0f1115"/>
          <w:sz w:val="18"/>
          <w:szCs w:val="18"/>
          <w:highlight w:val="white"/>
          <w:rtl w:val="0"/>
        </w:rPr>
        <w:t xml:space="preserve"> </w:t>
      </w:r>
      <w:r w:rsidDel="00000000" w:rsidR="00000000" w:rsidRPr="00000000">
        <w:rPr>
          <w:rtl w:val="0"/>
        </w:rPr>
      </w:r>
    </w:p>
    <w:p w:rsidR="00000000" w:rsidDel="00000000" w:rsidP="00000000" w:rsidRDefault="00000000" w:rsidRPr="00000000" w14:paraId="00000003">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spacing w:after="200" w:lineRule="auto"/>
        <w:jc w:val="both"/>
        <w:rPr/>
      </w:pPr>
      <w:bookmarkStart w:colFirst="0" w:colLast="0" w:name="_m3oqyz6vq0d5" w:id="2"/>
      <w:bookmarkEnd w:id="2"/>
      <w:r w:rsidDel="00000000" w:rsidR="00000000" w:rsidRPr="00000000">
        <w:rPr>
          <w:rtl w:val="0"/>
        </w:rPr>
        <w:t xml:space="preserve">Abstract</w:t>
      </w:r>
    </w:p>
    <w:p w:rsidR="00000000" w:rsidDel="00000000" w:rsidP="00000000" w:rsidRDefault="00000000" w:rsidRPr="00000000" w14:paraId="00000005">
      <w:pPr>
        <w:spacing w:after="200" w:lineRule="auto"/>
        <w:jc w:val="both"/>
        <w:rPr/>
      </w:pPr>
      <w:r w:rsidDel="00000000" w:rsidR="00000000" w:rsidRPr="00000000">
        <w:rPr>
          <w:rtl w:val="0"/>
        </w:rPr>
        <w:t xml:space="preserve">The classical scientific paradigm, centered on the ideal of a passive observer discovering pre-existing facts, is fundamentally challenged by insights from quantum mechanics and complex systems, where measurement is inherently interventional (Heisenberg, 1927; Barad, 2007). We propose the Ze System framework, a radical epistemological shift that redefines scientific inquiry as the active engineering of predictive conflicts to provoke latent reality into manifesting observable phenomena. The framework posits that a substantial portion of reality exists not as localized facts but as a high-entropy "wave" state of unactualized potentialities. By deploying competing, precise predictive models (e.g., </w:t>
      </w:r>
    </w:p>
    <w:p w:rsidR="00000000" w:rsidDel="00000000" w:rsidP="00000000" w:rsidRDefault="00000000" w:rsidRPr="00000000" w14:paraId="00000006">
      <w:pPr>
        <w:spacing w:after="200" w:lineRule="auto"/>
        <w:jc w:val="both"/>
        <w:rPr/>
      </w:pPr>
      <w:r w:rsidDel="00000000" w:rsidR="00000000" w:rsidRPr="00000000">
        <w:rPr>
          <w:rtl w:val="0"/>
        </w:rPr>
        <w:t xml:space="preserve">P</w:t>
      </w:r>
      <w:r w:rsidDel="00000000" w:rsidR="00000000" w:rsidRPr="00000000">
        <w:rPr>
          <w:vertAlign w:val="subscript"/>
          <w:rtl w:val="0"/>
        </w:rPr>
        <w:t xml:space="preserve">1</w:t>
      </w:r>
      <w:r w:rsidDel="00000000" w:rsidR="00000000" w:rsidRPr="00000000">
        <w:rPr>
          <w:rtl w:val="0"/>
        </w:rPr>
        <w:t xml:space="preserve"> and P</w:t>
      </w:r>
      <w:r w:rsidDel="00000000" w:rsidR="00000000" w:rsidRPr="00000000">
        <w:rPr>
          <w:vertAlign w:val="subscript"/>
          <w:rtl w:val="0"/>
        </w:rPr>
        <w:t xml:space="preserve">2 </w:t>
      </w:r>
      <w:r w:rsidDel="00000000" w:rsidR="00000000" w:rsidRPr="00000000">
        <w:rPr>
          <w:rtl w:val="0"/>
        </w:rPr>
        <w:t xml:space="preserve">and applying a minimal, targeted intervention—the Ze probe (π)—this methodology forces a system into a crisis of choice. This forced localization is an entropic transaction: it expends energy, increases disorder, and irrevocably annihilates alternative potentials. Crucially, truth is not found in a model's confirmation but is forged in the structured, interpretable residual error (ϵ</w:t>
      </w:r>
      <w:r w:rsidDel="00000000" w:rsidR="00000000" w:rsidRPr="00000000">
        <w:rPr>
          <w:vertAlign w:val="subscript"/>
          <w:rtl w:val="0"/>
        </w:rPr>
        <w:t xml:space="preserve">L</w:t>
      </w:r>
      <w:r w:rsidDel="00000000" w:rsidR="00000000" w:rsidRPr="00000000">
        <w:rPr>
          <w:rtl w:val="0"/>
        </w:rPr>
        <w:t xml:space="preserve">) that persists when a "greedy" model, equipped with a "cheating lever" to shape its own data, encounters an unyielding latent structure (L) (Tkemaladze, 2026). This paper details the ontological, methodological, and ethical foundations of this second-order science, framing Ze systems as entropy engines that strategically invest disorder to purchase certainty, thereby recasting the scientist's role from detached observer to accountable architect of co-created facts.</w:t>
        <w:br w:type="textWrapping"/>
        <w:br w:type="textWrapping"/>
      </w:r>
      <w:r w:rsidDel="00000000" w:rsidR="00000000" w:rsidRPr="00000000">
        <w:rPr>
          <w:b w:val="1"/>
          <w:bCs w:val="1"/>
          <w:rtl w:val="0"/>
        </w:rPr>
        <w:t xml:space="preserve">Keywords</w:t>
      </w:r>
      <w:r w:rsidDel="00000000" w:rsidR="00000000" w:rsidRPr="00000000">
        <w:rPr>
          <w:rtl w:val="0"/>
        </w:rPr>
        <w:t xml:space="preserve">: Active Measurement, Epistemological Provocation, Entropy, Latent Reality, Predictive Conflict, Ze System.</w:t>
      </w:r>
    </w:p>
    <w:p w:rsidR="00000000" w:rsidDel="00000000" w:rsidP="00000000" w:rsidRDefault="00000000" w:rsidRPr="00000000" w14:paraId="00000007">
      <w:pPr>
        <w:pStyle w:val="Heading3"/>
        <w:spacing w:after="200" w:lineRule="auto"/>
        <w:jc w:val="both"/>
        <w:rPr/>
      </w:pPr>
      <w:bookmarkStart w:colFirst="0" w:colLast="0" w:name="_jm2mulycz69p" w:id="3"/>
      <w:bookmarkEnd w:id="3"/>
      <w:r w:rsidDel="00000000" w:rsidR="00000000" w:rsidRPr="00000000">
        <w:rPr>
          <w:rtl w:val="0"/>
        </w:rPr>
        <w:t xml:space="preserve">Introduction: From Cartography to Interrogation</w:t>
      </w:r>
    </w:p>
    <w:p w:rsidR="00000000" w:rsidDel="00000000" w:rsidP="00000000" w:rsidRDefault="00000000" w:rsidRPr="00000000" w14:paraId="00000008">
      <w:pPr>
        <w:spacing w:after="200" w:lineRule="auto"/>
        <w:jc w:val="both"/>
        <w:rPr/>
      </w:pPr>
      <w:r w:rsidDel="00000000" w:rsidR="00000000" w:rsidRPr="00000000">
        <w:rPr>
          <w:rtl w:val="0"/>
        </w:rPr>
        <w:t xml:space="preserve">For centuries, the scientific method has been predicated on the model of the neutral observer mapping a stable, independent reality. This paradigm is catastrophically insufficient for probing the latent domain—the realm of potentialities, distributed correlations, and statistical shadows that precede classical manifestation (Zurek, 2003). Quantum mechanics long ago demonstrated that measurement disturbs (Heisenberg, 1927), but the Ze framework radicalizes this, asserting that measurement is a teleological disturbance, a deliberate provocation (Aharonov, Albert, &amp; Vaidman, 1988). The Ze System, therefore, engineers a new class of active instruments whose primary function is not observation but the creation of experimental dilemmas—situations of maximal predictive conflict designed to force latent structures to betray themselves by localizing from wave-like superpositions into particle-like observable states (Tekmaladze, 2026). This shift from a cartographic to an interrogative science raises a central thermodynamic question: what is the cost of forcing reality to declare its hand? We argue that Ze systems function as entropy engines, strategically generating and managing disorder to purchase localized truth.</w:t>
      </w:r>
    </w:p>
    <w:p w:rsidR="00000000" w:rsidDel="00000000" w:rsidP="00000000" w:rsidRDefault="00000000" w:rsidRPr="00000000" w14:paraId="00000009">
      <w:pPr>
        <w:pStyle w:val="Heading3"/>
        <w:spacing w:after="200" w:lineRule="auto"/>
        <w:jc w:val="both"/>
        <w:rPr/>
      </w:pPr>
      <w:bookmarkStart w:colFirst="0" w:colLast="0" w:name="_a325dmwxzjtn" w:id="4"/>
      <w:bookmarkEnd w:id="4"/>
      <w:r w:rsidDel="00000000" w:rsidR="00000000" w:rsidRPr="00000000">
        <w:rPr>
          <w:rtl w:val="0"/>
        </w:rPr>
        <w:t xml:space="preserve">Ontological Foundation: Reality as a Latent Field</w:t>
      </w:r>
    </w:p>
    <w:p w:rsidR="00000000" w:rsidDel="00000000" w:rsidP="00000000" w:rsidRDefault="00000000" w:rsidRPr="00000000" w14:paraId="0000000A">
      <w:pPr>
        <w:spacing w:after="200" w:lineRule="auto"/>
        <w:jc w:val="both"/>
        <w:rPr/>
      </w:pPr>
      <w:r w:rsidDel="00000000" w:rsidR="00000000" w:rsidRPr="00000000">
        <w:rPr>
          <w:rtl w:val="0"/>
        </w:rPr>
        <w:t xml:space="preserve">The Ze framework is grounded in a quantum-informed ontology, extending the principles of superposition and latency beyond the microscopic scale. It asserts that the classical world of localized objects is the "incidental precipitate" of a vaster latent field, formally described by wave functions (Ψ) representing superpositions of possible states until interaction forces a collapse (Schrödinger, 1926). This latency is ubiquitous: in neuroscience, a memory is a distributed synaptic potential awaiting reactivation (Josselyn &amp; Tonegawa, 2020); in biology, pre-cancerous states exist as coherent molecular fluctuations long before pathology (Hanahan &amp; Weinberg, 2011). These are not fixed things but constrained shapes within high-dimensional probability distributions. The universe, in this view, is a domain of unmanifested possibilities, and the role of the scientific instrument is to interact as an editor, applying pressure to compel a specific narrative.</w:t>
      </w:r>
    </w:p>
    <w:p w:rsidR="00000000" w:rsidDel="00000000" w:rsidP="00000000" w:rsidRDefault="00000000" w:rsidRPr="00000000" w14:paraId="0000000B">
      <w:pPr>
        <w:pStyle w:val="Heading3"/>
        <w:spacing w:after="200" w:lineRule="auto"/>
        <w:jc w:val="both"/>
        <w:rPr/>
      </w:pPr>
      <w:bookmarkStart w:colFirst="0" w:colLast="0" w:name="_gykmbhrbuk0m" w:id="5"/>
      <w:bookmarkEnd w:id="5"/>
      <w:r w:rsidDel="00000000" w:rsidR="00000000" w:rsidRPr="00000000">
        <w:rPr>
          <w:rtl w:val="0"/>
        </w:rPr>
        <w:t xml:space="preserve">Methodology: The Mechanics of Provocative Measurement</w:t>
      </w:r>
    </w:p>
    <w:p w:rsidR="00000000" w:rsidDel="00000000" w:rsidP="00000000" w:rsidRDefault="00000000" w:rsidRPr="00000000" w14:paraId="0000000C">
      <w:pPr>
        <w:spacing w:after="200" w:lineRule="auto"/>
        <w:jc w:val="both"/>
        <w:rPr/>
      </w:pPr>
      <w:r w:rsidDel="00000000" w:rsidR="00000000" w:rsidRPr="00000000">
        <w:rPr>
          <w:rtl w:val="0"/>
        </w:rPr>
        <w:t xml:space="preserve">The operational core of the Ze methodology is the engineering and resolution of predictive conflict, a process formalized in a rigorous protocol:</w:t>
      </w:r>
    </w:p>
    <w:p w:rsidR="00000000" w:rsidDel="00000000" w:rsidP="00000000" w:rsidRDefault="00000000" w:rsidRPr="00000000" w14:paraId="0000000D">
      <w:pPr>
        <w:numPr>
          <w:ilvl w:val="0"/>
          <w:numId w:val="1"/>
        </w:numPr>
        <w:spacing w:after="200" w:lineRule="auto"/>
        <w:ind w:left="720" w:hanging="360"/>
        <w:jc w:val="both"/>
      </w:pPr>
      <w:r w:rsidDel="00000000" w:rsidR="00000000" w:rsidRPr="00000000">
        <w:rPr>
          <w:b w:val="1"/>
          <w:bCs w:val="1"/>
          <w:rtl w:val="0"/>
        </w:rPr>
        <w:t xml:space="preserve">Construction of Divergent Models</w:t>
      </w:r>
      <w:r w:rsidDel="00000000" w:rsidR="00000000" w:rsidRPr="00000000">
        <w:rPr>
          <w:rtl w:val="0"/>
        </w:rPr>
        <w:t xml:space="preserve">: Two or more precise, quantitative predictive models (P</w:t>
      </w:r>
      <w:r w:rsidDel="00000000" w:rsidR="00000000" w:rsidRPr="00000000">
        <w:rPr>
          <w:vertAlign w:val="subscript"/>
          <w:rtl w:val="0"/>
        </w:rPr>
        <w:t xml:space="preserve">1</w:t>
      </w:r>
      <w:r w:rsidDel="00000000" w:rsidR="00000000" w:rsidRPr="00000000">
        <w:rPr>
          <w:rtl w:val="0"/>
        </w:rPr>
        <w:t xml:space="preserve">(π), P</w:t>
      </w:r>
      <w:r w:rsidDel="00000000" w:rsidR="00000000" w:rsidRPr="00000000">
        <w:rPr>
          <w:vertAlign w:val="subscript"/>
          <w:rtl w:val="0"/>
        </w:rPr>
        <w:t xml:space="preserve">2</w:t>
      </w:r>
      <w:r w:rsidDel="00000000" w:rsidR="00000000" w:rsidRPr="00000000">
        <w:rPr>
          <w:rtl w:val="0"/>
        </w:rPr>
        <w:t xml:space="preserve">(π)) are formulated. P</w:t>
      </w:r>
      <w:r w:rsidDel="00000000" w:rsidR="00000000" w:rsidRPr="00000000">
        <w:rPr>
          <w:vertAlign w:val="subscript"/>
          <w:rtl w:val="0"/>
        </w:rPr>
        <w:t xml:space="preserve">1</w:t>
      </w:r>
      <w:r w:rsidDel="00000000" w:rsidR="00000000" w:rsidRPr="00000000">
        <w:rPr>
          <w:rtl w:val="0"/>
        </w:rPr>
        <w:t xml:space="preserve"> represents the null expectation based on the standard model (S), while P</w:t>
      </w:r>
      <w:r w:rsidDel="00000000" w:rsidR="00000000" w:rsidRPr="00000000">
        <w:rPr>
          <w:vertAlign w:val="subscript"/>
          <w:rtl w:val="0"/>
        </w:rPr>
        <w:t xml:space="preserve">2</w:t>
      </w:r>
      <w:r w:rsidDel="00000000" w:rsidR="00000000" w:rsidRPr="00000000">
        <w:rPr>
          <w:rtl w:val="0"/>
        </w:rPr>
        <w:t xml:space="preserve"> incorporates a hypothesized latent structure (H) as a physical constraint. Their predictions for a specific observable must diverge beyond a defined confidence interval.</w:t>
      </w:r>
    </w:p>
    <w:p w:rsidR="00000000" w:rsidDel="00000000" w:rsidP="00000000" w:rsidRDefault="00000000" w:rsidRPr="00000000" w14:paraId="0000000E">
      <w:pPr>
        <w:numPr>
          <w:ilvl w:val="0"/>
          <w:numId w:val="1"/>
        </w:numPr>
        <w:spacing w:after="200" w:before="0" w:lineRule="auto"/>
        <w:ind w:left="720" w:hanging="360"/>
        <w:jc w:val="both"/>
      </w:pPr>
      <w:r w:rsidDel="00000000" w:rsidR="00000000" w:rsidRPr="00000000">
        <w:rPr>
          <w:b w:val="1"/>
          <w:bCs w:val="1"/>
          <w:rtl w:val="0"/>
        </w:rPr>
        <w:t xml:space="preserve">Application of the Ze Probe</w:t>
      </w:r>
      <w:r w:rsidDel="00000000" w:rsidR="00000000" w:rsidRPr="00000000">
        <w:rPr>
          <w:rtl w:val="0"/>
        </w:rPr>
        <w:t xml:space="preserve">: The probe π is derived as the material instantiation of the predictive question. It is a minimal, precisely calibrated perturbation (e.g., a resonant electromagnetic field, a sub-critical metabolic challenge) engineered to be maximally sensitive to the differential imposed by H (Engel et al., 2007; Soto, 2003).</w:t>
      </w:r>
    </w:p>
    <w:p w:rsidR="00000000" w:rsidDel="00000000" w:rsidP="00000000" w:rsidRDefault="00000000" w:rsidRPr="00000000" w14:paraId="0000000F">
      <w:pPr>
        <w:numPr>
          <w:ilvl w:val="0"/>
          <w:numId w:val="1"/>
        </w:numPr>
        <w:spacing w:after="200" w:before="0" w:lineRule="auto"/>
        <w:ind w:left="720" w:hanging="360"/>
        <w:jc w:val="both"/>
      </w:pPr>
      <w:r w:rsidDel="00000000" w:rsidR="00000000" w:rsidRPr="00000000">
        <w:rPr>
          <w:b w:val="1"/>
          <w:bCs w:val="1"/>
          <w:rtl w:val="0"/>
        </w:rPr>
        <w:t xml:space="preserve">Detection of Forced Localization</w:t>
      </w:r>
      <w:r w:rsidDel="00000000" w:rsidR="00000000" w:rsidRPr="00000000">
        <w:rPr>
          <w:rtl w:val="0"/>
        </w:rPr>
        <w:t xml:space="preserve">: The system's response is monitored for an outcome that cannot be explained as noise within P</w:t>
      </w:r>
      <w:r w:rsidDel="00000000" w:rsidR="00000000" w:rsidRPr="00000000">
        <w:rPr>
          <w:vertAlign w:val="subscript"/>
          <w:rtl w:val="0"/>
        </w:rPr>
        <w:t xml:space="preserve">1</w:t>
      </w:r>
      <w:r w:rsidDel="00000000" w:rsidR="00000000" w:rsidRPr="00000000">
        <w:rPr>
          <w:rtl w:val="0"/>
        </w:rPr>
        <w:t xml:space="preserve"> and aligns with the violation pattern characteristic of the conflict between P</w:t>
      </w:r>
      <w:r w:rsidDel="00000000" w:rsidR="00000000" w:rsidRPr="00000000">
        <w:rPr>
          <w:vertAlign w:val="subscript"/>
          <w:rtl w:val="0"/>
        </w:rPr>
        <w:t xml:space="preserve">1</w:t>
      </w:r>
      <w:r w:rsidDel="00000000" w:rsidR="00000000" w:rsidRPr="00000000">
        <w:rPr>
          <w:rtl w:val="0"/>
        </w:rPr>
        <w:t xml:space="preserve"> and P</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10">
      <w:pPr>
        <w:spacing w:after="200" w:lineRule="auto"/>
        <w:jc w:val="both"/>
        <w:rPr/>
      </w:pPr>
      <w:r w:rsidDel="00000000" w:rsidR="00000000" w:rsidRPr="00000000">
        <w:rPr>
          <w:rtl w:val="0"/>
        </w:rPr>
        <w:t xml:space="preserve">This logic finds its canonical expression in the quantum double-slit experiment with a "which-path" detector, where the detector (π) forces the wave-function to collapse, localizing the photon (Grangier, Roger, &amp; Aspect, 1986). The primary event is not the detected position but the forced choice necessitated by the mutually exclusive predictive frameworks.</w:t>
      </w:r>
    </w:p>
    <w:p w:rsidR="00000000" w:rsidDel="00000000" w:rsidP="00000000" w:rsidRDefault="00000000" w:rsidRPr="00000000" w14:paraId="00000011">
      <w:pPr>
        <w:pStyle w:val="Heading3"/>
        <w:spacing w:after="200" w:lineRule="auto"/>
        <w:jc w:val="both"/>
        <w:rPr/>
      </w:pPr>
      <w:bookmarkStart w:colFirst="0" w:colLast="0" w:name="_3sqbpx6lu5p4" w:id="6"/>
      <w:bookmarkEnd w:id="6"/>
      <w:r w:rsidDel="00000000" w:rsidR="00000000" w:rsidRPr="00000000">
        <w:rPr>
          <w:rtl w:val="0"/>
        </w:rPr>
        <w:t xml:space="preserve">Ze Systems as Entropy Engines: The Thermodynamics of Knowledge</w:t>
      </w:r>
    </w:p>
    <w:p w:rsidR="00000000" w:rsidDel="00000000" w:rsidP="00000000" w:rsidRDefault="00000000" w:rsidRPr="00000000" w14:paraId="00000012">
      <w:pPr>
        <w:spacing w:after="200" w:lineRule="auto"/>
        <w:jc w:val="both"/>
        <w:rPr/>
      </w:pPr>
      <w:r w:rsidDel="00000000" w:rsidR="00000000" w:rsidRPr="00000000">
        <w:rPr>
          <w:rtl w:val="0"/>
        </w:rPr>
        <w:t xml:space="preserve">The act of forced localization is a thermodynamic transaction, most clearly articulated through the principle of "Honest Cheating." Here, a predictive model (M) is endowed with a "cheating lever"—a minimal actuator allowing it to tweak system parameters to minimize its own prediction error, entering a self-fulfilling loop.</w:t>
      </w:r>
    </w:p>
    <w:p w:rsidR="00000000" w:rsidDel="00000000" w:rsidP="00000000" w:rsidRDefault="00000000" w:rsidRPr="00000000" w14:paraId="00000013">
      <w:pPr>
        <w:numPr>
          <w:ilvl w:val="0"/>
          <w:numId w:val="4"/>
        </w:numPr>
        <w:spacing w:after="200" w:lineRule="auto"/>
        <w:ind w:left="720" w:hanging="360"/>
        <w:jc w:val="both"/>
      </w:pPr>
      <w:r w:rsidDel="00000000" w:rsidR="00000000" w:rsidRPr="00000000">
        <w:rPr>
          <w:b w:val="1"/>
          <w:bCs w:val="1"/>
          <w:rtl w:val="0"/>
        </w:rPr>
        <w:t xml:space="preserve">Generating Entropy</w:t>
      </w:r>
      <w:r w:rsidDel="00000000" w:rsidR="00000000" w:rsidRPr="00000000">
        <w:rPr>
          <w:rtl w:val="0"/>
        </w:rPr>
        <w:t xml:space="preserve">: This active sculpting expends energy to alter states, increasing disorder as the model attempts to impose its order. This aligns with the Landauer principle, which establishes that erasing a bit of information (collapsing possibilities) dissipates a minimum of k</w:t>
      </w:r>
      <w:r w:rsidDel="00000000" w:rsidR="00000000" w:rsidRPr="00000000">
        <w:rPr>
          <w:vertAlign w:val="subscript"/>
          <w:rtl w:val="0"/>
        </w:rPr>
        <w:t xml:space="preserve">B</w:t>
      </w:r>
      <w:r w:rsidDel="00000000" w:rsidR="00000000" w:rsidRPr="00000000">
        <w:rPr>
          <w:rtl w:val="0"/>
        </w:rPr>
        <w:t xml:space="preserve">Tln⁡(2) energy as heat, increasing environmental entropy (Landauer, 1961).</w:t>
      </w:r>
    </w:p>
    <w:p w:rsidR="00000000" w:rsidDel="00000000" w:rsidP="00000000" w:rsidRDefault="00000000" w:rsidRPr="00000000" w14:paraId="00000014">
      <w:pPr>
        <w:numPr>
          <w:ilvl w:val="0"/>
          <w:numId w:val="4"/>
        </w:numPr>
        <w:spacing w:after="200" w:before="0" w:lineRule="auto"/>
        <w:ind w:left="720" w:hanging="360"/>
        <w:jc w:val="both"/>
      </w:pPr>
      <w:r w:rsidDel="00000000" w:rsidR="00000000" w:rsidRPr="00000000">
        <w:rPr>
          <w:b w:val="1"/>
          <w:bCs w:val="1"/>
          <w:rtl w:val="0"/>
        </w:rPr>
        <w:t xml:space="preserve">Truth from Residual Entropy</w:t>
      </w:r>
      <w:r w:rsidDel="00000000" w:rsidR="00000000" w:rsidRPr="00000000">
        <w:rPr>
          <w:rtl w:val="0"/>
        </w:rPr>
        <w:t xml:space="preserve">: If no deep latent structure exists, the cheating model succeeds, reshaping reality into a trivial reflection of itself. However, if a true latent structure (L) exists—a homeostatic set-point, a topological constraint—it resists. The cheating actions meet "friction," producing a persistent, structured residual error (ϵ</w:t>
      </w:r>
      <w:r w:rsidDel="00000000" w:rsidR="00000000" w:rsidRPr="00000000">
        <w:rPr>
          <w:vertAlign w:val="subscript"/>
          <w:rtl w:val="0"/>
        </w:rPr>
        <w:t xml:space="preserve">L</w:t>
      </w:r>
      <w:r w:rsidDel="00000000" w:rsidR="00000000" w:rsidRPr="00000000">
        <w:rPr>
          <w:rtl w:val="0"/>
        </w:rPr>
        <w:t xml:space="preserve">) that M cannot eliminate. This residual is the signal; truth is localized in the pattern of this informative failure (Tkemaladze, 2026).</w:t>
      </w:r>
    </w:p>
    <w:p w:rsidR="00000000" w:rsidDel="00000000" w:rsidP="00000000" w:rsidRDefault="00000000" w:rsidRPr="00000000" w14:paraId="00000015">
      <w:pPr>
        <w:spacing w:after="200" w:lineRule="auto"/>
        <w:jc w:val="both"/>
        <w:rPr/>
      </w:pPr>
      <w:r w:rsidDel="00000000" w:rsidR="00000000" w:rsidRPr="00000000">
        <w:rPr>
          <w:rtl w:val="0"/>
        </w:rPr>
        <w:t xml:space="preserve">This framework re-contextualizes the Heisenberg Uncertainty Principle as a "Principle of Necessary Conflict": forcing a definite position requires an intervention whose entropic cost is the complete disruption of any predictable momentum trajectory.</w:t>
      </w:r>
    </w:p>
    <w:p w:rsidR="00000000" w:rsidDel="00000000" w:rsidP="00000000" w:rsidRDefault="00000000" w:rsidRPr="00000000" w14:paraId="00000016">
      <w:pPr>
        <w:pStyle w:val="Heading3"/>
        <w:spacing w:after="200" w:lineRule="auto"/>
        <w:jc w:val="both"/>
        <w:rPr/>
      </w:pPr>
      <w:bookmarkStart w:colFirst="0" w:colLast="0" w:name="_4beaxqoyn5cx" w:id="7"/>
      <w:bookmarkEnd w:id="7"/>
      <w:r w:rsidDel="00000000" w:rsidR="00000000" w:rsidRPr="00000000">
        <w:rPr>
          <w:rtl w:val="0"/>
        </w:rPr>
        <w:t xml:space="preserve">Implications and Case Studies</w:t>
      </w:r>
    </w:p>
    <w:p w:rsidR="00000000" w:rsidDel="00000000" w:rsidP="00000000" w:rsidRDefault="00000000" w:rsidRPr="00000000" w14:paraId="00000017">
      <w:pPr>
        <w:spacing w:after="200" w:lineRule="auto"/>
        <w:jc w:val="both"/>
        <w:rPr/>
      </w:pPr>
      <w:r w:rsidDel="00000000" w:rsidR="00000000" w:rsidRPr="00000000">
        <w:rPr>
          <w:rtl w:val="0"/>
        </w:rPr>
        <w:t xml:space="preserve">Recognizing science as a co-creative, entropic process has profound implications across disciplines.</w:t>
      </w:r>
    </w:p>
    <w:p w:rsidR="00000000" w:rsidDel="00000000" w:rsidP="00000000" w:rsidRDefault="00000000" w:rsidRPr="00000000" w14:paraId="00000018">
      <w:pPr>
        <w:numPr>
          <w:ilvl w:val="0"/>
          <w:numId w:val="2"/>
        </w:numPr>
        <w:spacing w:after="200" w:lineRule="auto"/>
        <w:ind w:left="720" w:hanging="360"/>
        <w:jc w:val="both"/>
      </w:pPr>
      <w:r w:rsidDel="00000000" w:rsidR="00000000" w:rsidRPr="00000000">
        <w:rPr>
          <w:b w:val="1"/>
          <w:bCs w:val="1"/>
          <w:rtl w:val="0"/>
        </w:rPr>
        <w:t xml:space="preserve">Precision Oncology</w:t>
      </w:r>
      <w:r w:rsidDel="00000000" w:rsidR="00000000" w:rsidRPr="00000000">
        <w:rPr>
          <w:rtl w:val="0"/>
        </w:rPr>
        <w:t xml:space="preserve">: A targeted kinase inhibitor is a materialized cheating model (M). Its initial success in forcing tumor remission is a successful "cheat." The emergence of drug-resistant subclones is not merely a clinical failure but the generation of ϵ</w:t>
      </w:r>
      <w:r w:rsidDel="00000000" w:rsidR="00000000" w:rsidRPr="00000000">
        <w:rPr>
          <w:vertAlign w:val="subscript"/>
          <w:rtl w:val="0"/>
        </w:rPr>
        <w:t xml:space="preserve">L</w:t>
      </w:r>
      <w:r w:rsidDel="00000000" w:rsidR="00000000" w:rsidRPr="00000000">
        <w:rPr>
          <w:rtl w:val="0"/>
        </w:rPr>
        <w:t xml:space="preserve">, revealing the tumor's latent heterogeneity and guiding next-generation therapy (Druker, 2008).</w:t>
      </w:r>
    </w:p>
    <w:p w:rsidR="00000000" w:rsidDel="00000000" w:rsidP="00000000" w:rsidRDefault="00000000" w:rsidRPr="00000000" w14:paraId="00000019">
      <w:pPr>
        <w:numPr>
          <w:ilvl w:val="0"/>
          <w:numId w:val="2"/>
        </w:numPr>
        <w:spacing w:after="200" w:before="0" w:lineRule="auto"/>
        <w:ind w:left="720" w:hanging="360"/>
        <w:jc w:val="both"/>
      </w:pPr>
      <w:r w:rsidDel="00000000" w:rsidR="00000000" w:rsidRPr="00000000">
        <w:rPr>
          <w:b w:val="1"/>
          <w:bCs w:val="1"/>
          <w:rtl w:val="0"/>
        </w:rPr>
        <w:t xml:space="preserve">Neuroscience</w:t>
      </w:r>
      <w:r w:rsidDel="00000000" w:rsidR="00000000" w:rsidRPr="00000000">
        <w:rPr>
          <w:rtl w:val="0"/>
        </w:rPr>
        <w:t xml:space="preserve">: The placebo response is an endogenous cheating loop. Individual variability in this response, linked to genetic polymorphisms, constitutes the detectable ϵL, revealing latent biological constraints on the mind-body predictive system (Hall, Loscalzo, &amp; Kaptchuk, 2015).</w:t>
      </w:r>
    </w:p>
    <w:p w:rsidR="00000000" w:rsidDel="00000000" w:rsidP="00000000" w:rsidRDefault="00000000" w:rsidRPr="00000000" w14:paraId="0000001A">
      <w:pPr>
        <w:numPr>
          <w:ilvl w:val="0"/>
          <w:numId w:val="2"/>
        </w:numPr>
        <w:spacing w:after="200" w:before="0" w:lineRule="auto"/>
        <w:ind w:left="720" w:hanging="360"/>
        <w:jc w:val="both"/>
      </w:pPr>
      <w:r w:rsidDel="00000000" w:rsidR="00000000" w:rsidRPr="00000000">
        <w:rPr>
          <w:b w:val="1"/>
          <w:bCs w:val="1"/>
          <w:rtl w:val="0"/>
        </w:rPr>
        <w:t xml:space="preserve">Cognitive Science</w:t>
      </w:r>
      <w:r w:rsidDel="00000000" w:rsidR="00000000" w:rsidRPr="00000000">
        <w:rPr>
          <w:rtl w:val="0"/>
        </w:rPr>
        <w:t xml:space="preserve">: Cognitive-Behavioral Therapy (CBT) can be viewed as a collaborative Ze system, where behavioral experiments act as cheating levers against maladaptive predictive models. The core schemas that resist change are the latent structures (L) localized by their persistent residual (ϵ</w:t>
      </w:r>
      <w:r w:rsidDel="00000000" w:rsidR="00000000" w:rsidRPr="00000000">
        <w:rPr>
          <w:vertAlign w:val="subscript"/>
          <w:rtl w:val="0"/>
        </w:rPr>
        <w:t xml:space="preserve">L</w:t>
      </w:r>
      <w:r w:rsidDel="00000000" w:rsidR="00000000" w:rsidRPr="00000000">
        <w:rPr>
          <w:rtl w:val="0"/>
        </w:rPr>
        <w:t xml:space="preserve">) (Beck, 2011).</w:t>
      </w:r>
    </w:p>
    <w:p w:rsidR="00000000" w:rsidDel="00000000" w:rsidP="00000000" w:rsidRDefault="00000000" w:rsidRPr="00000000" w14:paraId="0000001B">
      <w:pPr>
        <w:numPr>
          <w:ilvl w:val="0"/>
          <w:numId w:val="2"/>
        </w:numPr>
        <w:spacing w:after="200" w:before="0" w:lineRule="auto"/>
        <w:ind w:left="720" w:hanging="360"/>
        <w:jc w:val="both"/>
      </w:pPr>
      <w:r w:rsidDel="00000000" w:rsidR="00000000" w:rsidRPr="00000000">
        <w:rPr>
          <w:b w:val="1"/>
          <w:bCs w:val="1"/>
          <w:rtl w:val="0"/>
        </w:rPr>
        <w:t xml:space="preserve">Machine Learning</w:t>
      </w:r>
      <w:r w:rsidDel="00000000" w:rsidR="00000000" w:rsidRPr="00000000">
        <w:rPr>
          <w:rtl w:val="0"/>
        </w:rPr>
        <w:t xml:space="preserve">: Overfitting is a degenerate form of a greedy model's success, where the model "cheats" perfectly on training data. Its failure to generalize is the catastrophic emergence of ϵ</w:t>
      </w:r>
      <w:r w:rsidDel="00000000" w:rsidR="00000000" w:rsidRPr="00000000">
        <w:rPr>
          <w:vertAlign w:val="subscript"/>
          <w:rtl w:val="0"/>
        </w:rPr>
        <w:t xml:space="preserve">L</w:t>
      </w:r>
      <w:r w:rsidDel="00000000" w:rsidR="00000000" w:rsidRPr="00000000">
        <w:rPr>
          <w:rtl w:val="0"/>
        </w:rPr>
        <w:t xml:space="preserve">, revealing that its "truth" was an artifact of its sculpting power over a limited domain (Mehrabi et al., 2021).</w:t>
      </w:r>
    </w:p>
    <w:p w:rsidR="00000000" w:rsidDel="00000000" w:rsidP="00000000" w:rsidRDefault="00000000" w:rsidRPr="00000000" w14:paraId="0000001C">
      <w:pPr>
        <w:pStyle w:val="Heading3"/>
        <w:spacing w:after="200" w:lineRule="auto"/>
        <w:jc w:val="both"/>
        <w:rPr/>
      </w:pPr>
      <w:bookmarkStart w:colFirst="0" w:colLast="0" w:name="_fbadqqnmolzz" w:id="8"/>
      <w:bookmarkEnd w:id="8"/>
      <w:r w:rsidDel="00000000" w:rsidR="00000000" w:rsidRPr="00000000">
        <w:rPr>
          <w:rtl w:val="0"/>
        </w:rPr>
        <w:t xml:space="preserve">Ethical Reckoning: The Cost of Co-Creation</w:t>
      </w:r>
    </w:p>
    <w:p w:rsidR="00000000" w:rsidDel="00000000" w:rsidP="00000000" w:rsidRDefault="00000000" w:rsidRPr="00000000" w14:paraId="0000001D">
      <w:pPr>
        <w:spacing w:after="200" w:lineRule="auto"/>
        <w:jc w:val="both"/>
        <w:rPr/>
      </w:pPr>
      <w:r w:rsidDel="00000000" w:rsidR="00000000" w:rsidRPr="00000000">
        <w:rPr>
          <w:rtl w:val="0"/>
        </w:rPr>
        <w:t xml:space="preserve">The Ze framework dismantles the myth of innocent knowledge. Every co-created fact incurs a three-part entropic debt:</w:t>
      </w:r>
    </w:p>
    <w:p w:rsidR="00000000" w:rsidDel="00000000" w:rsidP="00000000" w:rsidRDefault="00000000" w:rsidRPr="00000000" w14:paraId="0000001E">
      <w:pPr>
        <w:numPr>
          <w:ilvl w:val="0"/>
          <w:numId w:val="3"/>
        </w:numPr>
        <w:spacing w:after="200" w:lineRule="auto"/>
        <w:ind w:left="720" w:hanging="360"/>
        <w:jc w:val="both"/>
      </w:pPr>
      <w:r w:rsidDel="00000000" w:rsidR="00000000" w:rsidRPr="00000000">
        <w:rPr>
          <w:b w:val="1"/>
          <w:bCs w:val="1"/>
          <w:rtl w:val="0"/>
        </w:rPr>
        <w:t xml:space="preserve">Energetic Price</w:t>
      </w:r>
      <w:r w:rsidDel="00000000" w:rsidR="00000000" w:rsidRPr="00000000">
        <w:rPr>
          <w:rtl w:val="0"/>
        </w:rPr>
        <w:t xml:space="preserve">: The thermodynamic cost of forced localization (Landauer, 1961).</w:t>
      </w:r>
    </w:p>
    <w:p w:rsidR="00000000" w:rsidDel="00000000" w:rsidP="00000000" w:rsidRDefault="00000000" w:rsidRPr="00000000" w14:paraId="0000001F">
      <w:pPr>
        <w:numPr>
          <w:ilvl w:val="0"/>
          <w:numId w:val="3"/>
        </w:numPr>
        <w:spacing w:after="200" w:before="0" w:lineRule="auto"/>
        <w:ind w:left="720" w:hanging="360"/>
        <w:jc w:val="both"/>
      </w:pPr>
      <w:r w:rsidDel="00000000" w:rsidR="00000000" w:rsidRPr="00000000">
        <w:rPr>
          <w:b w:val="1"/>
          <w:bCs w:val="1"/>
          <w:rtl w:val="0"/>
        </w:rPr>
        <w:t xml:space="preserve">Ontological Price</w:t>
      </w:r>
      <w:r w:rsidDel="00000000" w:rsidR="00000000" w:rsidRPr="00000000">
        <w:rPr>
          <w:rtl w:val="0"/>
        </w:rPr>
        <w:t xml:space="preserve">: The annihilation of unactualized potential states, a permanent pruning of possible futures.</w:t>
      </w:r>
    </w:p>
    <w:p w:rsidR="00000000" w:rsidDel="00000000" w:rsidP="00000000" w:rsidRDefault="00000000" w:rsidRPr="00000000" w14:paraId="00000020">
      <w:pPr>
        <w:numPr>
          <w:ilvl w:val="0"/>
          <w:numId w:val="3"/>
        </w:numPr>
        <w:spacing w:after="200" w:lineRule="auto"/>
        <w:ind w:left="720" w:hanging="360"/>
        <w:jc w:val="both"/>
      </w:pPr>
      <w:r w:rsidDel="00000000" w:rsidR="00000000" w:rsidRPr="00000000">
        <w:rPr>
          <w:b w:val="1"/>
          <w:bCs w:val="1"/>
          <w:rtl w:val="0"/>
        </w:rPr>
        <w:t xml:space="preserve">Historical Price</w:t>
      </w:r>
      <w:r w:rsidDel="00000000" w:rsidR="00000000" w:rsidRPr="00000000">
        <w:rPr>
          <w:rtl w:val="0"/>
        </w:rPr>
        <w:t xml:space="preserve">: The irreversible alteration of the system onto a new trajectory.</w:t>
      </w:r>
    </w:p>
    <w:p w:rsidR="00000000" w:rsidDel="00000000" w:rsidP="00000000" w:rsidRDefault="00000000" w:rsidRPr="00000000" w14:paraId="00000021">
      <w:pPr>
        <w:spacing w:after="200" w:lineRule="auto"/>
        <w:jc w:val="both"/>
        <w:rPr/>
      </w:pPr>
      <w:r w:rsidDel="00000000" w:rsidR="00000000" w:rsidRPr="00000000">
        <w:rPr>
          <w:rtl w:val="0"/>
        </w:rPr>
        <w:t xml:space="preserve">This demands a new ethical calculus moving from minimizing disturbance to accountable authorship, emphasizing precision of intervention, acknowledgment of lost potentials, stewardship of the newly actualized state, and radical transparency about the co-creative nature of all findings.</w:t>
      </w:r>
    </w:p>
    <w:p w:rsidR="00000000" w:rsidDel="00000000" w:rsidP="00000000" w:rsidRDefault="00000000" w:rsidRPr="00000000" w14:paraId="00000022">
      <w:pPr>
        <w:pStyle w:val="Heading3"/>
        <w:spacing w:after="200" w:lineRule="auto"/>
        <w:jc w:val="both"/>
        <w:rPr/>
      </w:pPr>
      <w:bookmarkStart w:colFirst="0" w:colLast="0" w:name="_oq6v9x4mrghc" w:id="9"/>
      <w:bookmarkEnd w:id="9"/>
      <w:r w:rsidDel="00000000" w:rsidR="00000000" w:rsidRPr="00000000">
        <w:rPr>
          <w:rtl w:val="0"/>
        </w:rPr>
        <w:t xml:space="preserve">Conclusion</w:t>
      </w:r>
    </w:p>
    <w:p w:rsidR="00000000" w:rsidDel="00000000" w:rsidP="00000000" w:rsidRDefault="00000000" w:rsidRPr="00000000" w14:paraId="00000023">
      <w:pPr>
        <w:spacing w:after="200" w:lineRule="auto"/>
        <w:jc w:val="both"/>
        <w:rPr/>
      </w:pPr>
      <w:r w:rsidDel="00000000" w:rsidR="00000000" w:rsidRPr="00000000">
        <w:rPr>
          <w:rtl w:val="0"/>
        </w:rPr>
        <w:t xml:space="preserve">The Ze System proposes a paradigm shift from a science of being to a science of becoming. It synthesizes that reality is a domain of latent potential, and what we call facts are the solidified outcomes of irreversible, entropic transactions. Ze systems are the engineered catalysts for these transactions. They strategically invest energy and generate disorder to provoke latent structures into manifesting, purchasing islands of certainty with the currency of entropy. Truth, therefore, is not illuminated but forged in the heat of a deliberately engineered predictive conflict. This casts the scientist not as a passive observer, but as a humble and responsible architect, actively participating in the careful, ethical revelation of the worlds we choose to bring into being.</w:t>
      </w:r>
    </w:p>
    <w:p w:rsidR="00000000" w:rsidDel="00000000" w:rsidP="00000000" w:rsidRDefault="00000000" w:rsidRPr="00000000" w14:paraId="00000024">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spacing w:after="200" w:lineRule="auto"/>
        <w:jc w:val="both"/>
        <w:rPr/>
      </w:pPr>
      <w:bookmarkStart w:colFirst="0" w:colLast="0" w:name="_bo8ax9rupe2h" w:id="10"/>
      <w:bookmarkEnd w:id="10"/>
      <w:r w:rsidDel="00000000" w:rsidR="00000000" w:rsidRPr="00000000">
        <w:rPr>
          <w:rtl w:val="0"/>
        </w:rPr>
        <w:t xml:space="preserve">References</w:t>
      </w:r>
    </w:p>
    <w:p w:rsidR="00000000" w:rsidDel="00000000" w:rsidP="00000000" w:rsidRDefault="00000000" w:rsidRPr="00000000" w14:paraId="00000026">
      <w:pPr>
        <w:spacing w:after="200" w:lineRule="auto"/>
        <w:jc w:val="both"/>
        <w:rPr>
          <w:sz w:val="18"/>
          <w:szCs w:val="18"/>
        </w:rPr>
      </w:pPr>
      <w:r w:rsidDel="00000000" w:rsidR="00000000" w:rsidRPr="00000000">
        <w:rPr>
          <w:sz w:val="18"/>
          <w:szCs w:val="18"/>
          <w:rtl w:val="0"/>
        </w:rPr>
        <w:t xml:space="preserve">Aharonov, Y., Albert, D. Z., &amp; Vaidman, L. (1988). How the result of a measurement of a component of the spin of a spin-1/2 particle can turn out to be 100. Physical Review Letters, 60(14), 1351–1354. </w:t>
      </w:r>
      <w:hyperlink r:id="rId7">
        <w:r w:rsidDel="00000000" w:rsidR="00000000" w:rsidRPr="00000000">
          <w:rPr>
            <w:color w:val="1155cc"/>
            <w:sz w:val="18"/>
            <w:szCs w:val="18"/>
            <w:u w:val="single"/>
            <w:rtl w:val="0"/>
          </w:rPr>
          <w:t xml:space="preserve">https://doi.org/10.1103/PhysRevLett.60.1351</w:t>
        </w:r>
      </w:hyperlink>
      <w:r w:rsidDel="00000000" w:rsidR="00000000" w:rsidRPr="00000000">
        <w:rPr>
          <w:rtl w:val="0"/>
        </w:rPr>
      </w:r>
    </w:p>
    <w:p w:rsidR="00000000" w:rsidDel="00000000" w:rsidP="00000000" w:rsidRDefault="00000000" w:rsidRPr="00000000" w14:paraId="00000027">
      <w:pPr>
        <w:spacing w:after="200" w:lineRule="auto"/>
        <w:jc w:val="both"/>
        <w:rPr>
          <w:sz w:val="18"/>
          <w:szCs w:val="18"/>
        </w:rPr>
      </w:pPr>
      <w:r w:rsidDel="00000000" w:rsidR="00000000" w:rsidRPr="00000000">
        <w:rPr>
          <w:sz w:val="18"/>
          <w:szCs w:val="18"/>
          <w:rtl w:val="0"/>
        </w:rPr>
        <w:t xml:space="preserve">Barad, K. (2007). Meeting the universe halfway: Quantum physics and the entanglement of matter and meaning. Duke University Press.</w:t>
      </w:r>
    </w:p>
    <w:p w:rsidR="00000000" w:rsidDel="00000000" w:rsidP="00000000" w:rsidRDefault="00000000" w:rsidRPr="00000000" w14:paraId="00000028">
      <w:pPr>
        <w:spacing w:after="200" w:lineRule="auto"/>
        <w:jc w:val="both"/>
        <w:rPr>
          <w:sz w:val="18"/>
          <w:szCs w:val="18"/>
        </w:rPr>
      </w:pPr>
      <w:r w:rsidDel="00000000" w:rsidR="00000000" w:rsidRPr="00000000">
        <w:rPr>
          <w:sz w:val="18"/>
          <w:szCs w:val="18"/>
          <w:rtl w:val="0"/>
        </w:rPr>
        <w:t xml:space="preserve">Beck, J. S. (2011). Cognitive behavior therapy: Basics and beyond (2nd ed.). Guilford Press.</w:t>
      </w:r>
    </w:p>
    <w:p w:rsidR="00000000" w:rsidDel="00000000" w:rsidP="00000000" w:rsidRDefault="00000000" w:rsidRPr="00000000" w14:paraId="00000029">
      <w:pPr>
        <w:spacing w:after="200" w:lineRule="auto"/>
        <w:jc w:val="both"/>
        <w:rPr>
          <w:sz w:val="18"/>
          <w:szCs w:val="18"/>
        </w:rPr>
      </w:pPr>
      <w:r w:rsidDel="00000000" w:rsidR="00000000" w:rsidRPr="00000000">
        <w:rPr>
          <w:sz w:val="18"/>
          <w:szCs w:val="18"/>
          <w:rtl w:val="0"/>
        </w:rPr>
        <w:t xml:space="preserve">Druker, B. J. (2008). Translation of the Philadelphia chromosome into therapy for CML. Blood, 112(13), 4808–4817. </w:t>
      </w:r>
      <w:hyperlink r:id="rId8">
        <w:r w:rsidDel="00000000" w:rsidR="00000000" w:rsidRPr="00000000">
          <w:rPr>
            <w:color w:val="1155cc"/>
            <w:sz w:val="18"/>
            <w:szCs w:val="18"/>
            <w:u w:val="single"/>
            <w:rtl w:val="0"/>
          </w:rPr>
          <w:t xml:space="preserve">https://doi.org/10.1182/blood-2008-07-077958</w:t>
        </w:r>
      </w:hyperlink>
      <w:r w:rsidDel="00000000" w:rsidR="00000000" w:rsidRPr="00000000">
        <w:rPr>
          <w:rtl w:val="0"/>
        </w:rPr>
      </w:r>
    </w:p>
    <w:p w:rsidR="00000000" w:rsidDel="00000000" w:rsidP="00000000" w:rsidRDefault="00000000" w:rsidRPr="00000000" w14:paraId="0000002A">
      <w:pPr>
        <w:spacing w:after="200" w:lineRule="auto"/>
        <w:jc w:val="both"/>
        <w:rPr>
          <w:sz w:val="18"/>
          <w:szCs w:val="18"/>
        </w:rPr>
      </w:pPr>
      <w:r w:rsidDel="00000000" w:rsidR="00000000" w:rsidRPr="00000000">
        <w:rPr>
          <w:sz w:val="18"/>
          <w:szCs w:val="18"/>
          <w:rtl w:val="0"/>
        </w:rPr>
        <w:t xml:space="preserve">Engel, G. S., Calhoun, T. R., Read, E. L., Ahn, T.-K., Mančal, T., Cheng, Y.-C., ... &amp; Fleming, G. R. (2007). Evidence for wavelike energy transfer through quantum coherence in photosynthetic systems. Nature, 446(7137), 782–786.</w:t>
      </w:r>
    </w:p>
    <w:p w:rsidR="00000000" w:rsidDel="00000000" w:rsidP="00000000" w:rsidRDefault="00000000" w:rsidRPr="00000000" w14:paraId="0000002B">
      <w:pPr>
        <w:spacing w:after="200" w:lineRule="auto"/>
        <w:jc w:val="both"/>
        <w:rPr>
          <w:sz w:val="18"/>
          <w:szCs w:val="18"/>
        </w:rPr>
      </w:pPr>
      <w:r w:rsidDel="00000000" w:rsidR="00000000" w:rsidRPr="00000000">
        <w:rPr>
          <w:sz w:val="18"/>
          <w:szCs w:val="18"/>
          <w:rtl w:val="0"/>
        </w:rPr>
        <w:t xml:space="preserve">Grangier, P., Roger, G., &amp; Aspect, A. (1986). Experimental evidence for a photon anticorrelation effect on a beam splitter: A new light on single-photon interferences. Europhysics Letters, 1(4), 173–179. </w:t>
      </w:r>
      <w:hyperlink r:id="rId9">
        <w:r w:rsidDel="00000000" w:rsidR="00000000" w:rsidRPr="00000000">
          <w:rPr>
            <w:color w:val="1155cc"/>
            <w:sz w:val="18"/>
            <w:szCs w:val="18"/>
            <w:u w:val="single"/>
            <w:rtl w:val="0"/>
          </w:rPr>
          <w:t xml:space="preserve">https://doi.org/10.1209/0295-5075/1/4/004</w:t>
        </w:r>
      </w:hyperlink>
      <w:r w:rsidDel="00000000" w:rsidR="00000000" w:rsidRPr="00000000">
        <w:rPr>
          <w:rtl w:val="0"/>
        </w:rPr>
      </w:r>
    </w:p>
    <w:p w:rsidR="00000000" w:rsidDel="00000000" w:rsidP="00000000" w:rsidRDefault="00000000" w:rsidRPr="00000000" w14:paraId="0000002C">
      <w:pPr>
        <w:spacing w:after="200" w:lineRule="auto"/>
        <w:jc w:val="both"/>
        <w:rPr>
          <w:sz w:val="18"/>
          <w:szCs w:val="18"/>
        </w:rPr>
      </w:pPr>
      <w:r w:rsidDel="00000000" w:rsidR="00000000" w:rsidRPr="00000000">
        <w:rPr>
          <w:sz w:val="18"/>
          <w:szCs w:val="18"/>
          <w:rtl w:val="0"/>
        </w:rPr>
        <w:t xml:space="preserve">Hall, K. T., Loscalzo, J., &amp; Kaptchuk, T. J. (2015). Genetics and the placebo effect: the placebo. Trends in Molecular Medicine, 21(5), 285–294. </w:t>
      </w:r>
      <w:hyperlink r:id="rId10">
        <w:r w:rsidDel="00000000" w:rsidR="00000000" w:rsidRPr="00000000">
          <w:rPr>
            <w:color w:val="1155cc"/>
            <w:sz w:val="18"/>
            <w:szCs w:val="18"/>
            <w:u w:val="single"/>
            <w:rtl w:val="0"/>
          </w:rPr>
          <w:t xml:space="preserve">https://doi.org/10.1016/j.molmed.2015.02.009</w:t>
        </w:r>
      </w:hyperlink>
      <w:r w:rsidDel="00000000" w:rsidR="00000000" w:rsidRPr="00000000">
        <w:rPr>
          <w:rtl w:val="0"/>
        </w:rPr>
      </w:r>
    </w:p>
    <w:p w:rsidR="00000000" w:rsidDel="00000000" w:rsidP="00000000" w:rsidRDefault="00000000" w:rsidRPr="00000000" w14:paraId="0000002D">
      <w:pPr>
        <w:spacing w:after="200" w:lineRule="auto"/>
        <w:jc w:val="both"/>
        <w:rPr>
          <w:sz w:val="18"/>
          <w:szCs w:val="18"/>
        </w:rPr>
      </w:pPr>
      <w:r w:rsidDel="00000000" w:rsidR="00000000" w:rsidRPr="00000000">
        <w:rPr>
          <w:sz w:val="18"/>
          <w:szCs w:val="18"/>
          <w:rtl w:val="0"/>
        </w:rPr>
        <w:t xml:space="preserve">Hanahan, D., &amp; Weinberg, R. A. (2011). Hallmarks of cancer: the next generation. Cell, 144(5), 646–674. </w:t>
      </w:r>
      <w:hyperlink r:id="rId11">
        <w:r w:rsidDel="00000000" w:rsidR="00000000" w:rsidRPr="00000000">
          <w:rPr>
            <w:color w:val="1155cc"/>
            <w:sz w:val="18"/>
            <w:szCs w:val="18"/>
            <w:u w:val="single"/>
            <w:rtl w:val="0"/>
          </w:rPr>
          <w:t xml:space="preserve">https://doi.org/10.1016/j.cell.2011.02.013</w:t>
        </w:r>
      </w:hyperlink>
      <w:r w:rsidDel="00000000" w:rsidR="00000000" w:rsidRPr="00000000">
        <w:rPr>
          <w:rtl w:val="0"/>
        </w:rPr>
      </w:r>
    </w:p>
    <w:p w:rsidR="00000000" w:rsidDel="00000000" w:rsidP="00000000" w:rsidRDefault="00000000" w:rsidRPr="00000000" w14:paraId="0000002E">
      <w:pPr>
        <w:spacing w:after="200" w:lineRule="auto"/>
        <w:jc w:val="both"/>
        <w:rPr>
          <w:sz w:val="18"/>
          <w:szCs w:val="18"/>
        </w:rPr>
      </w:pPr>
      <w:r w:rsidDel="00000000" w:rsidR="00000000" w:rsidRPr="00000000">
        <w:rPr>
          <w:sz w:val="18"/>
          <w:szCs w:val="18"/>
          <w:rtl w:val="0"/>
        </w:rPr>
        <w:t xml:space="preserve">Heisenberg, W. (1927). Über den anschaulichen Inhalt der quantentheoretischen Kinematik und Mechanik. Zeitschrift für Physik, 43(3-4), 172–198.</w:t>
      </w:r>
    </w:p>
    <w:p w:rsidR="00000000" w:rsidDel="00000000" w:rsidP="00000000" w:rsidRDefault="00000000" w:rsidRPr="00000000" w14:paraId="0000002F">
      <w:pPr>
        <w:spacing w:after="200" w:lineRule="auto"/>
        <w:jc w:val="both"/>
        <w:rPr>
          <w:sz w:val="18"/>
          <w:szCs w:val="18"/>
        </w:rPr>
      </w:pPr>
      <w:r w:rsidDel="00000000" w:rsidR="00000000" w:rsidRPr="00000000">
        <w:rPr>
          <w:sz w:val="18"/>
          <w:szCs w:val="18"/>
          <w:rtl w:val="0"/>
        </w:rPr>
        <w:t xml:space="preserve">Josselyn, S. A., &amp; Tonegawa, S. (2020). Memory engrams: Recalling the past and imagining the future. Science, 367(6473), eaaw4325. </w:t>
      </w:r>
      <w:hyperlink r:id="rId12">
        <w:r w:rsidDel="00000000" w:rsidR="00000000" w:rsidRPr="00000000">
          <w:rPr>
            <w:color w:val="1155cc"/>
            <w:sz w:val="18"/>
            <w:szCs w:val="18"/>
            <w:u w:val="single"/>
            <w:rtl w:val="0"/>
          </w:rPr>
          <w:t xml:space="preserve">https://doi.org/10.1126/science.aaw4325</w:t>
        </w:r>
      </w:hyperlink>
      <w:r w:rsidDel="00000000" w:rsidR="00000000" w:rsidRPr="00000000">
        <w:rPr>
          <w:rtl w:val="0"/>
        </w:rPr>
      </w:r>
    </w:p>
    <w:p w:rsidR="00000000" w:rsidDel="00000000" w:rsidP="00000000" w:rsidRDefault="00000000" w:rsidRPr="00000000" w14:paraId="00000030">
      <w:pPr>
        <w:spacing w:after="200" w:lineRule="auto"/>
        <w:jc w:val="both"/>
        <w:rPr>
          <w:sz w:val="18"/>
          <w:szCs w:val="18"/>
        </w:rPr>
      </w:pPr>
      <w:r w:rsidDel="00000000" w:rsidR="00000000" w:rsidRPr="00000000">
        <w:rPr>
          <w:sz w:val="18"/>
          <w:szCs w:val="18"/>
          <w:rtl w:val="0"/>
        </w:rPr>
        <w:t xml:space="preserve">Landauer, R. (1961). Irreversibility and heat generation in the computing process. IBM Journal of Research and Development, 5(3), 183–191. </w:t>
      </w:r>
      <w:hyperlink r:id="rId13">
        <w:r w:rsidDel="00000000" w:rsidR="00000000" w:rsidRPr="00000000">
          <w:rPr>
            <w:color w:val="1155cc"/>
            <w:sz w:val="18"/>
            <w:szCs w:val="18"/>
            <w:u w:val="single"/>
            <w:rtl w:val="0"/>
          </w:rPr>
          <w:t xml:space="preserve">https://doi.org/10.1147/rd.53.0183</w:t>
        </w:r>
      </w:hyperlink>
      <w:r w:rsidDel="00000000" w:rsidR="00000000" w:rsidRPr="00000000">
        <w:rPr>
          <w:rtl w:val="0"/>
        </w:rPr>
      </w:r>
    </w:p>
    <w:p w:rsidR="00000000" w:rsidDel="00000000" w:rsidP="00000000" w:rsidRDefault="00000000" w:rsidRPr="00000000" w14:paraId="00000031">
      <w:pPr>
        <w:spacing w:after="200" w:lineRule="auto"/>
        <w:jc w:val="both"/>
        <w:rPr>
          <w:sz w:val="18"/>
          <w:szCs w:val="18"/>
        </w:rPr>
      </w:pPr>
      <w:r w:rsidDel="00000000" w:rsidR="00000000" w:rsidRPr="00000000">
        <w:rPr>
          <w:sz w:val="18"/>
          <w:szCs w:val="18"/>
          <w:rtl w:val="0"/>
        </w:rPr>
        <w:t xml:space="preserve">Mehrabi, N., Morstatter, F., Saxena, N., Lerman, K., &amp; Galstyan, A. (2021). A survey on bias and fairness in machine learning. ACM Computing Surveys, 54(6), 1–35.</w:t>
      </w:r>
    </w:p>
    <w:p w:rsidR="00000000" w:rsidDel="00000000" w:rsidP="00000000" w:rsidRDefault="00000000" w:rsidRPr="00000000" w14:paraId="00000032">
      <w:pPr>
        <w:spacing w:after="200" w:lineRule="auto"/>
        <w:jc w:val="both"/>
        <w:rPr>
          <w:sz w:val="18"/>
          <w:szCs w:val="18"/>
        </w:rPr>
      </w:pPr>
      <w:r w:rsidDel="00000000" w:rsidR="00000000" w:rsidRPr="00000000">
        <w:rPr>
          <w:sz w:val="18"/>
          <w:szCs w:val="18"/>
          <w:rtl w:val="0"/>
        </w:rPr>
        <w:t xml:space="preserve">Schrödinger, E. (1926). An undulatory theory of the mechanics of atoms and molecules. Physical Review, 28(6), 1049–1070. </w:t>
      </w:r>
      <w:hyperlink r:id="rId14">
        <w:r w:rsidDel="00000000" w:rsidR="00000000" w:rsidRPr="00000000">
          <w:rPr>
            <w:color w:val="1155cc"/>
            <w:sz w:val="18"/>
            <w:szCs w:val="18"/>
            <w:u w:val="single"/>
            <w:rtl w:val="0"/>
          </w:rPr>
          <w:t xml:space="preserve">https://doi.org/10.1103/PhysRev.28.1049</w:t>
        </w:r>
      </w:hyperlink>
      <w:r w:rsidDel="00000000" w:rsidR="00000000" w:rsidRPr="00000000">
        <w:rPr>
          <w:rtl w:val="0"/>
        </w:rPr>
      </w:r>
    </w:p>
    <w:p w:rsidR="00000000" w:rsidDel="00000000" w:rsidP="00000000" w:rsidRDefault="00000000" w:rsidRPr="00000000" w14:paraId="00000033">
      <w:pPr>
        <w:spacing w:after="200" w:lineRule="auto"/>
        <w:jc w:val="both"/>
        <w:rPr>
          <w:sz w:val="18"/>
          <w:szCs w:val="18"/>
        </w:rPr>
      </w:pPr>
      <w:r w:rsidDel="00000000" w:rsidR="00000000" w:rsidRPr="00000000">
        <w:rPr>
          <w:sz w:val="18"/>
          <w:szCs w:val="18"/>
          <w:rtl w:val="0"/>
        </w:rPr>
        <w:t xml:space="preserve">Soto, C. (2003). Unfolding the role of protein misfolding in neurodegenerative diseases. Nature Reviews Neuroscience, 4(1), 49–60.</w:t>
      </w:r>
    </w:p>
    <w:p w:rsidR="00000000" w:rsidDel="00000000" w:rsidP="00000000" w:rsidRDefault="00000000" w:rsidRPr="00000000" w14:paraId="00000034">
      <w:pPr>
        <w:spacing w:after="200" w:lineRule="auto"/>
        <w:jc w:val="both"/>
        <w:rPr>
          <w:sz w:val="18"/>
          <w:szCs w:val="18"/>
        </w:rPr>
      </w:pPr>
      <w:r w:rsidDel="00000000" w:rsidR="00000000" w:rsidRPr="00000000">
        <w:rPr>
          <w:sz w:val="18"/>
          <w:szCs w:val="18"/>
          <w:rtl w:val="0"/>
        </w:rPr>
        <w:t xml:space="preserve">Tekmaladze, J. (2026). Ze System Manifesto. Longevity Horizon, 2(1). </w:t>
      </w:r>
      <w:hyperlink r:id="rId15">
        <w:r w:rsidDel="00000000" w:rsidR="00000000" w:rsidRPr="00000000">
          <w:rPr>
            <w:color w:val="1155cc"/>
            <w:sz w:val="18"/>
            <w:szCs w:val="18"/>
            <w:u w:val="single"/>
            <w:rtl w:val="0"/>
          </w:rPr>
          <w:t xml:space="preserve">https://doi.org/10.65649/3hm9b025</w:t>
        </w:r>
      </w:hyperlink>
      <w:r w:rsidDel="00000000" w:rsidR="00000000" w:rsidRPr="00000000">
        <w:rPr>
          <w:rtl w:val="0"/>
        </w:rPr>
      </w:r>
    </w:p>
    <w:p w:rsidR="00000000" w:rsidDel="00000000" w:rsidP="00000000" w:rsidRDefault="00000000" w:rsidRPr="00000000" w14:paraId="00000035">
      <w:pPr>
        <w:spacing w:after="200" w:lineRule="auto"/>
        <w:jc w:val="both"/>
        <w:rPr>
          <w:sz w:val="18"/>
          <w:szCs w:val="18"/>
        </w:rPr>
      </w:pPr>
      <w:r w:rsidDel="00000000" w:rsidR="00000000" w:rsidRPr="00000000">
        <w:rPr>
          <w:sz w:val="18"/>
          <w:szCs w:val="18"/>
          <w:rtl w:val="0"/>
        </w:rPr>
        <w:t xml:space="preserve">Zurek, W. H. (2003). Decoherence, einselection, and the quantum origins of the classical. Reviews of Modern Physics, 75(3), 715–775. </w:t>
      </w:r>
      <w:hyperlink r:id="rId16">
        <w:r w:rsidDel="00000000" w:rsidR="00000000" w:rsidRPr="00000000">
          <w:rPr>
            <w:color w:val="1155cc"/>
            <w:sz w:val="18"/>
            <w:szCs w:val="18"/>
            <w:u w:val="single"/>
            <w:rtl w:val="0"/>
          </w:rPr>
          <w:t xml:space="preserve">https://doi.org/10.1103/RevModPhys.75.715</w:t>
        </w:r>
      </w:hyperlink>
      <w:r w:rsidDel="00000000" w:rsidR="00000000" w:rsidRPr="00000000">
        <w:rPr>
          <w:rtl w:val="0"/>
        </w:rPr>
      </w:r>
    </w:p>
    <w:p w:rsidR="00000000" w:rsidDel="00000000" w:rsidP="00000000" w:rsidRDefault="00000000" w:rsidRPr="00000000" w14:paraId="00000036">
      <w:pPr>
        <w:pStyle w:val="Heading2"/>
        <w:spacing w:after="120" w:lineRule="auto"/>
        <w:rPr>
          <w:sz w:val="18"/>
          <w:szCs w:val="18"/>
        </w:rPr>
      </w:pPr>
      <w:bookmarkStart w:colFirst="0" w:colLast="0" w:name="_3z976fx388yc" w:id="11"/>
      <w:bookmarkEnd w:id="11"/>
      <w:r w:rsidDel="00000000" w:rsidR="00000000" w:rsidRPr="00000000">
        <w:rPr>
          <w:sz w:val="18"/>
          <w:szCs w:val="18"/>
          <w:rtl w:val="0"/>
        </w:rPr>
        <w:t xml:space="preserve">Ethics approval and consent to participate</w:t>
      </w:r>
    </w:p>
    <w:p w:rsidR="00000000" w:rsidDel="00000000" w:rsidP="00000000" w:rsidRDefault="00000000" w:rsidRPr="00000000" w14:paraId="00000037">
      <w:pPr>
        <w:rPr>
          <w:sz w:val="18"/>
          <w:szCs w:val="18"/>
        </w:rPr>
      </w:pPr>
      <w:r w:rsidDel="00000000" w:rsidR="00000000" w:rsidRPr="00000000">
        <w:rPr>
          <w:sz w:val="18"/>
          <w:szCs w:val="18"/>
          <w:rtl w:val="0"/>
        </w:rPr>
        <w:t xml:space="preserve">This research does not contain any studies with human participants or animals performed by the Author.</w:t>
      </w:r>
    </w:p>
    <w:p w:rsidR="00000000" w:rsidDel="00000000" w:rsidP="00000000" w:rsidRDefault="00000000" w:rsidRPr="00000000" w14:paraId="00000038">
      <w:pPr>
        <w:pStyle w:val="Heading2"/>
        <w:spacing w:after="120" w:lineRule="auto"/>
        <w:rPr>
          <w:sz w:val="18"/>
          <w:szCs w:val="18"/>
        </w:rPr>
      </w:pPr>
      <w:bookmarkStart w:colFirst="0" w:colLast="0" w:name="_c2qnszhlolnr" w:id="12"/>
      <w:bookmarkEnd w:id="12"/>
      <w:r w:rsidDel="00000000" w:rsidR="00000000" w:rsidRPr="00000000">
        <w:rPr>
          <w:sz w:val="18"/>
          <w:szCs w:val="18"/>
          <w:rtl w:val="0"/>
        </w:rPr>
        <w:t xml:space="preserve">Consent for publication</w:t>
      </w:r>
    </w:p>
    <w:p w:rsidR="00000000" w:rsidDel="00000000" w:rsidP="00000000" w:rsidRDefault="00000000" w:rsidRPr="00000000" w14:paraId="00000039">
      <w:pPr>
        <w:rPr>
          <w:sz w:val="18"/>
          <w:szCs w:val="18"/>
        </w:rPr>
      </w:pPr>
      <w:r w:rsidDel="00000000" w:rsidR="00000000" w:rsidRPr="00000000">
        <w:rPr>
          <w:sz w:val="18"/>
          <w:szCs w:val="18"/>
          <w:rtl w:val="0"/>
        </w:rPr>
        <w:t xml:space="preserve">The Authors transfer all copyright ownership, in the event the work is published. The undersigned author warrants that the article is original, does not infringe on any copyright or other proprietary right of any third part, is not under consideration by another journal and has not been previously published</w:t>
      </w:r>
    </w:p>
    <w:p w:rsidR="00000000" w:rsidDel="00000000" w:rsidP="00000000" w:rsidRDefault="00000000" w:rsidRPr="00000000" w14:paraId="0000003A">
      <w:pPr>
        <w:pStyle w:val="Heading2"/>
        <w:spacing w:after="120" w:lineRule="auto"/>
        <w:rPr>
          <w:sz w:val="18"/>
          <w:szCs w:val="18"/>
        </w:rPr>
      </w:pPr>
      <w:bookmarkStart w:colFirst="0" w:colLast="0" w:name="_313yqiad4s3m" w:id="13"/>
      <w:bookmarkEnd w:id="13"/>
      <w:r w:rsidDel="00000000" w:rsidR="00000000" w:rsidRPr="00000000">
        <w:rPr>
          <w:sz w:val="18"/>
          <w:szCs w:val="18"/>
          <w:rtl w:val="0"/>
        </w:rPr>
        <w:t xml:space="preserve">Availability of data and materials</w:t>
      </w:r>
    </w:p>
    <w:p w:rsidR="00000000" w:rsidDel="00000000" w:rsidP="00000000" w:rsidRDefault="00000000" w:rsidRPr="00000000" w14:paraId="0000003B">
      <w:pPr>
        <w:rPr>
          <w:sz w:val="18"/>
          <w:szCs w:val="18"/>
        </w:rPr>
      </w:pPr>
      <w:r w:rsidDel="00000000" w:rsidR="00000000" w:rsidRPr="00000000">
        <w:rPr>
          <w:sz w:val="18"/>
          <w:szCs w:val="18"/>
          <w:rtl w:val="0"/>
        </w:rPr>
        <w:t xml:space="preserve">All data and materials generated or analyzed during this study are included in the manuscript. The Authors had full access to all the data in the study and take responsibility for the integrity of the data and the accuracy of the data analysis.</w:t>
      </w:r>
    </w:p>
    <w:p w:rsidR="00000000" w:rsidDel="00000000" w:rsidP="00000000" w:rsidRDefault="00000000" w:rsidRPr="00000000" w14:paraId="0000003C">
      <w:pPr>
        <w:pStyle w:val="Heading2"/>
        <w:spacing w:after="120" w:lineRule="auto"/>
        <w:rPr>
          <w:sz w:val="18"/>
          <w:szCs w:val="18"/>
        </w:rPr>
      </w:pPr>
      <w:bookmarkStart w:colFirst="0" w:colLast="0" w:name="_p44v2kb3kzjl" w:id="14"/>
      <w:bookmarkEnd w:id="14"/>
      <w:r w:rsidDel="00000000" w:rsidR="00000000" w:rsidRPr="00000000">
        <w:rPr>
          <w:sz w:val="18"/>
          <w:szCs w:val="18"/>
          <w:rtl w:val="0"/>
        </w:rPr>
        <w:t xml:space="preserve">Competing interests</w:t>
      </w:r>
    </w:p>
    <w:p w:rsidR="00000000" w:rsidDel="00000000" w:rsidP="00000000" w:rsidRDefault="00000000" w:rsidRPr="00000000" w14:paraId="0000003D">
      <w:pPr>
        <w:rPr>
          <w:sz w:val="18"/>
          <w:szCs w:val="18"/>
        </w:rPr>
      </w:pPr>
      <w:r w:rsidDel="00000000" w:rsidR="00000000" w:rsidRPr="00000000">
        <w:rPr>
          <w:sz w:val="18"/>
          <w:szCs w:val="18"/>
          <w:rtl w:val="0"/>
        </w:rPr>
        <w:t xml:space="preserve">The Author does not have any known or potential conflict of interest including any financial, personal or other relationships with other people or organizations within three years of beginning the submitted work that could inappropriately influence or be perceived to influence their work.</w:t>
      </w:r>
    </w:p>
    <w:p w:rsidR="00000000" w:rsidDel="00000000" w:rsidP="00000000" w:rsidRDefault="00000000" w:rsidRPr="00000000" w14:paraId="0000003E">
      <w:pPr>
        <w:pStyle w:val="Heading2"/>
        <w:spacing w:after="120" w:lineRule="auto"/>
        <w:rPr>
          <w:sz w:val="18"/>
          <w:szCs w:val="18"/>
        </w:rPr>
      </w:pPr>
      <w:bookmarkStart w:colFirst="0" w:colLast="0" w:name="_8vwqv7qd8i5u" w:id="15"/>
      <w:bookmarkEnd w:id="15"/>
      <w:r w:rsidDel="00000000" w:rsidR="00000000" w:rsidRPr="00000000">
        <w:rPr>
          <w:sz w:val="18"/>
          <w:szCs w:val="18"/>
          <w:rtl w:val="0"/>
        </w:rPr>
        <w:t xml:space="preserve">Funding</w:t>
      </w:r>
    </w:p>
    <w:p w:rsidR="00000000" w:rsidDel="00000000" w:rsidP="00000000" w:rsidRDefault="00000000" w:rsidRPr="00000000" w14:paraId="0000003F">
      <w:pPr>
        <w:rPr>
          <w:sz w:val="18"/>
          <w:szCs w:val="18"/>
        </w:rPr>
      </w:pPr>
      <w:r w:rsidDel="00000000" w:rsidR="00000000" w:rsidRPr="00000000">
        <w:rPr>
          <w:sz w:val="18"/>
          <w:szCs w:val="18"/>
          <w:rtl w:val="0"/>
        </w:rPr>
        <w:t xml:space="preserve">This research did not receive any specific grant from funding agencies in the public, commercial or not-for-profit sectors.</w:t>
      </w:r>
    </w:p>
    <w:p w:rsidR="00000000" w:rsidDel="00000000" w:rsidP="00000000" w:rsidRDefault="00000000" w:rsidRPr="00000000" w14:paraId="00000040">
      <w:pPr>
        <w:pStyle w:val="Heading2"/>
        <w:spacing w:after="120" w:lineRule="auto"/>
        <w:rPr>
          <w:sz w:val="18"/>
          <w:szCs w:val="18"/>
        </w:rPr>
      </w:pPr>
      <w:bookmarkStart w:colFirst="0" w:colLast="0" w:name="_c2vl73dc2me0" w:id="16"/>
      <w:bookmarkEnd w:id="16"/>
      <w:r w:rsidDel="00000000" w:rsidR="00000000" w:rsidRPr="00000000">
        <w:rPr>
          <w:sz w:val="18"/>
          <w:szCs w:val="18"/>
          <w:rtl w:val="0"/>
        </w:rPr>
        <w:t xml:space="preserve">Acknowledgements</w:t>
      </w:r>
    </w:p>
    <w:p w:rsidR="00000000" w:rsidDel="00000000" w:rsidP="00000000" w:rsidRDefault="00000000" w:rsidRPr="00000000" w14:paraId="00000041">
      <w:pPr>
        <w:rPr>
          <w:sz w:val="18"/>
          <w:szCs w:val="18"/>
        </w:rPr>
      </w:pPr>
      <w:r w:rsidDel="00000000" w:rsidR="00000000" w:rsidRPr="00000000">
        <w:rPr>
          <w:sz w:val="18"/>
          <w:szCs w:val="18"/>
          <w:rtl w:val="0"/>
        </w:rPr>
        <w:t xml:space="preserve">None.</w:t>
      </w:r>
    </w:p>
    <w:p w:rsidR="00000000" w:rsidDel="00000000" w:rsidP="00000000" w:rsidRDefault="00000000" w:rsidRPr="00000000" w14:paraId="00000042">
      <w:pPr>
        <w:pStyle w:val="Heading2"/>
        <w:spacing w:after="120" w:lineRule="auto"/>
        <w:rPr>
          <w:sz w:val="18"/>
          <w:szCs w:val="18"/>
        </w:rPr>
      </w:pPr>
      <w:bookmarkStart w:colFirst="0" w:colLast="0" w:name="_6peboh8ntcms" w:id="17"/>
      <w:bookmarkEnd w:id="17"/>
      <w:r w:rsidDel="00000000" w:rsidR="00000000" w:rsidRPr="00000000">
        <w:rPr>
          <w:sz w:val="18"/>
          <w:szCs w:val="18"/>
          <w:rtl w:val="0"/>
        </w:rPr>
        <w:t xml:space="preserve">Authors' contributions</w:t>
      </w:r>
    </w:p>
    <w:p w:rsidR="00000000" w:rsidDel="00000000" w:rsidP="00000000" w:rsidRDefault="00000000" w:rsidRPr="00000000" w14:paraId="00000043">
      <w:pPr>
        <w:rPr>
          <w:sz w:val="18"/>
          <w:szCs w:val="18"/>
        </w:rPr>
      </w:pPr>
      <w:r w:rsidDel="00000000" w:rsidR="00000000" w:rsidRPr="00000000">
        <w:rPr>
          <w:sz w:val="18"/>
          <w:szCs w:val="18"/>
          <w:rtl w:val="0"/>
        </w:rPr>
        <w:t xml:space="preserve">The Authors performed equally: study concept and design, acquisition of data, analysis and interpretation of data, drafting of the manuscript, critical revision of the manuscript for important intellectual content, statistical analysis, administrative, technical and material support, study supervision.</w:t>
      </w:r>
    </w:p>
    <w:p w:rsidR="00000000" w:rsidDel="00000000" w:rsidP="00000000" w:rsidRDefault="00000000" w:rsidRPr="00000000" w14:paraId="00000044">
      <w:pPr>
        <w:pStyle w:val="Heading2"/>
        <w:spacing w:after="120" w:lineRule="auto"/>
        <w:rPr>
          <w:sz w:val="18"/>
          <w:szCs w:val="18"/>
        </w:rPr>
      </w:pPr>
      <w:bookmarkStart w:colFirst="0" w:colLast="0" w:name="_2w59dow4gxap" w:id="18"/>
      <w:bookmarkEnd w:id="18"/>
      <w:r w:rsidDel="00000000" w:rsidR="00000000" w:rsidRPr="00000000">
        <w:rPr>
          <w:sz w:val="18"/>
          <w:szCs w:val="18"/>
          <w:rtl w:val="0"/>
        </w:rPr>
        <w:t xml:space="preserve">Declaration of generative AI and AI-assisted technologies in the writing process</w:t>
      </w:r>
    </w:p>
    <w:p w:rsidR="00000000" w:rsidDel="00000000" w:rsidP="00000000" w:rsidRDefault="00000000" w:rsidRPr="00000000" w14:paraId="00000045">
      <w:pPr>
        <w:rPr>
          <w:sz w:val="18"/>
          <w:szCs w:val="18"/>
        </w:rPr>
      </w:pPr>
      <w:r w:rsidDel="00000000" w:rsidR="00000000" w:rsidRPr="00000000">
        <w:rPr>
          <w:sz w:val="18"/>
          <w:szCs w:val="18"/>
          <w:rtl w:val="0"/>
        </w:rPr>
        <w:t xml:space="preserve">The author used ChatGPT to assist with data analysis and manuscript drafting and to improve spelling, grammar and general editing. The authors take full responsibility of the content.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16/j.cell.2011.02.013" TargetMode="External"/><Relationship Id="rId10" Type="http://schemas.openxmlformats.org/officeDocument/2006/relationships/hyperlink" Target="https://doi.org/10.1016/j.molmed.2015.02.009" TargetMode="External"/><Relationship Id="rId13" Type="http://schemas.openxmlformats.org/officeDocument/2006/relationships/hyperlink" Target="https://doi.org/10.1147/rd.53.0183" TargetMode="External"/><Relationship Id="rId12" Type="http://schemas.openxmlformats.org/officeDocument/2006/relationships/hyperlink" Target="https://doi.org/10.1126/science.aaw43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209/0295-5075/1/4/004" TargetMode="External"/><Relationship Id="rId15" Type="http://schemas.openxmlformats.org/officeDocument/2006/relationships/hyperlink" Target="https://doi.org/10.65649/3hm9b025" TargetMode="External"/><Relationship Id="rId14" Type="http://schemas.openxmlformats.org/officeDocument/2006/relationships/hyperlink" Target="https://doi.org/10.1103/PhysRev.28.1049" TargetMode="External"/><Relationship Id="rId16" Type="http://schemas.openxmlformats.org/officeDocument/2006/relationships/hyperlink" Target="https://doi.org/10.1103/RevModPhys.75.715" TargetMode="Externa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1103/PhysRevLett.60.1351" TargetMode="External"/><Relationship Id="rId8" Type="http://schemas.openxmlformats.org/officeDocument/2006/relationships/hyperlink" Target="https://doi.org/10.1182/blood-2008-07-07795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