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livwm1hs9d81" w:id="0"/>
      <w:bookmarkEnd w:id="0"/>
      <w:r w:rsidDel="00000000" w:rsidR="00000000" w:rsidRPr="00000000">
        <w:rPr>
          <w:rtl w:val="0"/>
        </w:rPr>
        <w:t xml:space="preserve">Highlights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Proposes a delayed-choice interferometric scheme in which interference visibility is regulated via predictive, information-based control rather than fixed measurement configurations.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Introduces an operational measure of predictability derived from ensemble-level statistics to adaptively control coherence without modifying quantum mechanical formalism.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Reframes interference as an informational regime shaped by measurement context and accessibility of which-path information, extending established complementarity paradigms.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ahom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60" w:before="200" w:lineRule="auto"/>
      <w:jc w:val="both"/>
    </w:pPr>
    <w:rPr>
      <w:rFonts w:ascii="Tahoma" w:cs="Tahoma" w:eastAsia="Tahoma" w:hAnsi="Tahoma"/>
      <w:b w:val="1"/>
      <w:bCs w:val="1"/>
      <w:color w:val="073763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before="360" w:lineRule="auto"/>
      <w:jc w:val="both"/>
    </w:pPr>
    <w:rPr>
      <w:b w:val="1"/>
      <w:bCs w:val="1"/>
      <w:color w:val="3d85c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200" w:lineRule="auto"/>
    </w:pPr>
    <w:rPr>
      <w:b w:val="1"/>
      <w:bCs w:val="1"/>
      <w:color w:val="3d85c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  <w:jc w:val="both"/>
    </w:pPr>
    <w:rPr>
      <w:b w:val="1"/>
      <w:bCs w:val="1"/>
      <w:color w:val="6fa8dc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lineRule="auto"/>
      <w:jc w:val="both"/>
    </w:pPr>
    <w:rPr>
      <w:i w:val="1"/>
      <w:iCs w:val="1"/>
      <w:color w:val="073763"/>
      <w:sz w:val="18"/>
      <w:szCs w:val="18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  <w:jc w:val="both"/>
    </w:pPr>
    <w:rPr>
      <w:i w:val="1"/>
      <w:iCs w:val="1"/>
      <w:color w:val="073763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  <w:jc w:val="both"/>
    </w:pPr>
    <w:rPr>
      <w:rFonts w:ascii="Tahoma" w:cs="Tahoma" w:eastAsia="Tahoma" w:hAnsi="Tahoma"/>
      <w:b w:val="1"/>
      <w:bCs w:val="1"/>
      <w:color w:val="073763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