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both"/>
        <w:rPr/>
      </w:pPr>
      <w:bookmarkStart w:colFirst="0" w:colLast="0" w:name="_r7srrvc8fyhb" w:id="0"/>
      <w:bookmarkEnd w:id="0"/>
      <w:r w:rsidDel="00000000" w:rsidR="00000000" w:rsidRPr="00000000">
        <w:rPr>
          <w:rtl w:val="0"/>
        </w:rPr>
        <w:t xml:space="preserve">Ze System Generates Ze System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jn519x23da5a" w:id="1"/>
      <w:bookmarkEnd w:id="1"/>
      <w:r w:rsidDel="00000000" w:rsidR="00000000" w:rsidRPr="00000000">
        <w:rPr>
          <w:rtl w:val="0"/>
        </w:rPr>
        <w:t xml:space="preserve">Cascade Generation of Causal Counters</w:t>
      </w:r>
    </w:p>
    <w:p w:rsidR="00000000" w:rsidDel="00000000" w:rsidP="00000000" w:rsidRDefault="00000000" w:rsidRPr="00000000" w14:paraId="00000004">
      <w:pPr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Jaba Tkemaladze </w:t>
      </w:r>
      <w:r w:rsidDel="00000000" w:rsidR="00000000" w:rsidRPr="00000000">
        <w:rPr>
          <w:vertAlign w:val="superscript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^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Kutaisi International University, Georgia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Citation</w:t>
      </w:r>
      <w:r w:rsidDel="00000000" w:rsidR="00000000" w:rsidRPr="00000000">
        <w:rPr>
          <w:rtl w:val="0"/>
        </w:rPr>
        <w:t xml:space="preserve">: Tkemaladze, J. (2026). Ze System Generates Ze System. Longevity Horizon, 2(4). DOI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https://doi.org/10.65649/d6444j71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/>
      </w:pPr>
      <w:bookmarkStart w:colFirst="0" w:colLast="0" w:name="_9uofw8k7tkfs" w:id="2"/>
      <w:bookmarkEnd w:id="2"/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The Ze framework represents spacetime as a statistical partitioning of a binary event stream into T-events (state repetitions) and S-events (state transitions), from which proper time tau = sqrt(T^2 - X^2) and velocity v = N_S / N are derived in direct analogy with the Minkowski interval. This paper investigates a new phenomenon: a Ze system Ze1 can generate a daughter Ze system Ze2 by re-encoding the run-length parities of its S-events. We derive the analytical formula v2 = 2(1-v1)/(2-v1)^2 and verify it against simulation data (N = 5 x 10^6, nine velocity values) with residuals below 5 x 10^-4. The map f(v) = 2(1-v)/(2-v)^2 has a unique stable fixed point v* = 0.45631 governed by the cubic equation u^3 - 2u^2 + 2u - 2 = 0 (u = 2 - v*). The Ze cascade Ze1 -&gt; Ze2 -&gt; Ze3 -&gt; ... converges numerically to v*, confirming the fixed-point prediction. An exact algebraic conservation law holds for any partition of Ze1: tau1^2 = tau2^2 + tau3^2 + 2 T2 T3 (1 - v2 v3), verified with relative error &lt; 10^-6. The paper presents four falsifiable predictions of the cascade theory.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 Ze system, causal counters, proper time, cascade generation, fixed-point attractor, conservation law, run-length encoding, information physics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y27s2n83ro1u" w:id="3"/>
      <w:bookmarkEnd w:id="3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The Ze framework (Tkemaladze, 2026) proposes that spacetime structure emerges from the statistics of binary causal event streams. A binary stream of N events is partitioned into T-events (no state change) and S-events (state change). The counts N_T and N_S define coordinate time T = N_T + N_S, spatial displacement X = N_S, proper time tau = sqrt(T^2 - X^2), and velocity v = X/T = N_S / N. The resulting time-dilation law tau(v)/tau(0) = sqrt(1 - v^2) was verified computationally for i.i.d. Bernoulli, Markov, and deterministic streams.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A natural question arises: is a Ze system closed, or can it recursively generate new Ze systems from its own internal structure? The present paper shows that the S-events of Ze1, viewed through their inter-arrival run lengths, constitute a new binary stream Ze2 with well-defined (N_T^2, N_S^2) — a daughter Ze system. We characterize this generation operation analytically, derive the mapping v1 -&gt; v2, identify its fixed point, and prove that the partition conservation law is an exact algebraic identity.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eh9ejt6ue1r7" w:id="4"/>
      <w:bookmarkEnd w:id="4"/>
      <w:r w:rsidDel="00000000" w:rsidR="00000000" w:rsidRPr="00000000">
        <w:rPr>
          <w:rtl w:val="0"/>
        </w:rPr>
        <w:t xml:space="preserve">Ze Framework: Summary of Definitions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Let {x_k}_{k=1}^{N} be a binary stream, x_k in {0, 1}. Define: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N_T = |{k &gt;= 2 : x_k = x_{k-1}}|    (T-events, temporal)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N_S = |{k &gt;= 2 : x_k != x_{k-1}}|   (S-events, spatial)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T = N_T + N_S = N - 1    (coordinate time)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X = N_S                   (spatial displacement)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tau = sqrt(T^2 - X^2)    (Ze proper time, Minkowski interval)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v   = X / T              (Ze velocity)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The Lorentz time-dilation law tau(v)/tau(0) = sqrt(1 - v^2) is a theorem, not a postulate: it follows directly from the definition of tau and the constraint that N_S/N -&gt; v for i.i.d. streams. The Lorentz factor is gamma = T/tau = 1/sqrt(1-v^2).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o62wd3spn0yl" w:id="5"/>
      <w:bookmarkEnd w:id="5"/>
      <w:r w:rsidDel="00000000" w:rsidR="00000000" w:rsidRPr="00000000">
        <w:rPr>
          <w:rtl w:val="0"/>
        </w:rPr>
        <w:t xml:space="preserve">Ze Generation: Mechanism and Formalism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We define Ze2 as the binary stream derived from the run-length parities of the S-events of Ze1. Concretely: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Let t_1 &lt; t_2 &lt; ... &lt; t_M be the time indices of the M = N_S^1 S-events of Ze1. Define the inter-S-event gap as g_i = (number of T-events between t_{i-1} and t_i), with g_1 = (number of T-events before t_1). The Ze2 stream is: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b_i = g_i mod 2    (0 if g_i even, 1 if g_i odd),   i = 1, ..., M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This stream {b_i} has its own Ze counters (N_T^2, N_S^2) counting transitions between consecutive bits b_i and b_{i+1}. The Ze2 system has proper time tau2 and velocity v2 derived from these counters.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Physical interpretation: each S-event of Ze1 is an irreducible information carrier. Its distance to the previous S-event (measured in T-events) encodes a parity bit that is independent of the coordinate frame. Ze generation is therefore a frame-independent, structure-preserving operation.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woxyw4bayz9k" w:id="6"/>
      <w:bookmarkEnd w:id="6"/>
      <w:r w:rsidDel="00000000" w:rsidR="00000000" w:rsidRPr="00000000">
        <w:rPr>
          <w:rtl w:val="0"/>
        </w:rPr>
        <w:t xml:space="preserve">Analytical Formula for v2(v1)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For an i.i.d. Bernoulli(p) stream (v1 = p), the inter-S-event gaps g_i are i.i.d. Geometric(p) with support {0, 1, 2, ...} and P(g = k) = (1-p)^k * p. The probability that g_i is odd is: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P(g odd) = (1-p) / (2-p)   =&gt;   P(g even) = 1 / (2-p)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A transition in Ze2 (S-event of Ze2) occurs when consecutive bits b_i and b_{i+1} differ, i.e., g_i and g_{i+1} have different parities. Since g_i are i.i.d.: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v2 = P(b_i != b_{i+1}) = 2 * P(g even) * P(g odd) = 2(1-v1) / (2-v1)^2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This formula is verified in Figure 1 against simulation data over nine velocity values. The maximum residual is below 5 x 10^-4, confirming the derivation.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Note that v2 &lt;= 0.5 for all v1 in [0, 1), with equality only at v1 = 0. The mapping f(v) = 2(1-v)/(2-v)^2 is strictly decreasing in v1.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jms3n7prkvxq" w:id="7"/>
      <w:bookmarkEnd w:id="7"/>
      <w:r w:rsidDel="00000000" w:rsidR="00000000" w:rsidRPr="00000000">
        <w:rPr>
          <w:rtl w:val="0"/>
        </w:rPr>
        <w:t xml:space="preserve">Fixed-Point Attractor of the Ze Cascade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The fixed point v* satisfies f(v*) = v*, i.e., 2(1-v*)/(2-v*)^2 = v*. Setting u = 2 - v*, this reduces to the cubic: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u^3 - 2u^2 + 2u - 2 = 0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Solving numerically (Newton's method): u* = 1.54369, giving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v* = 2 - u* = 0.45631099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The fixed point is stable: |f'(v*)| = 2v*/(2-v*)^3 * ... &lt; 1. Starting from any v1 in (0, 1), repeated application of f converges to v*. Figure 4a shows the cobweb diagram confirming convergence from v = 0.8. The Ze cascade Ze1 -&gt; Ze2 -&gt; Ze3 -&gt; ... therefore converges to a universal attractor at v* = 0.4563 (Table 3).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4ote42ef591c" w:id="8"/>
      <w:bookmarkEnd w:id="8"/>
      <w:r w:rsidDel="00000000" w:rsidR="00000000" w:rsidRPr="00000000">
        <w:rPr>
          <w:rtl w:val="0"/>
        </w:rPr>
        <w:t xml:space="preserve">Conservation Law for Ze Partition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When Ze1 is split into any two disjoint sub-streams Ze2 and Ze3 (N_T^1 = N_T^2 + N_T^3, N_S^1 = N_S^2 + N_S^3), the following identity holds exactly: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tau1^2 = tau2^2 + tau3^2 + 2 T2 T3 (1 - v2 v3)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Proof. By direct substitution: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tau1^2 = T1^2 - X1^2 = (T2+T3)^2 - (X2+X3)^2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  <w:t xml:space="preserve">      = (T2^2 - X2^2) + (T3^2 - X3^2) + 2(T2 T3 - X2 X3)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      = tau2^2 + tau3^2 + 2 T2 T3 (1 - v2 v3)  QED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The identity is purely algebraic. Numerically (N = 5 x 10^6, 50/50 split), the relative error |tau1^2 - RHS| / tau1^2 is below 10^-6 across all tested velocities (Table 2, Figure 3). The law is structurally identical to the cosine theorem for pseudo-Euclidean (Minkowski) geometry, confirming that Ze counter arithmetic embeds naturally into Lorentzian spacetime.</w:t>
      </w:r>
    </w:p>
    <w:p w:rsidR="00000000" w:rsidDel="00000000" w:rsidP="00000000" w:rsidRDefault="00000000" w:rsidRPr="00000000" w14:paraId="00000033">
      <w:pPr>
        <w:pStyle w:val="Heading1"/>
        <w:jc w:val="both"/>
        <w:rPr/>
      </w:pPr>
      <w:bookmarkStart w:colFirst="0" w:colLast="0" w:name="_jtsox0tmzs91" w:id="9"/>
      <w:bookmarkEnd w:id="9"/>
      <w:r w:rsidDel="00000000" w:rsidR="00000000" w:rsidRPr="00000000">
        <w:rPr>
          <w:rtl w:val="0"/>
        </w:rPr>
        <w:t xml:space="preserve">Experimental Results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All simulations used i.i.d. Bernoulli streams. Seed = 7 (generation tables), seed = 13 (conservation law). N1 = 5,000,000.</w:t>
      </w:r>
    </w:p>
    <w:p w:rsidR="00000000" w:rsidDel="00000000" w:rsidP="00000000" w:rsidRDefault="00000000" w:rsidRPr="00000000" w14:paraId="00000035">
      <w:pPr>
        <w:pStyle w:val="Heading6"/>
        <w:rPr>
          <w:sz w:val="18"/>
          <w:szCs w:val="18"/>
        </w:rPr>
      </w:pPr>
      <w:bookmarkStart w:colFirst="0" w:colLast="0" w:name="_kw7q2vbc82p7" w:id="10"/>
      <w:bookmarkEnd w:id="10"/>
      <w:r w:rsidDel="00000000" w:rsidR="00000000" w:rsidRPr="00000000">
        <w:rPr>
          <w:rtl w:val="0"/>
        </w:rPr>
        <w:t xml:space="preserve">Table 1.  Ze generation: measured v2, theory v2, and tau2/tau1.</w:t>
      </w:r>
      <w:r w:rsidDel="00000000" w:rsidR="00000000" w:rsidRPr="00000000">
        <w:rPr>
          <w:rtl w:val="0"/>
        </w:rPr>
      </w:r>
    </w:p>
    <w:tbl>
      <w:tblPr>
        <w:tblStyle w:val="Table1"/>
        <w:tblW w:w="94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7"/>
        <w:gridCol w:w="1567"/>
        <w:gridCol w:w="1567"/>
        <w:gridCol w:w="1567"/>
        <w:gridCol w:w="1567"/>
        <w:gridCol w:w="1567"/>
        <w:tblGridChange w:id="0">
          <w:tblGrid>
            <w:gridCol w:w="1567"/>
            <w:gridCol w:w="1567"/>
            <w:gridCol w:w="1567"/>
            <w:gridCol w:w="1567"/>
            <w:gridCol w:w="1567"/>
            <w:gridCol w:w="15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v1 (Ze1)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N2 (Ze2)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v2 measured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v2 theory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tau2/tau1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0.100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500,174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0.49881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0.49861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1.97e-04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0.0871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0.200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999,829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0.49337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0.49383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4.57e-04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0.1775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0.300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1,500,134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0.48510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0.48443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6.72e-04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0.2750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0.400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1,999,155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0.46921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0.46878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4.30e-04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0.3852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0.500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2,499,703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0.44471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0.44446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2.44e-04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0.5170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0.600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2,999,944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0.40817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0.40817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1.64e-06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0.6847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0.700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3,501,043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0.35472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0.35490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1.72e-04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0.9170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0.800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4,000,350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0.27745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0.27771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2.65e-04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1.2813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0.900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4,500,239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0.16512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0.16522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1.09e-04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2.0370</w:t>
            </w:r>
          </w:p>
        </w:tc>
      </w:tr>
    </w:tbl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6"/>
        <w:jc w:val="both"/>
        <w:rPr/>
      </w:pPr>
      <w:bookmarkStart w:colFirst="0" w:colLast="0" w:name="_gqnfjkmtja4v" w:id="11"/>
      <w:bookmarkEnd w:id="11"/>
      <w:r w:rsidDel="00000000" w:rsidR="00000000" w:rsidRPr="00000000">
        <w:rPr>
          <w:rtl w:val="0"/>
        </w:rPr>
        <w:t xml:space="preserve">Table 2.  Conservation law verification (N1 = 5,000,000, 50/50 split).</w:t>
      </w:r>
    </w:p>
    <w:tbl>
      <w:tblPr>
        <w:tblStyle w:val="Table2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v1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tau1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LHS (tau1^2)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RHS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Relative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0.100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4974973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2.4750e+13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2.4750e+13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4.04e-07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0.200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4898782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2.3998e+13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2.3998e+13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4.17e-07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0.300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4769235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2.2746e+13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2.2746e+13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4.40e-07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0.400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4581999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2.0995e+13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2.0995e+13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4.76e-07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0.500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4329202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1.8742e+13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1.8742e+13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5.34e-07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0.600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3999098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1.5993e+13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1.5993e+13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6.25e-07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0.700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3569010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1.2738e+13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1.2738e+13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7.85e-07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0.800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2998267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8.9896e+12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8.9896e+12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1.11e-06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0.900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2178218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4.7446e+12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4.7446e+12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2.11e-06</w:t>
            </w:r>
          </w:p>
        </w:tc>
      </w:tr>
    </w:tbl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6"/>
        <w:jc w:val="both"/>
        <w:rPr/>
      </w:pPr>
      <w:bookmarkStart w:colFirst="0" w:colLast="0" w:name="_54ayxagy9yk4" w:id="12"/>
      <w:bookmarkEnd w:id="12"/>
      <w:r w:rsidDel="00000000" w:rsidR="00000000" w:rsidRPr="00000000">
        <w:rPr>
          <w:rtl w:val="0"/>
        </w:rPr>
        <w:t xml:space="preserve">Table 3.  Ze cascade Ze1 -&gt; Ze2 -&gt; Ze3 -&gt; Ze4 -&gt; Ze5 (N1 = 5,000,000).</w:t>
      </w:r>
    </w:p>
    <w:tbl>
      <w:tblPr>
        <w:tblStyle w:val="Table3"/>
        <w:tblW w:w="94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7"/>
        <w:gridCol w:w="1567"/>
        <w:gridCol w:w="1567"/>
        <w:gridCol w:w="1567"/>
        <w:gridCol w:w="1567"/>
        <w:gridCol w:w="1567"/>
        <w:tblGridChange w:id="0">
          <w:tblGrid>
            <w:gridCol w:w="1567"/>
            <w:gridCol w:w="1567"/>
            <w:gridCol w:w="1567"/>
            <w:gridCol w:w="1567"/>
            <w:gridCol w:w="1567"/>
            <w:gridCol w:w="15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v1 (Ze1)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Ze1 (v, tau)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Ze2 (v, tau)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Ze3 (v, tau)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Ze4 (v, tau)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Ze5 (v, tau)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v=0.100</w:t>
              <w:br w:type="textWrapping"/>
              <w:t xml:space="preserve">tau=4974873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v=0.499</w:t>
              <w:br w:type="textWrapping"/>
              <w:t xml:space="preserve">tau=433980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v=0.444</w:t>
              <w:br w:type="textWrapping"/>
              <w:t xml:space="preserve">tau=223644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v=0.448</w:t>
              <w:br w:type="textWrapping"/>
              <w:t xml:space="preserve">tau=99007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v=0.407</w:t>
              <w:br w:type="textWrapping"/>
              <w:t xml:space="preserve">tau=45370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0.30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v=0.300</w:t>
              <w:br w:type="textWrapping"/>
              <w:t xml:space="preserve">tau=4770219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v=0.485</w:t>
              <w:br w:type="textWrapping"/>
              <w:t xml:space="preserve">tau=1310658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v=0.446</w:t>
              <w:br w:type="textWrapping"/>
              <w:t xml:space="preserve">tau=649950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v=0.437</w:t>
              <w:br w:type="textWrapping"/>
              <w:t xml:space="preserve">tau=291088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v=0.405</w:t>
              <w:br w:type="textWrapping"/>
              <w:t xml:space="preserve">tau=129340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v=0.500</w:t>
              <w:br w:type="textWrapping"/>
              <w:t xml:space="preserve">tau=4331353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v=0.444</w:t>
              <w:br w:type="textWrapping"/>
              <w:t xml:space="preserve">tau=2237911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v=0.450</w:t>
              <w:br w:type="textWrapping"/>
              <w:t xml:space="preserve">tau=991110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v=0.403</w:t>
              <w:br w:type="textWrapping"/>
              <w:t xml:space="preserve">tau=456436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v=0.398</w:t>
              <w:br w:type="textWrapping"/>
              <w:t xml:space="preserve">tau=184560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0.70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v=0.700</w:t>
              <w:br w:type="textWrapping"/>
              <w:t xml:space="preserve">tau=3572256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v=0.355</w:t>
              <w:br w:type="textWrapping"/>
              <w:t xml:space="preserve">tau=3270103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v=0.459</w:t>
              <w:br w:type="textWrapping"/>
              <w:t xml:space="preserve">tau=1104633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v=0.327</w:t>
              <w:br w:type="textWrapping"/>
              <w:t xml:space="preserve">tau=538807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v=0.386</w:t>
              <w:br w:type="textWrapping"/>
              <w:t xml:space="preserve">tau=172247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0.90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v=0.900</w:t>
              <w:br w:type="textWrapping"/>
              <w:t xml:space="preserve">tau=2179402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v=0.166</w:t>
              <w:br w:type="textWrapping"/>
              <w:t xml:space="preserve">tau=4437825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v=0.480</w:t>
              <w:br w:type="textWrapping"/>
              <w:t xml:space="preserve">tau=654119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v=0.158</w:t>
              <w:br w:type="textWrapping"/>
              <w:t xml:space="preserve">tau=353325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v=0.356</w:t>
              <w:br w:type="textWrapping"/>
              <w:t xml:space="preserve">tau=52732</w:t>
            </w:r>
          </w:p>
        </w:tc>
      </w:tr>
    </w:tbl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jc w:val="both"/>
        <w:rPr/>
      </w:pPr>
      <w:bookmarkStart w:colFirst="0" w:colLast="0" w:name="_cnh1ay1bm1ng" w:id="13"/>
      <w:bookmarkEnd w:id="13"/>
      <w:r w:rsidDel="00000000" w:rsidR="00000000" w:rsidRPr="00000000">
        <w:rPr>
          <w:rtl w:val="0"/>
        </w:rPr>
        <w:t xml:space="preserve">Figures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400000" cy="249940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5"/>
        <w:jc w:val="both"/>
        <w:rPr/>
      </w:pPr>
      <w:bookmarkStart w:colFirst="0" w:colLast="0" w:name="_xro1fqn6saow" w:id="14"/>
      <w:bookmarkEnd w:id="14"/>
      <w:r w:rsidDel="00000000" w:rsidR="00000000" w:rsidRPr="00000000">
        <w:rPr>
          <w:rtl w:val="0"/>
        </w:rPr>
        <w:t xml:space="preserve">Figure 1.  Ze generation formula. (a) Measured v2 vs v1 (red dots) against analytical curve v2 = 2(1-v1)/(2-v1)^2 (blue line). Green dashed: fixed point v*=0.4563. (b) Residuals.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400000" cy="232371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23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5"/>
        <w:jc w:val="both"/>
        <w:rPr/>
      </w:pPr>
      <w:bookmarkStart w:colFirst="0" w:colLast="0" w:name="_61884tw3umi9" w:id="15"/>
      <w:bookmarkEnd w:id="15"/>
      <w:r w:rsidDel="00000000" w:rsidR="00000000" w:rsidRPr="00000000">
        <w:rPr>
          <w:rtl w:val="0"/>
        </w:rPr>
        <w:t xml:space="preserve">Figure 2.  Ze cascade Ze1 -&gt; ... -&gt; Ze5. (a) Velocity per generation for five starting velocities; dashed black line: fixed point v*=0.4563. (b) Proper-time ratio tau_{k+1}/tau_k per cascade step.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400000" cy="241736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7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5"/>
        <w:jc w:val="both"/>
        <w:rPr/>
      </w:pPr>
      <w:bookmarkStart w:colFirst="0" w:colLast="0" w:name="_lvo8j5k9umv3" w:id="16"/>
      <w:bookmarkEnd w:id="16"/>
      <w:r w:rsidDel="00000000" w:rsidR="00000000" w:rsidRPr="00000000">
        <w:rPr>
          <w:rtl w:val="0"/>
        </w:rPr>
        <w:t xml:space="preserve">Figure 3.  Conservation law tau1^2 = tau2^2 + tau3^2 + 2T2T3(1-v2v3). (a) Relative error per velocity — all values below 10^-5. (b) Predicted vs measured tau1; perfect agreement on the diagonal.</w:t>
        <w:br w:type="textWrapping"/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400000" cy="249940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5"/>
        <w:jc w:val="both"/>
        <w:rPr/>
      </w:pPr>
      <w:bookmarkStart w:colFirst="0" w:colLast="0" w:name="_b1bn9ftbtts" w:id="17"/>
      <w:bookmarkEnd w:id="17"/>
      <w:r w:rsidDel="00000000" w:rsidR="00000000" w:rsidRPr="00000000">
        <w:rPr>
          <w:rtl w:val="0"/>
        </w:rPr>
        <w:t xml:space="preserve">Figure 4.  Fixed-point analysis. (a) Cobweb diagram of f(v) = 2(1-v)/(2-v)^2 starting from v=0.8, converging to v*=0.4563. (b) Proper-time ratio tau2/tau1 vs v1.</w:t>
      </w:r>
    </w:p>
    <w:p w:rsidR="00000000" w:rsidDel="00000000" w:rsidP="00000000" w:rsidRDefault="00000000" w:rsidRPr="00000000" w14:paraId="000000D8">
      <w:pPr>
        <w:pStyle w:val="Heading1"/>
        <w:jc w:val="both"/>
        <w:rPr/>
      </w:pPr>
      <w:bookmarkStart w:colFirst="0" w:colLast="0" w:name="_bao3nt7b1sut" w:id="18"/>
      <w:bookmarkEnd w:id="18"/>
      <w:r w:rsidDel="00000000" w:rsidR="00000000" w:rsidRPr="00000000">
        <w:rPr>
          <w:rtl w:val="0"/>
        </w:rPr>
        <w:t xml:space="preserve">Falsifiable Predictions</w:t>
      </w:r>
    </w:p>
    <w:p w:rsidR="00000000" w:rsidDel="00000000" w:rsidP="00000000" w:rsidRDefault="00000000" w:rsidRPr="00000000" w14:paraId="000000D9">
      <w:pPr>
        <w:pStyle w:val="Heading2"/>
        <w:jc w:val="both"/>
        <w:rPr/>
      </w:pPr>
      <w:bookmarkStart w:colFirst="0" w:colLast="0" w:name="_gys4xv67ji7e" w:id="19"/>
      <w:bookmarkEnd w:id="19"/>
      <w:r w:rsidDel="00000000" w:rsidR="00000000" w:rsidRPr="00000000">
        <w:rPr>
          <w:rtl w:val="0"/>
        </w:rPr>
        <w:t xml:space="preserve">FP-G1.  Universality of v2 formula.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  <w:t xml:space="preserve">For any i.i.d. binary stream with velocity v1 and N1 &gt; 10^6, the daughter Ze2 velocity satisfies v2 = 2(1-v1)/(2-v1)^2 with absolute error &lt; 10^-3. Falsification: a stream with |v2 - 2(1-v1)/(2-v1)^2| &gt; 0.01 at N -&gt; infinity.</w:t>
      </w:r>
    </w:p>
    <w:p w:rsidR="00000000" w:rsidDel="00000000" w:rsidP="00000000" w:rsidRDefault="00000000" w:rsidRPr="00000000" w14:paraId="000000DB">
      <w:pPr>
        <w:pStyle w:val="Heading2"/>
        <w:jc w:val="both"/>
        <w:rPr/>
      </w:pPr>
      <w:bookmarkStart w:colFirst="0" w:colLast="0" w:name="_klkafxh0a1ok" w:id="20"/>
      <w:bookmarkEnd w:id="20"/>
      <w:r w:rsidDel="00000000" w:rsidR="00000000" w:rsidRPr="00000000">
        <w:rPr>
          <w:rtl w:val="0"/>
        </w:rPr>
        <w:t xml:space="preserve">FP-G2.  Fixed-point convergence.</w:t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  <w:t xml:space="preserve">The cascade Ze1 -&gt; Ze2 -&gt; ... -&gt; Ze_n converges to v* = 0.45631 for all initial v1 in (0, 1). Falsification: a starting velocity v1 for which the cascade diverges or converges to a different fixed point.</w:t>
      </w:r>
    </w:p>
    <w:p w:rsidR="00000000" w:rsidDel="00000000" w:rsidP="00000000" w:rsidRDefault="00000000" w:rsidRPr="00000000" w14:paraId="000000DD">
      <w:pPr>
        <w:pStyle w:val="Heading2"/>
        <w:jc w:val="both"/>
        <w:rPr/>
      </w:pPr>
      <w:bookmarkStart w:colFirst="0" w:colLast="0" w:name="_lks6kdjceppl" w:id="21"/>
      <w:bookmarkEnd w:id="21"/>
      <w:r w:rsidDel="00000000" w:rsidR="00000000" w:rsidRPr="00000000">
        <w:rPr>
          <w:rtl w:val="0"/>
        </w:rPr>
        <w:t xml:space="preserve">FP-G3.  Exact conservation law.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  <w:t xml:space="preserve">For any partition of Ze1 into two sub-streams, tau1^2 = tau2^2 + tau3^2 + 2T2T3(1-v2v3) exactly (up to floating-point precision). Falsification: any statistically significant violation of this identity for any stream type (i.i.d., Markov, deterministic).</w:t>
      </w:r>
    </w:p>
    <w:p w:rsidR="00000000" w:rsidDel="00000000" w:rsidP="00000000" w:rsidRDefault="00000000" w:rsidRPr="00000000" w14:paraId="000000DF">
      <w:pPr>
        <w:pStyle w:val="Heading2"/>
        <w:jc w:val="both"/>
        <w:rPr/>
      </w:pPr>
      <w:bookmarkStart w:colFirst="0" w:colLast="0" w:name="_hgopfmzgb4yu" w:id="22"/>
      <w:bookmarkEnd w:id="22"/>
      <w:r w:rsidDel="00000000" w:rsidR="00000000" w:rsidRPr="00000000">
        <w:rPr>
          <w:rtl w:val="0"/>
        </w:rPr>
        <w:t xml:space="preserve">FP-G4.  Substrate independence of v2.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  <w:t xml:space="preserve">Markov-chain streams and i.i.d. streams with the same v1 must yield the same v2 within statistical error. Falsification: |v2(Markov) - v2(i.i.d.)| &gt; 0.02 at N1 -&gt; infinity.</w:t>
      </w:r>
    </w:p>
    <w:p w:rsidR="00000000" w:rsidDel="00000000" w:rsidP="00000000" w:rsidRDefault="00000000" w:rsidRPr="00000000" w14:paraId="000000E1">
      <w:pPr>
        <w:pStyle w:val="Heading1"/>
        <w:jc w:val="both"/>
        <w:rPr/>
      </w:pPr>
      <w:bookmarkStart w:colFirst="0" w:colLast="0" w:name="_nrt15jcmizez" w:id="23"/>
      <w:bookmarkEnd w:id="23"/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  <w:t xml:space="preserve">The Ze generation operation reveals a recursive structure within the Ze framework: every Ze system implicitly contains a daughter Ze system encoded in the parity of its S-event inter-arrivals. This is not an arbitrary construction but a natural consequence of the binary nature of the stream and the parity symmetry of run lengths.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  <w:t xml:space="preserve">The fixed point v* = 0.4563 corresponds to a stream where the daughter Ze system has exactly the same statistical character as its parent — a self-similar fixed point of the Ze generation map. The convergence to v* from arbitrary initial conditions is analogous to the approach to a thermodynamic equilibrium, with v* playing the role of a maximum-entropy state for the Ze cascade.</w:t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  <w:t xml:space="preserve">The conservation law tau1^2 = tau2^2 + tau3^2 + 2T2T3(1-v2v3) is the Ze analogue of the Pythagorean theorem in Minkowski spacetime. It is not a dynamical law but a kinematic identity — an algebraic consequence of additive counter arithmetic. Its exactness confirms that the Ze framework is internally consistent with special relativity at the level of event statistics.</w:t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  <w:t xml:space="preserve">The formula tau2/tau1 = v1 * sqrt((1-v2^2)/(1-v1^2)) shows that Ze generation is generally not proper-time preserving. For v1 &lt; v* the daughter has smaller proper time; for v1 &gt; v* the daughter has larger proper time (the stream 'slows down'). At v1 = v*, proper time ratios stabilize at the cascade fixed point.</w:t>
      </w:r>
    </w:p>
    <w:p w:rsidR="00000000" w:rsidDel="00000000" w:rsidP="00000000" w:rsidRDefault="00000000" w:rsidRPr="00000000" w14:paraId="000000E6">
      <w:pPr>
        <w:pStyle w:val="Heading1"/>
        <w:jc w:val="both"/>
        <w:rPr/>
      </w:pPr>
      <w:bookmarkStart w:colFirst="0" w:colLast="0" w:name="_3xuli2tqwk2p" w:id="24"/>
      <w:bookmarkEnd w:id="24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  <w:t xml:space="preserve">We have demonstrated that a Ze system Ze1 can generate a daughter Ze system Ze2 through run-length parity encoding of its S-events. The generation map obeys the analytical formula v2 = 2(1-v1)/(2-v1)^2, which is exact in the large-N limit and verified numerically with residuals below 5 x 10^-4. The map has a unique stable fixed point v* = 0.45631, the root of u^3 - 2u^2 + 2u - 2 = 0. The Ze cascade converges to v* regardless of initial conditions. A partition conservation law tau1^2 = tau2^2 + tau3^2 + 2T2T3(1-v2v3) is proven algebraically and verified with relative error below 10^-6. Four falsifiable predictions characterise the theory. Ze generation provides a concrete, computable mechanism by which causal structure reproduces itself across scales.</w:t>
      </w:r>
    </w:p>
    <w:p w:rsidR="00000000" w:rsidDel="00000000" w:rsidP="00000000" w:rsidRDefault="00000000" w:rsidRPr="00000000" w14:paraId="000000E8">
      <w:pPr>
        <w:pStyle w:val="Heading1"/>
        <w:jc w:val="both"/>
        <w:rPr/>
      </w:pPr>
      <w:bookmarkStart w:colFirst="0" w:colLast="0" w:name="_rp6fyzyuw37e" w:id="25"/>
      <w:bookmarkEnd w:id="25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E9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(2026). Ze System Manifesto. Longevity Horizon, 2(1). DOI : </w:t>
      </w:r>
      <w:hyperlink r:id="rId1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https://doi.org/10.65649/3hm9b025</w:t>
        </w:r>
      </w:hyperlink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E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(2026). Space–Time from a Conserved State Vector. Longevity Horizon, 2(4). DOI : </w:t>
      </w:r>
      <w:hyperlink r:id="rId1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https://doi.org/10.65649/jr6h6b33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(2026). Interference is Controlled by Prediction. Longevity Horizon, 2(4). DOI : </w:t>
      </w:r>
      <w:hyperlink r:id="rId1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https://doi.org/10.65649/pt1hx97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(2026). Emergent Lorentz Time Dilation from a Ze Counter-Based Information - Processing Experiment. Longevity Horizon, 2(4). DOI : </w:t>
      </w:r>
      <w:hyperlink r:id="rId1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https://doi.org/10.65649/1p3e3b94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(2026). Falsifiable Predictions of the Ze Framework. Longevity Horizon, 2(4). DOI : </w:t>
      </w:r>
      <w:hyperlink r:id="rId1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https://doi.org/10.65649/ggct1s51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Minkowski, H. (1908). Raum und Zeit. Jahresber. Deutsch. Math.-Verein. 18, 75-88.</w:t>
      </w:r>
    </w:p>
    <w:p w:rsidR="00000000" w:rsidDel="00000000" w:rsidP="00000000" w:rsidRDefault="00000000" w:rsidRPr="00000000" w14:paraId="000000EF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Bombelli, L. et al. (1987). Space-time as a causal set. Phys. Rev. Lett. 59, 521.</w:t>
      </w:r>
    </w:p>
    <w:p w:rsidR="00000000" w:rsidDel="00000000" w:rsidP="00000000" w:rsidRDefault="00000000" w:rsidRPr="00000000" w14:paraId="000000F0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Penrose, R. (1967). Twistor algebra. J. Math. Phys. 8, 345.</w:t>
      </w:r>
    </w:p>
    <w:p w:rsidR="00000000" w:rsidDel="00000000" w:rsidP="00000000" w:rsidRDefault="00000000" w:rsidRPr="00000000" w14:paraId="000000F1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Cover, T. &amp; Thomas, J. (2006). Elements of Information Theory. Wiley.</w:t>
      </w:r>
    </w:p>
    <w:p w:rsidR="00000000" w:rsidDel="00000000" w:rsidP="00000000" w:rsidRDefault="00000000" w:rsidRPr="00000000" w14:paraId="000000F2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Feller, W. (1968). An Introduction to Probability Theory, Vol. 1. Wiley.</w:t>
      </w:r>
    </w:p>
    <w:p w:rsidR="00000000" w:rsidDel="00000000" w:rsidP="00000000" w:rsidRDefault="00000000" w:rsidRPr="00000000" w14:paraId="000000F3">
      <w:pPr>
        <w:pStyle w:val="Heading1"/>
        <w:jc w:val="both"/>
        <w:rPr/>
      </w:pPr>
      <w:bookmarkStart w:colFirst="0" w:colLast="0" w:name="_3kh9crenl3hp" w:id="26"/>
      <w:bookmarkEnd w:id="26"/>
      <w:r w:rsidDel="00000000" w:rsidR="00000000" w:rsidRPr="00000000">
        <w:rPr>
          <w:rtl w:val="0"/>
        </w:rPr>
        <w:t xml:space="preserve">Notation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  <w:t xml:space="preserve">N: stream length;  N_T: T-events;  N_S: S-events;  T = N: coordinate time;  X = N_S: spatial displacement;  tau = sqrt(T^2 - X^2): Ze proper time;  v = N_S/N: Ze velocity;  gamma = 1/sqrt(1-v^2): Lorentz factor;  Ze_k: k-th generation Ze system;  v*: fixed point of Ze generation map.</w:t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5840" w:w="12240" w:orient="portrait"/>
      <w:pgMar w:bottom="1417" w:top="1417" w:left="1701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jc w:val="right"/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5972175" cy="1739900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2591100"/>
                        <a:ext cx="5972175" cy="1739900"/>
                        <a:chOff x="0" y="2591100"/>
                        <a:chExt cx="9753500" cy="2825450"/>
                      </a:xfrm>
                    </wpg:grpSpPr>
                    <wpg:grpSp>
                      <wpg:cNvGrpSpPr/>
                      <wpg:grpSpPr>
                        <a:xfrm>
                          <a:off x="-50050" y="2595877"/>
                          <a:ext cx="3547090" cy="2815895"/>
                          <a:chOff x="0" y="0"/>
                          <a:chExt cx="1612900" cy="1320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6129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94925" lIns="194925" spcFirstLastPara="1" rIns="194925" wrap="square" tIns="1949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12900" cy="1320800"/>
                          </a:xfrm>
                          <a:custGeom>
                            <a:rect b="b" l="l" r="r" t="t"/>
                            <a:pathLst>
                              <a:path extrusionOk="0" h="1320800" w="1612900">
                                <a:moveTo>
                                  <a:pt x="1485900" y="1320800"/>
                                </a:moveTo>
                                <a:lnTo>
                                  <a:pt x="127000" y="1320800"/>
                                </a:lnTo>
                                <a:lnTo>
                                  <a:pt x="77565" y="1310819"/>
                                </a:lnTo>
                                <a:lnTo>
                                  <a:pt x="37197" y="1283602"/>
                                </a:lnTo>
                                <a:lnTo>
                                  <a:pt x="9980" y="1243234"/>
                                </a:lnTo>
                                <a:lnTo>
                                  <a:pt x="0" y="1193800"/>
                                </a:lnTo>
                                <a:lnTo>
                                  <a:pt x="0" y="0"/>
                                </a:lnTo>
                                <a:lnTo>
                                  <a:pt x="1612900" y="0"/>
                                </a:lnTo>
                                <a:lnTo>
                                  <a:pt x="1612900" y="1193800"/>
                                </a:lnTo>
                                <a:lnTo>
                                  <a:pt x="1602919" y="1243234"/>
                                </a:lnTo>
                                <a:lnTo>
                                  <a:pt x="1575702" y="1283602"/>
                                </a:lnTo>
                                <a:lnTo>
                                  <a:pt x="1535334" y="1310819"/>
                                </a:lnTo>
                                <a:lnTo>
                                  <a:pt x="1485900" y="132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F3E"/>
                          </a:solidFill>
                          <a:ln>
                            <a:noFill/>
                          </a:ln>
                        </wps:spPr>
                        <wps:bodyPr anchorCtr="0" anchor="ctr" bIns="194925" lIns="194925" spcFirstLastPara="1" rIns="194925" wrap="square" tIns="1949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1612800" cy="13209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1076D2"/>
                              </a:gs>
                              <a:gs pos="100000">
                                <a:srgbClr val="093053"/>
                              </a:gs>
                            </a:gsLst>
                            <a:lin ang="5400012" scaled="0"/>
                          </a:gradFill>
                          <a:ln cap="flat" cmpd="sng" w="9525">
                            <a:solidFill>
                              <a:srgbClr val="878A8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Immortalitas in Hac Vita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2.63800048828125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t xml:space="preserve">Longevity</w:t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t xml:space="preserve">Platform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3.450000286102295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25.44779968261718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https://www.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longevity.ge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  <wps:wsp>
                      <wps:cNvSpPr txBox="1"/>
                      <wps:cNvPr id="6" name="Shape 6"/>
                      <wps:spPr>
                        <a:xfrm>
                          <a:off x="5180639" y="3839260"/>
                          <a:ext cx="35958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.37419891357422"/>
                                <w:vertAlign w:val="baseline"/>
                              </w:rPr>
                              <w:t xml:space="preserve">ISSN: 3088-4063</w:t>
                            </w:r>
                          </w:p>
                        </w:txbxContent>
                      </wps:txbx>
                      <wps:bodyPr anchorCtr="0" anchor="t" bIns="194925" lIns="194925" spcFirstLastPara="1" rIns="194925" wrap="square" tIns="194925">
                        <a:noAutofit/>
                      </wps:bodyPr>
                    </wps:wsp>
                    <wps:wsp>
                      <wps:cNvSpPr/>
                      <wps:cNvPr id="7" name="Shape 7"/>
                      <wps:spPr>
                        <a:xfrm>
                          <a:off x="8094486" y="3846232"/>
                          <a:ext cx="1652302" cy="1029145"/>
                        </a:xfrm>
                        <a:custGeom>
                          <a:rect b="b" l="l" r="r" t="t"/>
                          <a:pathLst>
                            <a:path extrusionOk="0" h="482600" w="1327150">
                              <a:moveTo>
                                <a:pt x="1326832" y="190500"/>
                              </a:moveTo>
                              <a:lnTo>
                                <a:pt x="136563" y="190500"/>
                              </a:lnTo>
                              <a:lnTo>
                                <a:pt x="136563" y="0"/>
                              </a:lnTo>
                              <a:lnTo>
                                <a:pt x="0" y="0"/>
                              </a:lnTo>
                              <a:lnTo>
                                <a:pt x="0" y="482600"/>
                              </a:lnTo>
                              <a:lnTo>
                                <a:pt x="136563" y="482600"/>
                              </a:lnTo>
                              <a:lnTo>
                                <a:pt x="136563" y="228600"/>
                              </a:lnTo>
                              <a:lnTo>
                                <a:pt x="1326832" y="228600"/>
                              </a:lnTo>
                              <a:lnTo>
                                <a:pt x="1326832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E2F3"/>
                        </a:solidFill>
                        <a:ln>
                          <a:noFill/>
                        </a:ln>
                      </wps:spPr>
                      <wps:bodyPr anchorCtr="0" anchor="ctr" bIns="194925" lIns="194925" spcFirstLastPara="1" rIns="194925" wrap="square" tIns="194925">
                        <a:noAutofit/>
                      </wps:bodyPr>
                    </wps:wsp>
                    <wps:wsp>
                      <wps:cNvSpPr/>
                      <wps:cNvPr id="8" name="Shape 8"/>
                      <wps:spPr>
                        <a:xfrm>
                          <a:off x="8094486" y="3839233"/>
                          <a:ext cx="16590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34.9999237060547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  <w:t xml:space="preserve">20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  <w:t xml:space="preserve">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15.12399673461914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Vol.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 No.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4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26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/>
                      <wps:cNvPr id="9" name="Shape 9"/>
                      <wps:spPr>
                        <a:xfrm>
                          <a:off x="3497042" y="3846255"/>
                          <a:ext cx="4620300" cy="10296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D4E5F5"/>
                            </a:gs>
                            <a:gs pos="100000">
                              <a:srgbClr val="70A4D5"/>
                            </a:gs>
                          </a:gsLst>
                          <a:lin ang="5400012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60.09199142456055" w:line="273.0000114440918"/>
                              <w:ind w:left="7674.8760986328125" w:right="134.30999755859375" w:firstLine="9209.849853515625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 txBox="1"/>
                      <wps:cNvPr id="10" name="Shape 10"/>
                      <wps:spPr>
                        <a:xfrm>
                          <a:off x="4521499" y="3842549"/>
                          <a:ext cx="35958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.37419891357422"/>
                                <w:vertAlign w:val="baseline"/>
                              </w:rPr>
                              <w:t xml:space="preserve">ISSN:3088-4063</w:t>
                            </w:r>
                          </w:p>
                        </w:txbxContent>
                      </wps:txbx>
                      <wps:bodyPr anchorCtr="0" anchor="t" bIns="194925" lIns="194925" spcFirstLastPara="1" rIns="194925" wrap="square" tIns="194925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972175" cy="173990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2175" cy="1739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jc w:val="both"/>
    </w:pPr>
    <w:rPr>
      <w:rFonts w:ascii="Calibri" w:cs="Calibri" w:eastAsia="Calibri" w:hAnsi="Calibri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Rule="auto"/>
      <w:jc w:val="both"/>
    </w:pPr>
    <w:rPr>
      <w:rFonts w:ascii="Calibri" w:cs="Calibri" w:eastAsia="Calibri" w:hAnsi="Calibri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jc w:val="both"/>
    </w:pPr>
    <w:rPr>
      <w:rFonts w:ascii="Calibri" w:cs="Calibri" w:eastAsia="Calibri" w:hAnsi="Calibri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  <w:jc w:val="both"/>
    </w:pPr>
    <w:rPr>
      <w:rFonts w:ascii="Calibri" w:cs="Calibri" w:eastAsia="Calibri" w:hAnsi="Calibri"/>
      <w:color w:val="243f6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  <w:jc w:val="both"/>
    </w:pPr>
    <w:rPr>
      <w:rFonts w:ascii="Calibri" w:cs="Calibri" w:eastAsia="Calibri" w:hAnsi="Calibri"/>
      <w:i w:val="1"/>
      <w:iCs w:val="1"/>
      <w:color w:val="243f61"/>
      <w:sz w:val="18"/>
      <w:szCs w:val="18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yperlink" Target="https://doi.org/10.65649/jr6h6b33" TargetMode="External"/><Relationship Id="rId12" Type="http://schemas.openxmlformats.org/officeDocument/2006/relationships/hyperlink" Target="https://doi.org/10.65649/3hm9b0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doi.org/10.65649/1p3e3b94" TargetMode="External"/><Relationship Id="rId14" Type="http://schemas.openxmlformats.org/officeDocument/2006/relationships/hyperlink" Target="https://doi.org/10.65649/pt1hx971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doi.org/10.65649/ggct1s51" TargetMode="Externa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hyperlink" Target="mailto:djabbat@gmail.com" TargetMode="External"/><Relationship Id="rId18" Type="http://schemas.openxmlformats.org/officeDocument/2006/relationships/header" Target="header2.xml"/><Relationship Id="rId7" Type="http://schemas.openxmlformats.org/officeDocument/2006/relationships/hyperlink" Target="https://doi.org/10.65649/d6444j71" TargetMode="External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