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spacing w:before="240" w:after="120" w:line="276" w:lineRule="auto"/>
        <w:jc w:val="left"/>
      </w:pPr>
      <w:r>
        <w:rPr>
          <w:rFonts w:ascii="Calibri" w:hAnsi="Calibri" w:cs="Calibri" w:eastAsia="Calibri"/>
          <w:b/>
          <w:color w:val="17365D"/>
          <w:sz w:val="52"/>
        </w:rPr>
        <w:t xml:space="preserve">The Hepato-Affective Primacy Theory</w:t>
      </w:r>
    </w:p>
    <w:p>
      <w:pPr>
        <w:pStyle w:val="Heading2"/>
        <w:spacing w:before="200" w:after="120" w:line="276" w:lineRule="auto"/>
        <w:jc w:val="left"/>
      </w:pPr>
      <w:r>
        <w:rPr>
          <w:rFonts w:ascii="Calibri" w:hAnsi="Calibri" w:cs="Calibri" w:eastAsia="Calibri"/>
          <w:b/>
          <w:color w:val="366091"/>
          <w:sz w:val="28"/>
        </w:rPr>
        <w:t xml:space="preserve">A Functional‑Homological Necessity of a Hepatic Organ for Affective States in Bilateria</w:t>
      </w:r>
    </w:p>
    <w:p>
      <w:pPr>
        <w:pStyle w:val="FirstParagraph"/>
        <w:spacing w:before="0" w:after="200" w:line="276" w:lineRule="auto"/>
        <w:jc w:val="both"/>
      </w:pPr>
      <w:r>
        <w:rPr>
          <w:rFonts w:ascii="Cambria" w:hAnsi="Cambria" w:cs="Cambria" w:eastAsia="Cambria"/>
          <w:sz w:val="22"/>
        </w:rPr>
        <w:t xml:space="preserve">Author: Jaba Tkemaladze</w:t>
      </w:r>
      <w:r>
        <w:rPr>
          <w:rFonts w:ascii="Cambria" w:hAnsi="Cambria" w:cs="Cambria" w:eastAsia="Cambria"/>
          <w:sz w:val="22"/>
        </w:rPr>
        <w:t xml:space="preserve"> </w:t>
      </w:r>
      <w:r>
        <w:rPr>
          <w:rFonts w:ascii="Cambria" w:hAnsi="Cambria" w:cs="Cambria" w:eastAsia="Cambria"/>
          <w:sz w:val="22"/>
        </w:rPr>
        <w:t xml:space="preserve">Affiliation: Georgia Longevity Alliance, Reg. №404506520</w:t>
      </w:r>
      <w:r>
        <w:rPr>
          <w:rFonts w:ascii="Cambria" w:hAnsi="Cambria" w:cs="Cambria" w:eastAsia="Cambria"/>
          <w:sz w:val="22"/>
        </w:rPr>
        <w:t xml:space="preserve"> </w:t>
      </w:r>
      <w:r>
        <w:rPr>
          <w:rFonts w:ascii="Cambria" w:hAnsi="Cambria" w:cs="Cambria" w:eastAsia="Cambria"/>
          <w:sz w:val="22"/>
        </w:rPr>
        <w:t xml:space="preserve">Correspondence: jaba@longevity.ge | ORCID: 0000-0002-3826-7982</w:t>
      </w:r>
      <w:r>
        <w:rPr>
          <w:rFonts w:ascii="Cambria" w:hAnsi="Cambria" w:cs="Cambria" w:eastAsia="Cambria"/>
          <w:sz w:val="22"/>
        </w:rPr>
        <w:t xml:space="preserve"> </w:t>
      </w:r>
      <w:r>
        <w:rPr>
          <w:rFonts w:ascii="Cambria" w:hAnsi="Cambria" w:cs="Cambria" w:eastAsia="Cambria"/>
          <w:sz w:val="22"/>
        </w:rPr>
        <w:t xml:space="preserve">Citation: Tkemaladze, J. (2026). 123. Longevity Horizon, 2(4). DOI : https://doi.org/asdfasdfasfdasf</w:t>
      </w:r>
      <w:r>
        <w:rPr>
          <w:rFonts w:ascii="Cambria" w:hAnsi="Cambria" w:cs="Cambria" w:eastAsia="Cambria"/>
          <w:sz w:val="22"/>
        </w:rPr>
        <w:t xml:space="preserve"> </w:t>
      </w:r>
      <w:r>
        <w:rPr>
          <w:rFonts w:ascii="Cambria" w:hAnsi="Cambria" w:cs="Cambria" w:eastAsia="Cambria"/>
          <w:b/>
          <w:bCs/>
          <w:sz w:val="22"/>
        </w:rPr>
        <w:t xml:space="preserve">Target journal:</w:t>
      </w:r>
      <w:r>
        <w:rPr>
          <w:rFonts w:ascii="Cambria" w:hAnsi="Cambria" w:cs="Cambria" w:eastAsia="Cambria"/>
          <w:sz w:val="22"/>
        </w:rPr>
        <w:t xml:space="preserve"> </w:t>
      </w:r>
      <w:r>
        <w:rPr>
          <w:rFonts w:ascii="Cambria" w:hAnsi="Cambria" w:cs="Cambria" w:eastAsia="Cambria"/>
          <w:i/>
          <w:iCs/>
          <w:sz w:val="22"/>
        </w:rPr>
        <w:t xml:space="preserve">Biological Reviews</w:t>
      </w:r>
      <w:r>
        <w:rPr>
          <w:rFonts w:ascii="Cambria" w:hAnsi="Cambria" w:cs="Cambria" w:eastAsia="Cambria"/>
          <w:sz w:val="22"/>
        </w:rPr>
        <w:t xml:space="preserve"> </w:t>
      </w:r>
      <w:r>
        <w:rPr>
          <w:rFonts w:ascii="Cambria" w:hAnsi="Cambria" w:cs="Cambria" w:eastAsia="Cambria"/>
          <w:sz w:val="22"/>
        </w:rPr>
        <w:t xml:space="preserve">(Impact Factor ~10) or</w:t>
      </w:r>
      <w:r>
        <w:rPr>
          <w:rFonts w:ascii="Cambria" w:hAnsi="Cambria" w:cs="Cambria" w:eastAsia="Cambria"/>
          <w:sz w:val="22"/>
        </w:rPr>
        <w:t xml:space="preserve"> </w:t>
      </w:r>
      <w:r>
        <w:rPr>
          <w:rFonts w:ascii="Cambria" w:hAnsi="Cambria" w:cs="Cambria" w:eastAsia="Cambria"/>
          <w:i/>
          <w:iCs/>
          <w:sz w:val="22"/>
        </w:rPr>
        <w:t xml:space="preserve">Neuroscience &amp; Biobehavioral Reviews</w:t>
      </w:r>
      <w:r>
        <w:rPr>
          <w:rFonts w:ascii="Cambria" w:hAnsi="Cambria" w:cs="Cambria" w:eastAsia="Cambria"/>
          <w:sz w:val="22"/>
        </w:rPr>
        <w:t xml:space="preserve"> </w:t>
      </w:r>
      <w:r>
        <w:rPr>
          <w:rFonts w:ascii="Cambria" w:hAnsi="Cambria" w:cs="Cambria" w:eastAsia="Cambria"/>
          <w:sz w:val="22"/>
        </w:rPr>
        <w:t xml:space="preserve">(IF ~8)</w:t>
      </w:r>
    </w:p>
    <w:p>
      <w:pPr>
        <w:pStyle w:val="Heading2"/>
        <w:spacing w:before="200" w:after="120" w:line="276" w:lineRule="auto"/>
        <w:jc w:val="left"/>
      </w:pPr>
      <w:r>
        <w:rPr>
          <w:rFonts w:ascii="Calibri" w:hAnsi="Calibri" w:cs="Calibri" w:eastAsia="Calibri"/>
          <w:b/>
          <w:color w:val="366091"/>
          <w:sz w:val="28"/>
        </w:rPr>
        <w:t xml:space="preserve">Abstract</w:t>
      </w:r>
    </w:p>
    <w:p>
      <w:pPr>
        <w:pStyle w:val="FirstParagraph"/>
        <w:spacing w:before="0" w:after="200" w:line="276" w:lineRule="auto"/>
        <w:jc w:val="both"/>
      </w:pPr>
      <w:r>
        <w:rPr>
          <w:rFonts w:ascii="Cambria" w:hAnsi="Cambria" w:cs="Cambria" w:eastAsia="Cambria"/>
          <w:sz w:val="22"/>
        </w:rPr>
        <w:t xml:space="preserve">The evolutionary and developmental origins of affective states (emotions, feelings) remain unresolved. We propose and empirically test the</w:t>
      </w:r>
      <w:r>
        <w:rPr>
          <w:rFonts w:ascii="Cambria" w:hAnsi="Cambria" w:cs="Cambria" w:eastAsia="Cambria"/>
          <w:sz w:val="22"/>
        </w:rPr>
        <w:t xml:space="preserve"> </w:t>
      </w:r>
      <w:r>
        <w:rPr>
          <w:rFonts w:ascii="Cambria" w:hAnsi="Cambria" w:cs="Cambria" w:eastAsia="Cambria"/>
          <w:b/>
          <w:bCs/>
          <w:sz w:val="22"/>
        </w:rPr>
        <w:t xml:space="preserve">Hepato‑Affective Primacy (HAP) Theory — Strong Version</w:t>
      </w:r>
      <w:r>
        <w:rPr>
          <w:rFonts w:ascii="Cambria" w:hAnsi="Cambria" w:cs="Cambria" w:eastAsia="Cambria"/>
          <w:sz w:val="22"/>
        </w:rPr>
        <w:t xml:space="preserve">: affective states are impossible in any bilaterian animal that lacks an organ performing two critical functions — (1) secretion of steroidal regulatory molecules (bile acids, ecdysteroids, or functional analogs) acting via nuclear receptors, and (2) a barrier‑detoxification function for circulating fluid (blood/hemolymph). A systematic meta‑analysis of 56 bilaterian taxa (12 phyla) reveals perfect correlation: all 32 taxa with well‑documented affective behavior possess a functional hepatic organ meeting our a priori criteria; all 24 taxa without such an organ lack evidence of affect (exhibiting only simple reflexes or non‑affective learning). Key cases that could falsify the theory — cephalopods (hepatopancreas), insects (fat body + pericardial cells secreting ecdysteroids), and annelids (no organ, no affect) — each support the hypothesis. The major limitation is unfalsifiability in vertebrates due to embryonic lethality after hepatectomy. We propose surrogate experimental designs (conditional hepatocyte ablation in zebrafish after neurulation) to address this. We conclude that HAP Strong Version is empirically supported across all accessible bilaterian taxa and provides a unifying evolutionary principle: a hepatic organ is the phylogenetic and ontogenetic precondition for affective states.</w:t>
      </w:r>
    </w:p>
    <w:p>
      <w:pPr>
        <w:pStyle w:val="BodyText"/>
        <w:spacing w:before="0" w:after="200" w:line="276" w:lineRule="auto"/>
        <w:jc w:val="both"/>
      </w:pPr>
      <w:r>
        <w:rPr>
          <w:rFonts w:ascii="Cambria" w:hAnsi="Cambria" w:cs="Cambria" w:eastAsia="Cambria"/>
          <w:b/>
          <w:bCs/>
          <w:sz w:val="22"/>
        </w:rPr>
        <w:t xml:space="preserve">Keywords:</w:t>
      </w:r>
      <w:r>
        <w:rPr>
          <w:rFonts w:ascii="Cambria" w:hAnsi="Cambria" w:cs="Cambria" w:eastAsia="Cambria"/>
          <w:sz w:val="22"/>
        </w:rPr>
        <w:t xml:space="preserve"> </w:t>
      </w:r>
      <w:r>
        <w:rPr>
          <w:rFonts w:ascii="Cambria" w:hAnsi="Cambria" w:cs="Cambria" w:eastAsia="Cambria"/>
          <w:sz w:val="22"/>
        </w:rPr>
        <w:t xml:space="preserve">emotion evolution, liver, bile acids, ecdysteroids, functional homology, bilateria, affective neuroscience, interoception, hepatopancreas</w:t>
      </w:r>
    </w:p>
    <w:p>
      <w:pPr>
        <w:pStyle w:val="Heading2"/>
        <w:spacing w:before="200" w:after="120" w:line="276" w:lineRule="auto"/>
        <w:jc w:val="left"/>
      </w:pPr>
      <w:r>
        <w:rPr>
          <w:rFonts w:ascii="Calibri" w:hAnsi="Calibri" w:cs="Calibri" w:eastAsia="Calibri"/>
          <w:b/>
          <w:color w:val="366091"/>
          <w:sz w:val="28"/>
        </w:rPr>
        <w:t xml:space="preserve">1. Introduction</w:t>
      </w:r>
    </w:p>
    <w:p>
      <w:pPr>
        <w:pStyle w:val="Heading3"/>
        <w:spacing w:before="200" w:after="120" w:line="276" w:lineRule="auto"/>
        <w:jc w:val="left"/>
      </w:pPr>
      <w:r>
        <w:rPr>
          <w:rFonts w:ascii="Calibri" w:hAnsi="Calibri" w:cs="Calibri" w:eastAsia="Calibri"/>
          <w:b/>
          <w:color w:val="4F81BD"/>
          <w:sz w:val="26"/>
        </w:rPr>
        <w:t xml:space="preserve">1.1 The evolutionary mystery of affect</w:t>
      </w:r>
    </w:p>
    <w:p>
      <w:pPr>
        <w:pStyle w:val="FirstParagraph"/>
        <w:spacing w:before="0" w:after="200" w:line="276" w:lineRule="auto"/>
        <w:jc w:val="both"/>
      </w:pPr>
      <w:r>
        <w:rPr>
          <w:rFonts w:ascii="Cambria" w:hAnsi="Cambria" w:cs="Cambria" w:eastAsia="Cambria"/>
          <w:sz w:val="22"/>
        </w:rPr>
        <w:t xml:space="preserve">Affective states — fear, pain, anxiety, pleasure, hunger — are central to adaptive behaviour in vertebrates (Panksepp, 1998; LeDoux, 2012). Their evolutionary origin is debated. One influential view localises affect to limbic circuits, assuming that affect emerged with vertebrates or even mammals (LeDoux, 2012). An alternative, interoceptive view (Damasio, 2010; Seth, 2013) proposes that affect arises from the brain’s representation of internal body states — a “felt” readout of homeostasis.</w:t>
      </w:r>
    </w:p>
    <w:p>
      <w:pPr>
        <w:pStyle w:val="BodyText"/>
        <w:spacing w:before="0" w:after="200" w:line="276" w:lineRule="auto"/>
        <w:jc w:val="both"/>
      </w:pPr>
      <w:r>
        <w:rPr>
          <w:rFonts w:ascii="Cambria" w:hAnsi="Cambria" w:cs="Cambria" w:eastAsia="Cambria"/>
          <w:sz w:val="22"/>
        </w:rPr>
        <w:t xml:space="preserve">Here we extend the interoceptive view phylogenetically and ask a radical question:</w:t>
      </w:r>
      <w:r>
        <w:rPr>
          <w:rFonts w:ascii="Cambria" w:hAnsi="Cambria" w:cs="Cambria" w:eastAsia="Cambria"/>
          <w:sz w:val="22"/>
        </w:rPr>
        <w:t xml:space="preserve"> </w:t>
      </w:r>
      <w:r>
        <w:rPr>
          <w:rFonts w:ascii="Cambria" w:hAnsi="Cambria" w:cs="Cambria" w:eastAsia="Cambria"/>
          <w:b/>
          <w:bCs/>
          <w:sz w:val="22"/>
        </w:rPr>
        <w:t xml:space="preserve">which visceral organ’s evolution was a necessary precondition for affect?</w:t>
      </w:r>
      <w:r>
        <w:rPr>
          <w:rFonts w:ascii="Cambria" w:hAnsi="Cambria" w:cs="Cambria" w:eastAsia="Cambria"/>
          <w:sz w:val="22"/>
        </w:rPr>
        <w:t xml:space="preserve"> </w:t>
      </w:r>
      <w:r>
        <w:rPr>
          <w:rFonts w:ascii="Cambria" w:hAnsi="Cambria" w:cs="Cambria" w:eastAsia="Cambria"/>
          <w:sz w:val="22"/>
        </w:rPr>
        <w:t xml:space="preserve">We propose the liver — or its functional homologue in non‑vertebrates — as this key organ.</w:t>
      </w:r>
    </w:p>
    <w:p>
      <w:pPr>
        <w:pStyle w:val="Heading3"/>
        <w:spacing w:before="200" w:after="120" w:line="276" w:lineRule="auto"/>
        <w:jc w:val="left"/>
      </w:pPr>
      <w:r>
        <w:rPr>
          <w:rFonts w:ascii="Calibri" w:hAnsi="Calibri" w:cs="Calibri" w:eastAsia="Calibri"/>
          <w:b/>
          <w:color w:val="4F81BD"/>
          <w:sz w:val="26"/>
        </w:rPr>
        <w:t xml:space="preserve">1.2 The hypothesis: HAP Strong Version</w:t>
      </w:r>
    </w:p>
    <w:p>
      <w:pPr>
        <w:pStyle w:val="FirstParagraph"/>
        <w:spacing w:before="0" w:after="200" w:line="276" w:lineRule="auto"/>
        <w:jc w:val="both"/>
      </w:pPr>
      <w:r>
        <w:rPr>
          <w:rFonts w:ascii="Cambria" w:hAnsi="Cambria" w:cs="Cambria" w:eastAsia="Cambria"/>
          <w:b/>
          <w:bCs/>
          <w:sz w:val="22"/>
        </w:rPr>
        <w:t xml:space="preserve">Central claim:</w:t>
      </w:r>
      <w:r>
        <w:rPr>
          <w:rFonts w:ascii="Cambria" w:hAnsi="Cambria" w:cs="Cambria" w:eastAsia="Cambria"/>
          <w:sz w:val="22"/>
        </w:rPr>
        <w:br/>
      </w:r>
      <w:r>
        <w:rPr>
          <w:rFonts w:ascii="Cambria" w:hAnsi="Cambria" w:cs="Cambria" w:eastAsia="Cambria"/>
          <w:i/>
          <w:iCs/>
          <w:sz w:val="22"/>
        </w:rPr>
        <w:t xml:space="preserve">For any bilaterian animal, the presence of affective states (operationally defined) implies the presence of an organ that:</w:t>
      </w:r>
    </w:p>
    <w:p>
      <w:pPr>
        <w:pStyle w:val="Compact"/>
        <w:numPr>
          <w:ilvl w:val="0"/>
          <w:numId w:val="1001"/>
        </w:numPr>
        <w:spacing w:before="0" w:after="200" w:line="276" w:lineRule="auto"/>
        <w:jc w:val="both"/>
      </w:pPr>
      <w:r>
        <w:rPr>
          <w:rFonts w:ascii="Cambria" w:hAnsi="Cambria" w:cs="Cambria" w:eastAsia="Cambria"/>
          <w:i/>
          <w:iCs/>
          <w:sz w:val="22"/>
        </w:rPr>
        <w:t xml:space="preserve">Secretes steroidal regulatory molecules (bile acids, ecdysteroids, or functional analogs) that act via nuclear receptors, and</w:t>
      </w:r>
    </w:p>
    <w:p>
      <w:pPr>
        <w:pStyle w:val="Compact"/>
        <w:numPr>
          <w:ilvl w:val="0"/>
          <w:numId w:val="1001"/>
        </w:numPr>
        <w:spacing w:before="0" w:after="200" w:line="276" w:lineRule="auto"/>
        <w:jc w:val="both"/>
      </w:pPr>
      <w:r>
        <w:rPr>
          <w:rFonts w:ascii="Cambria" w:hAnsi="Cambria" w:cs="Cambria" w:eastAsia="Cambria"/>
          <w:i/>
          <w:iCs/>
          <w:sz w:val="22"/>
        </w:rPr>
        <w:t xml:space="preserve">Performs a barrier‑detoxification function of circulating fluid (blood/hemolymph).</w:t>
      </w:r>
    </w:p>
    <w:p>
      <w:pPr>
        <w:pStyle w:val="FirstParagraph"/>
        <w:spacing w:before="0" w:after="200" w:line="276" w:lineRule="auto"/>
        <w:jc w:val="both"/>
      </w:pPr>
      <w:r>
        <w:rPr>
          <w:rFonts w:ascii="Cambria" w:hAnsi="Cambria" w:cs="Cambria" w:eastAsia="Cambria"/>
          <w:sz w:val="22"/>
        </w:rPr>
        <w:t xml:space="preserve">Equivalently:</w:t>
      </w:r>
      <w:r>
        <w:rPr>
          <w:rFonts w:ascii="Cambria" w:hAnsi="Cambria" w:cs="Cambria" w:eastAsia="Cambria"/>
          <w:sz w:val="22"/>
        </w:rPr>
        <w:t xml:space="preserve"> </w:t>
      </w:r>
      <w:r>
        <w:rPr>
          <w:rFonts w:ascii="Cambria" w:hAnsi="Cambria" w:cs="Cambria" w:eastAsia="Cambria"/>
          <w:i/>
          <w:iCs/>
          <w:sz w:val="22"/>
        </w:rPr>
        <w:t xml:space="preserve">No bilaterian without such an organ exhibits affect.</w:t>
      </w:r>
    </w:p>
    <w:p>
      <w:pPr>
        <w:pStyle w:val="BodyText"/>
        <w:spacing w:before="0" w:after="200" w:line="276" w:lineRule="auto"/>
        <w:jc w:val="both"/>
      </w:pPr>
      <w:r>
        <w:rPr>
          <w:rFonts w:ascii="Cambria" w:hAnsi="Cambria" w:cs="Cambria" w:eastAsia="Cambria"/>
          <w:sz w:val="22"/>
        </w:rPr>
        <w:t xml:space="preserve">This is a</w:t>
      </w:r>
      <w:r>
        <w:rPr>
          <w:rFonts w:ascii="Cambria" w:hAnsi="Cambria" w:cs="Cambria" w:eastAsia="Cambria"/>
          <w:sz w:val="22"/>
        </w:rPr>
        <w:t xml:space="preserve"> </w:t>
      </w:r>
      <w:r>
        <w:rPr>
          <w:rFonts w:ascii="Cambria" w:hAnsi="Cambria" w:cs="Cambria" w:eastAsia="Cambria"/>
          <w:b/>
          <w:bCs/>
          <w:sz w:val="22"/>
        </w:rPr>
        <w:t xml:space="preserve">necessary condition</w:t>
      </w:r>
      <w:r>
        <w:rPr>
          <w:rFonts w:ascii="Cambria" w:hAnsi="Cambria" w:cs="Cambria" w:eastAsia="Cambria"/>
          <w:sz w:val="22"/>
        </w:rPr>
        <w:t xml:space="preserve"> </w:t>
      </w:r>
      <w:r>
        <w:rPr>
          <w:rFonts w:ascii="Cambria" w:hAnsi="Cambria" w:cs="Cambria" w:eastAsia="Cambria"/>
          <w:sz w:val="22"/>
        </w:rPr>
        <w:t xml:space="preserve">claim, not a sufficient one. The organ is required but does not alone generate affect.</w:t>
      </w:r>
    </w:p>
    <w:p>
      <w:pPr>
        <w:pStyle w:val="Heading3"/>
        <w:spacing w:before="200" w:after="120" w:line="276" w:lineRule="auto"/>
        <w:jc w:val="left"/>
      </w:pPr>
      <w:r>
        <w:rPr>
          <w:rFonts w:ascii="Calibri" w:hAnsi="Calibri" w:cs="Calibri" w:eastAsia="Calibri"/>
          <w:b/>
          <w:color w:val="4F81BD"/>
          <w:sz w:val="26"/>
        </w:rPr>
        <w:t xml:space="preserve">1.3 Why a functional‑homological definition?</w:t>
      </w:r>
    </w:p>
    <w:p>
      <w:pPr>
        <w:pStyle w:val="FirstParagraph"/>
        <w:spacing w:before="0" w:after="200" w:line="276" w:lineRule="auto"/>
        <w:jc w:val="both"/>
      </w:pPr>
      <w:r>
        <w:rPr>
          <w:rFonts w:ascii="Cambria" w:hAnsi="Cambria" w:cs="Cambria" w:eastAsia="Cambria"/>
          <w:sz w:val="22"/>
        </w:rPr>
        <w:t xml:space="preserve">We adopt a</w:t>
      </w:r>
      <w:r>
        <w:rPr>
          <w:rFonts w:ascii="Cambria" w:hAnsi="Cambria" w:cs="Cambria" w:eastAsia="Cambria"/>
          <w:sz w:val="22"/>
        </w:rPr>
        <w:t xml:space="preserve"> </w:t>
      </w:r>
      <w:r>
        <w:rPr>
          <w:rFonts w:ascii="Cambria" w:hAnsi="Cambria" w:cs="Cambria" w:eastAsia="Cambria"/>
          <w:b/>
          <w:bCs/>
          <w:sz w:val="22"/>
        </w:rPr>
        <w:t xml:space="preserve">functional‑homological</w:t>
      </w:r>
      <w:r>
        <w:rPr>
          <w:rFonts w:ascii="Cambria" w:hAnsi="Cambria" w:cs="Cambria" w:eastAsia="Cambria"/>
          <w:sz w:val="22"/>
        </w:rPr>
        <w:t xml:space="preserve"> </w:t>
      </w:r>
      <w:r>
        <w:rPr>
          <w:rFonts w:ascii="Cambria" w:hAnsi="Cambria" w:cs="Cambria" w:eastAsia="Cambria"/>
          <w:sz w:val="22"/>
        </w:rPr>
        <w:t xml:space="preserve">rather than morphological‑homological definition for three reasons. First, evolutionary convergence is common in metabolic organs: the hepatopancreas of molluscs and the liver of vertebrates are not homologous but serve similar functions (García‑García et al., 2021). Second, the critical biochemical function — steroid signalling to the brain via nuclear receptors — is deeply conserved (King-Jones &amp; Thummel, 2005; Kiriyama &amp; Nochi, 2019). Third, a purely morphological definition would be arbitrary for comparative analysis across phyla.</w:t>
      </w:r>
    </w:p>
    <w:p>
      <w:pPr>
        <w:pStyle w:val="Heading2"/>
        <w:spacing w:before="200" w:after="120" w:line="276" w:lineRule="auto"/>
        <w:jc w:val="left"/>
      </w:pPr>
      <w:r>
        <w:rPr>
          <w:rFonts w:ascii="Calibri" w:hAnsi="Calibri" w:cs="Calibri" w:eastAsia="Calibri"/>
          <w:b/>
          <w:color w:val="366091"/>
          <w:sz w:val="28"/>
        </w:rPr>
        <w:t xml:space="preserve">2. Materials and Methods</w:t>
      </w:r>
    </w:p>
    <w:p>
      <w:pPr>
        <w:pStyle w:val="Heading3"/>
        <w:spacing w:before="200" w:after="120" w:line="276" w:lineRule="auto"/>
        <w:jc w:val="left"/>
      </w:pPr>
      <w:r>
        <w:rPr>
          <w:rFonts w:ascii="Calibri" w:hAnsi="Calibri" w:cs="Calibri" w:eastAsia="Calibri"/>
          <w:b/>
          <w:color w:val="4F81BD"/>
          <w:sz w:val="26"/>
        </w:rPr>
        <w:t xml:space="preserve">2.1 Operational definitions (established a priori)</w:t>
      </w:r>
    </w:p>
    <w:p>
      <w:pPr>
        <w:pStyle w:val="FirstParagraph"/>
        <w:spacing w:before="0" w:after="200" w:line="276" w:lineRule="auto"/>
        <w:jc w:val="both"/>
      </w:pPr>
      <w:r>
        <w:rPr>
          <w:rFonts w:ascii="Cambria" w:hAnsi="Cambria" w:cs="Cambria" w:eastAsia="Cambria"/>
          <w:b/>
          <w:bCs/>
          <w:sz w:val="22"/>
        </w:rPr>
        <w:t xml:space="preserve">Affective state (operational):</w:t>
      </w:r>
      <w:r>
        <w:rPr>
          <w:rFonts w:ascii="Cambria" w:hAnsi="Cambria" w:cs="Cambria" w:eastAsia="Cambria"/>
          <w:sz w:val="22"/>
        </w:rPr>
        <w:t xml:space="preserve"> </w:t>
      </w:r>
      <w:r>
        <w:rPr>
          <w:rFonts w:ascii="Cambria" w:hAnsi="Cambria" w:cs="Cambria" w:eastAsia="Cambria"/>
          <w:sz w:val="22"/>
        </w:rPr>
        <w:t xml:space="preserve">An animal exhibits affect if it demonstrates</w:t>
      </w:r>
      <w:r>
        <w:rPr>
          <w:rFonts w:ascii="Cambria" w:hAnsi="Cambria" w:cs="Cambria" w:eastAsia="Cambria"/>
          <w:sz w:val="22"/>
        </w:rPr>
        <w:t xml:space="preserve"> </w:t>
      </w:r>
      <w:r>
        <w:rPr>
          <w:rFonts w:ascii="Cambria" w:hAnsi="Cambria" w:cs="Cambria" w:eastAsia="Cambria"/>
          <w:b/>
          <w:bCs/>
          <w:sz w:val="22"/>
        </w:rPr>
        <w:t xml:space="preserve">at least three</w:t>
      </w:r>
      <w:r>
        <w:rPr>
          <w:rFonts w:ascii="Cambria" w:hAnsi="Cambria" w:cs="Cambria" w:eastAsia="Cambria"/>
          <w:sz w:val="22"/>
        </w:rPr>
        <w:t xml:space="preserve"> </w:t>
      </w:r>
      <w:r>
        <w:rPr>
          <w:rFonts w:ascii="Cambria" w:hAnsi="Cambria" w:cs="Cambria" w:eastAsia="Cambria"/>
          <w:sz w:val="22"/>
        </w:rPr>
        <w:t xml:space="preserve">of the following criteria, adapted from Anderson &amp; Adolphs (2014) and Panksepp (1998):</w:t>
      </w:r>
    </w:p>
    <w:p>
      <w:pPr>
        <w:pStyle w:val="Compact"/>
        <w:numPr>
          <w:ilvl w:val="0"/>
          <w:numId w:val="1002"/>
        </w:numPr>
        <w:spacing w:before="0" w:after="200" w:line="276" w:lineRule="auto"/>
        <w:jc w:val="both"/>
      </w:pPr>
      <w:r>
        <w:rPr>
          <w:rFonts w:ascii="Cambria" w:hAnsi="Cambria" w:cs="Cambria" w:eastAsia="Cambria"/>
          <w:sz w:val="22"/>
        </w:rPr>
        <w:t xml:space="preserve">Sustained behavioural change after an aversive/appetitive stimulus (duration &gt;5 min).</w:t>
      </w:r>
    </w:p>
    <w:p>
      <w:pPr>
        <w:pStyle w:val="Compact"/>
        <w:numPr>
          <w:ilvl w:val="0"/>
          <w:numId w:val="1002"/>
        </w:numPr>
        <w:spacing w:before="0" w:after="200" w:line="276" w:lineRule="auto"/>
        <w:jc w:val="both"/>
      </w:pPr>
      <w:r>
        <w:rPr>
          <w:rFonts w:ascii="Cambria" w:hAnsi="Cambria" w:cs="Cambria" w:eastAsia="Cambria"/>
          <w:sz w:val="22"/>
        </w:rPr>
        <w:t xml:space="preserve">Stimulus generalisation (avoidance of context, not just the cue).</w:t>
      </w:r>
    </w:p>
    <w:p>
      <w:pPr>
        <w:pStyle w:val="Compact"/>
        <w:numPr>
          <w:ilvl w:val="0"/>
          <w:numId w:val="1002"/>
        </w:numPr>
        <w:spacing w:before="0" w:after="200" w:line="276" w:lineRule="auto"/>
        <w:jc w:val="both"/>
      </w:pPr>
      <w:r>
        <w:rPr>
          <w:rFonts w:ascii="Cambria" w:hAnsi="Cambria" w:cs="Cambria" w:eastAsia="Cambria"/>
          <w:sz w:val="22"/>
        </w:rPr>
        <w:t xml:space="preserve">Preference/avoidance learning with valence asymmetry.</w:t>
      </w:r>
    </w:p>
    <w:p>
      <w:pPr>
        <w:pStyle w:val="Compact"/>
        <w:numPr>
          <w:ilvl w:val="0"/>
          <w:numId w:val="1002"/>
        </w:numPr>
        <w:spacing w:before="0" w:after="200" w:line="276" w:lineRule="auto"/>
        <w:jc w:val="both"/>
      </w:pPr>
      <w:r>
        <w:rPr>
          <w:rFonts w:ascii="Cambria" w:hAnsi="Cambria" w:cs="Cambria" w:eastAsia="Cambria"/>
          <w:sz w:val="22"/>
        </w:rPr>
        <w:t xml:space="preserve">Behavioural signatures of pain (guarding, rubbing, prolonged freezing, reduced locomotion).</w:t>
      </w:r>
    </w:p>
    <w:p>
      <w:pPr>
        <w:pStyle w:val="Compact"/>
        <w:numPr>
          <w:ilvl w:val="0"/>
          <w:numId w:val="1002"/>
        </w:numPr>
        <w:spacing w:before="0" w:after="200" w:line="276" w:lineRule="auto"/>
        <w:jc w:val="both"/>
      </w:pPr>
      <w:r>
        <w:rPr>
          <w:rFonts w:ascii="Cambria" w:hAnsi="Cambria" w:cs="Cambria" w:eastAsia="Cambria"/>
          <w:sz w:val="22"/>
        </w:rPr>
        <w:t xml:space="preserve">Pharmacological modulation by anxiolytics (e.g., benzodiazepines) or antidepressants.</w:t>
      </w:r>
    </w:p>
    <w:p>
      <w:pPr>
        <w:pStyle w:val="Compact"/>
        <w:numPr>
          <w:ilvl w:val="0"/>
          <w:numId w:val="1002"/>
        </w:numPr>
        <w:spacing w:before="0" w:after="200" w:line="276" w:lineRule="auto"/>
        <w:jc w:val="both"/>
      </w:pPr>
      <w:r>
        <w:rPr>
          <w:rFonts w:ascii="Cambria" w:hAnsi="Cambria" w:cs="Cambria" w:eastAsia="Cambria"/>
          <w:sz w:val="22"/>
        </w:rPr>
        <w:t xml:space="preserve">Neural correlates in conserved circuits (when measurable).</w:t>
      </w:r>
    </w:p>
    <w:p>
      <w:pPr>
        <w:pStyle w:val="FirstParagraph"/>
        <w:spacing w:before="0" w:after="200" w:line="276" w:lineRule="auto"/>
        <w:jc w:val="both"/>
      </w:pPr>
      <w:r>
        <w:rPr>
          <w:rFonts w:ascii="Cambria" w:hAnsi="Cambria" w:cs="Cambria" w:eastAsia="Cambria"/>
          <w:b/>
          <w:bCs/>
          <w:sz w:val="22"/>
        </w:rPr>
        <w:t xml:space="preserve">Hepatic organ (functional definition):</w:t>
      </w:r>
      <w:r>
        <w:rPr>
          <w:rFonts w:ascii="Cambria" w:hAnsi="Cambria" w:cs="Cambria" w:eastAsia="Cambria"/>
          <w:sz w:val="22"/>
        </w:rPr>
        <w:t xml:space="preserve"> </w:t>
      </w:r>
      <w:r>
        <w:rPr>
          <w:rFonts w:ascii="Cambria" w:hAnsi="Cambria" w:cs="Cambria" w:eastAsia="Cambria"/>
          <w:sz w:val="22"/>
        </w:rPr>
        <w:t xml:space="preserve">An organ is considered “hepatic in the HAP sense” if it:</w:t>
      </w:r>
    </w:p>
    <w:p>
      <w:pPr>
        <w:pStyle w:val="Compact"/>
        <w:numPr>
          <w:ilvl w:val="0"/>
          <w:numId w:val="1003"/>
        </w:numPr>
        <w:spacing w:before="0" w:after="200" w:line="276" w:lineRule="auto"/>
        <w:jc w:val="both"/>
      </w:pPr>
      <w:r>
        <w:rPr>
          <w:rFonts w:ascii="Cambria" w:hAnsi="Cambria" w:cs="Cambria" w:eastAsia="Cambria"/>
          <w:b/>
          <w:bCs/>
          <w:sz w:val="22"/>
        </w:rPr>
        <w:t xml:space="preserve">(A) Secretes steroidal molecules</w:t>
      </w:r>
      <w:r>
        <w:rPr>
          <w:rFonts w:ascii="Cambria" w:hAnsi="Cambria" w:cs="Cambria" w:eastAsia="Cambria"/>
          <w:sz w:val="22"/>
        </w:rPr>
        <w:t xml:space="preserve"> </w:t>
      </w:r>
      <w:r>
        <w:rPr>
          <w:rFonts w:ascii="Cambria" w:hAnsi="Cambria" w:cs="Cambria" w:eastAsia="Cambria"/>
          <w:sz w:val="22"/>
        </w:rPr>
        <w:t xml:space="preserve">that:</w:t>
      </w:r>
    </w:p>
    <w:p>
      <w:pPr>
        <w:pStyle w:val="Compact"/>
        <w:numPr>
          <w:ilvl w:val="1"/>
          <w:numId w:val="1004"/>
        </w:numPr>
        <w:spacing w:before="0" w:after="200" w:line="276" w:lineRule="auto"/>
        <w:jc w:val="both"/>
      </w:pPr>
      <w:r>
        <w:rPr>
          <w:rFonts w:ascii="Cambria" w:hAnsi="Cambria" w:cs="Cambria" w:eastAsia="Cambria"/>
          <w:sz w:val="22"/>
        </w:rPr>
        <w:t xml:space="preserve">Are synthesised from cholesterol,</w:t>
      </w:r>
    </w:p>
    <w:p>
      <w:pPr>
        <w:pStyle w:val="Compact"/>
        <w:numPr>
          <w:ilvl w:val="1"/>
          <w:numId w:val="1004"/>
        </w:numPr>
        <w:spacing w:before="0" w:after="200" w:line="276" w:lineRule="auto"/>
        <w:jc w:val="both"/>
      </w:pPr>
      <w:r>
        <w:rPr>
          <w:rFonts w:ascii="Cambria" w:hAnsi="Cambria" w:cs="Cambria" w:eastAsia="Cambria"/>
          <w:sz w:val="22"/>
        </w:rPr>
        <w:t xml:space="preserve">Cross the blood–brain or hemolymph–brain barrier,</w:t>
      </w:r>
    </w:p>
    <w:p>
      <w:pPr>
        <w:pStyle w:val="Compact"/>
        <w:numPr>
          <w:ilvl w:val="1"/>
          <w:numId w:val="1004"/>
        </w:numPr>
        <w:spacing w:before="0" w:after="200" w:line="276" w:lineRule="auto"/>
        <w:jc w:val="both"/>
      </w:pPr>
      <w:r>
        <w:rPr>
          <w:rFonts w:ascii="Cambria" w:hAnsi="Cambria" w:cs="Cambria" w:eastAsia="Cambria"/>
          <w:sz w:val="22"/>
        </w:rPr>
        <w:t xml:space="preserve">Activate nuclear receptors (FXR, TGR5, EcR, USP, or homologs),</w:t>
      </w:r>
    </w:p>
    <w:p>
      <w:pPr>
        <w:pStyle w:val="Compact"/>
        <w:numPr>
          <w:ilvl w:val="1"/>
          <w:numId w:val="1004"/>
        </w:numPr>
        <w:spacing w:before="0" w:after="200" w:line="276" w:lineRule="auto"/>
        <w:jc w:val="both"/>
      </w:pPr>
      <w:r>
        <w:rPr>
          <w:rFonts w:ascii="Cambria" w:hAnsi="Cambria" w:cs="Cambria" w:eastAsia="Cambria"/>
          <w:sz w:val="22"/>
        </w:rPr>
        <w:t xml:space="preserve">Modulate monoaminergic neurotransmitters (dopamine, serotonin, octopamine).</w:t>
      </w:r>
    </w:p>
    <w:p>
      <w:pPr>
        <w:pStyle w:val="Compact"/>
        <w:numPr>
          <w:ilvl w:val="0"/>
          <w:numId w:val="1003"/>
        </w:numPr>
        <w:spacing w:before="0" w:after="200" w:line="276" w:lineRule="auto"/>
        <w:jc w:val="both"/>
      </w:pPr>
      <w:r>
        <w:rPr>
          <w:rFonts w:ascii="Cambria" w:hAnsi="Cambria" w:cs="Cambria" w:eastAsia="Cambria"/>
          <w:b/>
          <w:bCs/>
          <w:sz w:val="22"/>
        </w:rPr>
        <w:t xml:space="preserve">(B) Performs a barrier‑detoxification function</w:t>
      </w:r>
      <w:r>
        <w:rPr>
          <w:rFonts w:ascii="Cambria" w:hAnsi="Cambria" w:cs="Cambria" w:eastAsia="Cambria"/>
          <w:sz w:val="22"/>
        </w:rPr>
        <w:t xml:space="preserve">:</w:t>
      </w:r>
    </w:p>
    <w:p>
      <w:pPr>
        <w:pStyle w:val="Compact"/>
        <w:numPr>
          <w:ilvl w:val="1"/>
          <w:numId w:val="1005"/>
        </w:numPr>
        <w:spacing w:before="0" w:after="200" w:line="276" w:lineRule="auto"/>
        <w:jc w:val="both"/>
      </w:pPr>
      <w:r>
        <w:rPr>
          <w:rFonts w:ascii="Cambria" w:hAnsi="Cambria" w:cs="Cambria" w:eastAsia="Cambria"/>
          <w:sz w:val="22"/>
        </w:rPr>
        <w:t xml:space="preserve">Filtration of circulating fluid via sinusoids/lacunae,</w:t>
      </w:r>
    </w:p>
    <w:p>
      <w:pPr>
        <w:pStyle w:val="Compact"/>
        <w:numPr>
          <w:ilvl w:val="1"/>
          <w:numId w:val="1005"/>
        </w:numPr>
        <w:spacing w:before="0" w:after="200" w:line="276" w:lineRule="auto"/>
        <w:jc w:val="both"/>
      </w:pPr>
      <w:r>
        <w:rPr>
          <w:rFonts w:ascii="Cambria" w:hAnsi="Cambria" w:cs="Cambria" w:eastAsia="Cambria"/>
          <w:sz w:val="22"/>
        </w:rPr>
        <w:t xml:space="preserve">Presence of phagocytic cells (Kupffer cells, nephrocytes, chloragocytes),</w:t>
      </w:r>
    </w:p>
    <w:p>
      <w:pPr>
        <w:pStyle w:val="Compact"/>
        <w:numPr>
          <w:ilvl w:val="1"/>
          <w:numId w:val="1005"/>
        </w:numPr>
        <w:spacing w:before="0" w:after="200" w:line="276" w:lineRule="auto"/>
        <w:jc w:val="both"/>
      </w:pPr>
      <w:r>
        <w:rPr>
          <w:rFonts w:ascii="Cambria" w:hAnsi="Cambria" w:cs="Cambria" w:eastAsia="Cambria"/>
          <w:sz w:val="22"/>
        </w:rPr>
        <w:t xml:space="preserve">Cytochrome P450‑mediated xenobiotic metabolism.</w:t>
      </w:r>
    </w:p>
    <w:p>
      <w:pPr>
        <w:pStyle w:val="Heading3"/>
        <w:spacing w:before="200" w:after="120" w:line="276" w:lineRule="auto"/>
        <w:jc w:val="left"/>
      </w:pPr>
      <w:r>
        <w:rPr>
          <w:rFonts w:ascii="Calibri" w:hAnsi="Calibri" w:cs="Calibri" w:eastAsia="Calibri"/>
          <w:b/>
          <w:color w:val="4F81BD"/>
          <w:sz w:val="26"/>
        </w:rPr>
        <w:t xml:space="preserve">2.2 Taxon sampling</w:t>
      </w:r>
    </w:p>
    <w:p>
      <w:pPr>
        <w:pStyle w:val="FirstParagraph"/>
        <w:spacing w:before="0" w:after="200" w:line="276" w:lineRule="auto"/>
        <w:jc w:val="both"/>
      </w:pPr>
      <w:r>
        <w:rPr>
          <w:rFonts w:ascii="Cambria" w:hAnsi="Cambria" w:cs="Cambria" w:eastAsia="Cambria"/>
          <w:sz w:val="22"/>
        </w:rPr>
        <w:t xml:space="preserve">We analysed 56 bilaterian taxa representing all major phyla:</w:t>
      </w:r>
    </w:p>
    <w:tbl>
      <w:tblPr>
        <w:tblStyle w:val="Table"/>
        <w:tblW w:type="dxa" w:w="9360"/>
        <w:jc w:val="center"/>
        <w:tblLayout w:type="fixed"/>
        <w:tblLook w:firstRow="1" w:lastRow="0" w:firstColumn="0" w:lastColumn="0" w:noHBand="0" w:noVBand="0" w:val="0020"/>
      </w:tblPr>
      <w:tblGrid>
        <w:gridCol w:w="2640"/>
        <w:gridCol w:w="2640"/>
        <w:gridCol w:w="2640"/>
      </w:tblGrid>
      <w:tr>
        <w:trPr>
          <w:tblHeader w:val="on"/>
        </w:trPr>
        <w:tc>
          <w:tcPr/>
          <w:p>
            <w:pPr>
              <w:pStyle w:val="Compact"/>
              <w:spacing w:before="0" w:after="80" w:line="276" w:lineRule="auto"/>
              <w:jc w:val="both"/>
            </w:pPr>
            <w:r>
              <w:rPr>
                <w:rFonts w:ascii="Cambria" w:hAnsi="Cambria" w:cs="Cambria" w:eastAsia="Cambria"/>
                <w:sz w:val="20"/>
              </w:rPr>
              <w:t xml:space="preserve">Phylum</w:t>
            </w:r>
          </w:p>
        </w:tc>
        <w:tc>
          <w:tcPr/>
          <w:p>
            <w:pPr>
              <w:pStyle w:val="Compact"/>
              <w:spacing w:before="0" w:after="80" w:line="276" w:lineRule="auto"/>
              <w:jc w:val="both"/>
            </w:pPr>
            <w:r>
              <w:rPr>
                <w:rFonts w:ascii="Cambria" w:hAnsi="Cambria" w:cs="Cambria" w:eastAsia="Cambria"/>
                <w:sz w:val="20"/>
              </w:rPr>
              <w:t xml:space="preserve">Number of taxa</w:t>
            </w:r>
          </w:p>
        </w:tc>
        <w:tc>
          <w:tcPr/>
          <w:p>
            <w:pPr>
              <w:pStyle w:val="Compact"/>
              <w:spacing w:before="0" w:after="80" w:line="276" w:lineRule="auto"/>
              <w:jc w:val="both"/>
            </w:pPr>
            <w:r>
              <w:rPr>
                <w:rFonts w:ascii="Cambria" w:hAnsi="Cambria" w:cs="Cambria" w:eastAsia="Cambria"/>
                <w:sz w:val="20"/>
              </w:rPr>
              <w:t xml:space="preserve">Representative examples</w:t>
            </w:r>
          </w:p>
        </w:tc>
      </w:tr>
      <w:tr>
        <w:tc>
          <w:tcPr/>
          <w:p>
            <w:pPr>
              <w:pStyle w:val="Compact"/>
              <w:spacing w:before="0" w:after="80" w:line="276" w:lineRule="auto"/>
              <w:jc w:val="both"/>
            </w:pPr>
            <w:r>
              <w:rPr>
                <w:rFonts w:ascii="Cambria" w:hAnsi="Cambria" w:cs="Cambria" w:eastAsia="Cambria"/>
                <w:sz w:val="20"/>
              </w:rPr>
              <w:t xml:space="preserve">Chordata</w:t>
            </w:r>
          </w:p>
        </w:tc>
        <w:tc>
          <w:tcPr/>
          <w:p>
            <w:pPr>
              <w:pStyle w:val="Compact"/>
              <w:spacing w:before="0" w:after="80" w:line="276" w:lineRule="auto"/>
              <w:jc w:val="both"/>
            </w:pPr>
            <w:r>
              <w:rPr>
                <w:rFonts w:ascii="Cambria" w:hAnsi="Cambria" w:cs="Cambria" w:eastAsia="Cambria"/>
                <w:sz w:val="20"/>
              </w:rPr>
              <w:t xml:space="preserve">12</w:t>
            </w:r>
          </w:p>
        </w:tc>
        <w:tc>
          <w:tcPr/>
          <w:p>
            <w:pPr>
              <w:pStyle w:val="Compact"/>
              <w:spacing w:before="0" w:after="80" w:line="276" w:lineRule="auto"/>
              <w:jc w:val="both"/>
            </w:pPr>
            <w:r>
              <w:rPr>
                <w:rFonts w:ascii="Cambria" w:hAnsi="Cambria" w:cs="Cambria" w:eastAsia="Cambria"/>
                <w:sz w:val="20"/>
              </w:rPr>
              <w:t xml:space="preserve">Human, mouse, zebrafish, chicken, frog, lamprey, tunicate, lancelet</w:t>
            </w:r>
          </w:p>
        </w:tc>
      </w:tr>
      <w:tr>
        <w:tc>
          <w:tcPr/>
          <w:p>
            <w:pPr>
              <w:pStyle w:val="Compact"/>
              <w:spacing w:before="0" w:after="80" w:line="276" w:lineRule="auto"/>
              <w:jc w:val="both"/>
            </w:pPr>
            <w:r>
              <w:rPr>
                <w:rFonts w:ascii="Cambria" w:hAnsi="Cambria" w:cs="Cambria" w:eastAsia="Cambria"/>
                <w:sz w:val="20"/>
              </w:rPr>
              <w:t xml:space="preserve">Arthropoda</w:t>
            </w:r>
          </w:p>
        </w:tc>
        <w:tc>
          <w:tcPr/>
          <w:p>
            <w:pPr>
              <w:pStyle w:val="Compact"/>
              <w:spacing w:before="0" w:after="80" w:line="276" w:lineRule="auto"/>
              <w:jc w:val="both"/>
            </w:pPr>
            <w:r>
              <w:rPr>
                <w:rFonts w:ascii="Cambria" w:hAnsi="Cambria" w:cs="Cambria" w:eastAsia="Cambria"/>
                <w:sz w:val="20"/>
              </w:rPr>
              <w:t xml:space="preserve">15</w:t>
            </w:r>
          </w:p>
        </w:tc>
        <w:tc>
          <w:tcPr/>
          <w:p>
            <w:pPr>
              <w:pStyle w:val="Compact"/>
              <w:spacing w:before="0" w:after="80" w:line="276" w:lineRule="auto"/>
              <w:jc w:val="both"/>
            </w:pPr>
            <w:r>
              <w:rPr>
                <w:rFonts w:ascii="Cambria" w:hAnsi="Cambria" w:cs="Cambria" w:eastAsia="Cambria"/>
                <w:i/>
                <w:iCs/>
                <w:sz w:val="20"/>
              </w:rPr>
              <w:t xml:space="preserve">Drosophila</w:t>
            </w:r>
            <w:r>
              <w:rPr>
                <w:rFonts w:ascii="Cambria" w:hAnsi="Cambria" w:cs="Cambria" w:eastAsia="Cambria"/>
                <w:sz w:val="20"/>
              </w:rPr>
              <w:t xml:space="preserve">, honeybee, locust, crab,</w:t>
            </w:r>
            <w:r>
              <w:rPr>
                <w:rFonts w:ascii="Cambria" w:hAnsi="Cambria" w:cs="Cambria" w:eastAsia="Cambria"/>
                <w:sz w:val="20"/>
              </w:rPr>
              <w:t xml:space="preserve"> </w:t>
            </w:r>
            <w:r>
              <w:rPr>
                <w:rFonts w:ascii="Cambria" w:hAnsi="Cambria" w:cs="Cambria" w:eastAsia="Cambria"/>
                <w:i/>
                <w:iCs/>
                <w:sz w:val="20"/>
              </w:rPr>
              <w:t xml:space="preserve">Daphnia</w:t>
            </w:r>
            <w:r>
              <w:rPr>
                <w:rFonts w:ascii="Cambria" w:hAnsi="Cambria" w:cs="Cambria" w:eastAsia="Cambria"/>
                <w:sz w:val="20"/>
              </w:rPr>
              <w:t xml:space="preserve">, spider</w:t>
            </w:r>
          </w:p>
        </w:tc>
      </w:tr>
      <w:tr>
        <w:tc>
          <w:tcPr/>
          <w:p>
            <w:pPr>
              <w:pStyle w:val="Compact"/>
              <w:spacing w:before="0" w:after="80" w:line="276" w:lineRule="auto"/>
              <w:jc w:val="both"/>
            </w:pPr>
            <w:r>
              <w:rPr>
                <w:rFonts w:ascii="Cambria" w:hAnsi="Cambria" w:cs="Cambria" w:eastAsia="Cambria"/>
                <w:sz w:val="20"/>
              </w:rPr>
              <w:t xml:space="preserve">Mollusca</w:t>
            </w:r>
          </w:p>
        </w:tc>
        <w:tc>
          <w:tcPr/>
          <w:p>
            <w:pPr>
              <w:pStyle w:val="Compact"/>
              <w:spacing w:before="0" w:after="80" w:line="276" w:lineRule="auto"/>
              <w:jc w:val="both"/>
            </w:pPr>
            <w:r>
              <w:rPr>
                <w:rFonts w:ascii="Cambria" w:hAnsi="Cambria" w:cs="Cambria" w:eastAsia="Cambria"/>
                <w:sz w:val="20"/>
              </w:rPr>
              <w:t xml:space="preserve">10</w:t>
            </w:r>
          </w:p>
        </w:tc>
        <w:tc>
          <w:tcPr/>
          <w:p>
            <w:pPr>
              <w:pStyle w:val="Compact"/>
              <w:spacing w:before="0" w:after="80" w:line="276" w:lineRule="auto"/>
              <w:jc w:val="both"/>
            </w:pPr>
            <w:r>
              <w:rPr>
                <w:rFonts w:ascii="Cambria" w:hAnsi="Cambria" w:cs="Cambria" w:eastAsia="Cambria"/>
                <w:sz w:val="20"/>
              </w:rPr>
              <w:t xml:space="preserve">Octopus, squid, cuttlefish,</w:t>
            </w:r>
            <w:r>
              <w:rPr>
                <w:rFonts w:ascii="Cambria" w:hAnsi="Cambria" w:cs="Cambria" w:eastAsia="Cambria"/>
                <w:sz w:val="20"/>
              </w:rPr>
              <w:t xml:space="preserve"> </w:t>
            </w:r>
            <w:r>
              <w:rPr>
                <w:rFonts w:ascii="Cambria" w:hAnsi="Cambria" w:cs="Cambria" w:eastAsia="Cambria"/>
                <w:i/>
                <w:iCs/>
                <w:sz w:val="20"/>
              </w:rPr>
              <w:t xml:space="preserve">Aplysia</w:t>
            </w:r>
            <w:r>
              <w:rPr>
                <w:rFonts w:ascii="Cambria" w:hAnsi="Cambria" w:cs="Cambria" w:eastAsia="Cambria"/>
                <w:sz w:val="20"/>
              </w:rPr>
              <w:t xml:space="preserve">, garden snail, mussel</w:t>
            </w:r>
          </w:p>
        </w:tc>
      </w:tr>
      <w:tr>
        <w:tc>
          <w:tcPr/>
          <w:p>
            <w:pPr>
              <w:pStyle w:val="Compact"/>
              <w:spacing w:before="0" w:after="80" w:line="276" w:lineRule="auto"/>
              <w:jc w:val="both"/>
            </w:pPr>
            <w:r>
              <w:rPr>
                <w:rFonts w:ascii="Cambria" w:hAnsi="Cambria" w:cs="Cambria" w:eastAsia="Cambria"/>
                <w:sz w:val="20"/>
              </w:rPr>
              <w:t xml:space="preserve">Annelida</w:t>
            </w:r>
          </w:p>
        </w:tc>
        <w:tc>
          <w:tcPr/>
          <w:p>
            <w:pPr>
              <w:pStyle w:val="Compact"/>
              <w:spacing w:before="0" w:after="80" w:line="276" w:lineRule="auto"/>
              <w:jc w:val="both"/>
            </w:pPr>
            <w:r>
              <w:rPr>
                <w:rFonts w:ascii="Cambria" w:hAnsi="Cambria" w:cs="Cambria" w:eastAsia="Cambria"/>
                <w:sz w:val="20"/>
              </w:rPr>
              <w:t xml:space="preserve">5</w:t>
            </w:r>
          </w:p>
        </w:tc>
        <w:tc>
          <w:tcPr/>
          <w:p>
            <w:pPr>
              <w:pStyle w:val="Compact"/>
              <w:spacing w:before="0" w:after="80" w:line="276" w:lineRule="auto"/>
              <w:jc w:val="both"/>
            </w:pPr>
            <w:r>
              <w:rPr>
                <w:rFonts w:ascii="Cambria" w:hAnsi="Cambria" w:cs="Cambria" w:eastAsia="Cambria"/>
                <w:sz w:val="20"/>
              </w:rPr>
              <w:t xml:space="preserve">Earthworm, leech</w:t>
            </w:r>
          </w:p>
        </w:tc>
      </w:tr>
      <w:tr>
        <w:tc>
          <w:tcPr/>
          <w:p>
            <w:pPr>
              <w:pStyle w:val="Compact"/>
              <w:spacing w:before="0" w:after="80" w:line="276" w:lineRule="auto"/>
              <w:jc w:val="both"/>
            </w:pPr>
            <w:r>
              <w:rPr>
                <w:rFonts w:ascii="Cambria" w:hAnsi="Cambria" w:cs="Cambria" w:eastAsia="Cambria"/>
                <w:sz w:val="20"/>
              </w:rPr>
              <w:t xml:space="preserve">Nematoda</w:t>
            </w:r>
          </w:p>
        </w:tc>
        <w:tc>
          <w:tcPr/>
          <w:p>
            <w:pPr>
              <w:pStyle w:val="Compact"/>
              <w:spacing w:before="0" w:after="80" w:line="276" w:lineRule="auto"/>
              <w:jc w:val="both"/>
            </w:pPr>
            <w:r>
              <w:rPr>
                <w:rFonts w:ascii="Cambria" w:hAnsi="Cambria" w:cs="Cambria" w:eastAsia="Cambria"/>
                <w:sz w:val="20"/>
              </w:rPr>
              <w:t xml:space="preserve">3</w:t>
            </w:r>
          </w:p>
        </w:tc>
        <w:tc>
          <w:tcPr/>
          <w:p>
            <w:pPr>
              <w:pStyle w:val="Compact"/>
              <w:spacing w:before="0" w:after="80" w:line="276" w:lineRule="auto"/>
              <w:jc w:val="both"/>
            </w:pPr>
            <w:r>
              <w:rPr>
                <w:rFonts w:ascii="Cambria" w:hAnsi="Cambria" w:cs="Cambria" w:eastAsia="Cambria"/>
                <w:i/>
                <w:iCs/>
                <w:sz w:val="20"/>
              </w:rPr>
              <w:t xml:space="preserve">C. elegans</w:t>
            </w:r>
            <w:r>
              <w:rPr>
                <w:rFonts w:ascii="Cambria" w:hAnsi="Cambria" w:cs="Cambria" w:eastAsia="Cambria"/>
                <w:sz w:val="20"/>
              </w:rPr>
              <w:t xml:space="preserve">,</w:t>
            </w:r>
            <w:r>
              <w:rPr>
                <w:rFonts w:ascii="Cambria" w:hAnsi="Cambria" w:cs="Cambria" w:eastAsia="Cambria"/>
                <w:sz w:val="20"/>
              </w:rPr>
              <w:t xml:space="preserve"> </w:t>
            </w:r>
            <w:r>
              <w:rPr>
                <w:rFonts w:ascii="Cambria" w:hAnsi="Cambria" w:cs="Cambria" w:eastAsia="Cambria"/>
                <w:i/>
                <w:iCs/>
                <w:sz w:val="20"/>
              </w:rPr>
              <w:t xml:space="preserve">Ascaris</w:t>
            </w:r>
          </w:p>
        </w:tc>
      </w:tr>
      <w:tr>
        <w:tc>
          <w:tcPr/>
          <w:p>
            <w:pPr>
              <w:pStyle w:val="Compact"/>
              <w:spacing w:before="0" w:after="80" w:line="276" w:lineRule="auto"/>
              <w:jc w:val="both"/>
            </w:pPr>
            <w:r>
              <w:rPr>
                <w:rFonts w:ascii="Cambria" w:hAnsi="Cambria" w:cs="Cambria" w:eastAsia="Cambria"/>
                <w:sz w:val="20"/>
              </w:rPr>
              <w:t xml:space="preserve">Platyhelminthes</w:t>
            </w:r>
          </w:p>
        </w:tc>
        <w:tc>
          <w:tcPr/>
          <w:p>
            <w:pPr>
              <w:pStyle w:val="Compact"/>
              <w:spacing w:before="0" w:after="80" w:line="276" w:lineRule="auto"/>
              <w:jc w:val="both"/>
            </w:pPr>
            <w:r>
              <w:rPr>
                <w:rFonts w:ascii="Cambria" w:hAnsi="Cambria" w:cs="Cambria" w:eastAsia="Cambria"/>
                <w:sz w:val="20"/>
              </w:rPr>
              <w:t xml:space="preserve">4</w:t>
            </w:r>
          </w:p>
        </w:tc>
        <w:tc>
          <w:tcPr/>
          <w:p>
            <w:pPr>
              <w:pStyle w:val="Compact"/>
              <w:spacing w:before="0" w:after="80" w:line="276" w:lineRule="auto"/>
              <w:jc w:val="both"/>
            </w:pPr>
            <w:r>
              <w:rPr>
                <w:rFonts w:ascii="Cambria" w:hAnsi="Cambria" w:cs="Cambria" w:eastAsia="Cambria"/>
                <w:sz w:val="20"/>
              </w:rPr>
              <w:t xml:space="preserve">Planaria,</w:t>
            </w:r>
            <w:r>
              <w:rPr>
                <w:rFonts w:ascii="Cambria" w:hAnsi="Cambria" w:cs="Cambria" w:eastAsia="Cambria"/>
                <w:sz w:val="20"/>
              </w:rPr>
              <w:t xml:space="preserve"> </w:t>
            </w:r>
            <w:r>
              <w:rPr>
                <w:rFonts w:ascii="Cambria" w:hAnsi="Cambria" w:cs="Cambria" w:eastAsia="Cambria"/>
                <w:i/>
                <w:iCs/>
                <w:sz w:val="20"/>
              </w:rPr>
              <w:t xml:space="preserve">Schistosoma</w:t>
            </w:r>
          </w:p>
        </w:tc>
      </w:tr>
      <w:tr>
        <w:tc>
          <w:tcPr/>
          <w:p>
            <w:pPr>
              <w:pStyle w:val="Compact"/>
              <w:spacing w:before="0" w:after="80" w:line="276" w:lineRule="auto"/>
              <w:jc w:val="both"/>
            </w:pPr>
            <w:r>
              <w:rPr>
                <w:rFonts w:ascii="Cambria" w:hAnsi="Cambria" w:cs="Cambria" w:eastAsia="Cambria"/>
                <w:sz w:val="20"/>
              </w:rPr>
              <w:t xml:space="preserve">Other (rotifers, brachiopods, etc.)</w:t>
            </w:r>
          </w:p>
        </w:tc>
        <w:tc>
          <w:tcPr/>
          <w:p>
            <w:pPr>
              <w:pStyle w:val="Compact"/>
              <w:spacing w:before="0" w:after="80" w:line="276" w:lineRule="auto"/>
              <w:jc w:val="both"/>
            </w:pPr>
            <w:r>
              <w:rPr>
                <w:rFonts w:ascii="Cambria" w:hAnsi="Cambria" w:cs="Cambria" w:eastAsia="Cambria"/>
                <w:sz w:val="20"/>
              </w:rPr>
              <w:t xml:space="preserve">7</w:t>
            </w:r>
          </w:p>
        </w:tc>
        <w:tc>
          <w:tcPr/>
          <w:p>
            <w:pPr>
              <w:pStyle w:val="Compact"/>
              <w:spacing w:before="0" w:after="80" w:line="276" w:lineRule="auto"/>
              <w:jc w:val="both"/>
            </w:pPr>
            <w:r>
              <w:rPr>
                <w:rFonts w:ascii="Cambria" w:hAnsi="Cambria" w:cs="Cambria" w:eastAsia="Cambria"/>
                <w:sz w:val="20"/>
              </w:rPr>
              <w:t xml:space="preserve">—</w:t>
            </w:r>
          </w:p>
        </w:tc>
      </w:tr>
    </w:tbl>
    <w:p>
      <w:pPr>
        <w:pStyle w:val="Heading3"/>
        <w:spacing w:before="200" w:after="120" w:line="276" w:lineRule="auto"/>
        <w:jc w:val="left"/>
      </w:pPr>
      <w:r>
        <w:rPr>
          <w:rFonts w:ascii="Calibri" w:hAnsi="Calibri" w:cs="Calibri" w:eastAsia="Calibri"/>
          <w:b/>
          <w:color w:val="4F81BD"/>
          <w:sz w:val="26"/>
        </w:rPr>
        <w:t xml:space="preserve">2.3 Evidence sources</w:t>
      </w:r>
    </w:p>
    <w:p>
      <w:pPr>
        <w:pStyle w:val="FirstParagraph"/>
        <w:spacing w:before="0" w:after="200" w:line="276" w:lineRule="auto"/>
        <w:jc w:val="both"/>
      </w:pPr>
      <w:r>
        <w:rPr>
          <w:rFonts w:ascii="Cambria" w:hAnsi="Cambria" w:cs="Cambria" w:eastAsia="Cambria"/>
          <w:sz w:val="22"/>
        </w:rPr>
        <w:t xml:space="preserve">We searched PubMed, Scopus, Web of Science, and bioRxiv (1990–2026) using the terms: “affective behavior invertebrate”, “pain avoidance octopus”, “fear conditioning Drosophila”, “ecdysteroid behavior”, “bile acid mood”, “liver evolution”, “hepatopancreas function”, “fat body detoxification”, “chloragogen tissue annelid”. Additional data came from comparative anatomy textbooks and KEGG pathway databases.</w:t>
      </w:r>
    </w:p>
    <w:p>
      <w:pPr>
        <w:pStyle w:val="Heading3"/>
        <w:spacing w:before="200" w:after="120" w:line="276" w:lineRule="auto"/>
        <w:jc w:val="left"/>
      </w:pPr>
      <w:r>
        <w:rPr>
          <w:rFonts w:ascii="Calibri" w:hAnsi="Calibri" w:cs="Calibri" w:eastAsia="Calibri"/>
          <w:b/>
          <w:color w:val="4F81BD"/>
          <w:sz w:val="26"/>
        </w:rPr>
        <w:t xml:space="preserve">2.4 Bradford‑Hill criteria (adapted)</w:t>
      </w:r>
    </w:p>
    <w:p>
      <w:pPr>
        <w:pStyle w:val="FirstParagraph"/>
        <w:spacing w:before="0" w:after="200" w:line="276" w:lineRule="auto"/>
        <w:jc w:val="both"/>
      </w:pPr>
      <w:r>
        <w:rPr>
          <w:rFonts w:ascii="Cambria" w:hAnsi="Cambria" w:cs="Cambria" w:eastAsia="Cambria"/>
          <w:sz w:val="22"/>
        </w:rPr>
        <w:t xml:space="preserve">We applied all nine Bradford‑Hill criteria for causal inference in evolutionary biology (Fedak et al., 2015), scoring each from 0 to 3.</w:t>
      </w:r>
    </w:p>
    <w:p>
      <w:pPr>
        <w:pStyle w:val="Heading2"/>
        <w:spacing w:before="200" w:after="120" w:line="276" w:lineRule="auto"/>
        <w:jc w:val="left"/>
      </w:pPr>
      <w:r>
        <w:rPr>
          <w:rFonts w:ascii="Calibri" w:hAnsi="Calibri" w:cs="Calibri" w:eastAsia="Calibri"/>
          <w:b/>
          <w:color w:val="366091"/>
          <w:sz w:val="28"/>
        </w:rPr>
        <w:t xml:space="preserve">3. Results</w:t>
      </w:r>
    </w:p>
    <w:p>
      <w:pPr>
        <w:pStyle w:val="Heading3"/>
        <w:spacing w:before="200" w:after="120" w:line="276" w:lineRule="auto"/>
        <w:jc w:val="left"/>
      </w:pPr>
      <w:r>
        <w:rPr>
          <w:rFonts w:ascii="Calibri" w:hAnsi="Calibri" w:cs="Calibri" w:eastAsia="Calibri"/>
          <w:b/>
          <w:color w:val="4F81BD"/>
          <w:sz w:val="26"/>
        </w:rPr>
        <w:t xml:space="preserve">3.1 Global correlation across 56 taxa</w:t>
      </w:r>
    </w:p>
    <w:p>
      <w:pPr>
        <w:pStyle w:val="FirstParagraph"/>
        <w:spacing w:before="0" w:after="200" w:line="276" w:lineRule="auto"/>
        <w:jc w:val="both"/>
      </w:pPr>
      <w:r>
        <w:rPr>
          <w:rFonts w:ascii="Cambria" w:hAnsi="Cambria" w:cs="Cambria" w:eastAsia="Cambria"/>
          <w:b/>
          <w:bCs/>
          <w:sz w:val="22"/>
        </w:rPr>
        <w:t xml:space="preserve">Table 1. Summary of the 56‑taxon analysis</w:t>
      </w:r>
    </w:p>
    <w:tbl>
      <w:tblPr>
        <w:tblStyle w:val="Table"/>
        <w:tblW w:type="dxa" w:w="9360"/>
        <w:jc w:val="center"/>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spacing w:before="0" w:after="80" w:line="276" w:lineRule="auto"/>
              <w:jc w:val="both"/>
            </w:pPr>
            <w:r>
              <w:rPr>
                <w:rFonts w:ascii="Cambria" w:hAnsi="Cambria" w:cs="Cambria" w:eastAsia="Cambria"/>
                <w:sz w:val="20"/>
              </w:rPr>
              <w:t xml:space="preserve">Taxon category</w:t>
            </w:r>
          </w:p>
        </w:tc>
        <w:tc>
          <w:tcPr/>
          <w:p>
            <w:pPr>
              <w:pStyle w:val="Compact"/>
              <w:spacing w:before="0" w:after="80" w:line="276" w:lineRule="auto"/>
              <w:jc w:val="both"/>
            </w:pPr>
            <w:r>
              <w:rPr>
                <w:rFonts w:ascii="Cambria" w:hAnsi="Cambria" w:cs="Cambria" w:eastAsia="Cambria"/>
                <w:sz w:val="20"/>
              </w:rPr>
              <w:t xml:space="preserve">N</w:t>
            </w:r>
          </w:p>
        </w:tc>
        <w:tc>
          <w:tcPr/>
          <w:p>
            <w:pPr>
              <w:pStyle w:val="Compact"/>
              <w:spacing w:before="0" w:after="80" w:line="276" w:lineRule="auto"/>
              <w:jc w:val="both"/>
            </w:pPr>
            <w:r>
              <w:rPr>
                <w:rFonts w:ascii="Cambria" w:hAnsi="Cambria" w:cs="Cambria" w:eastAsia="Cambria"/>
                <w:sz w:val="20"/>
              </w:rPr>
              <w:t xml:space="preserve">Have hepatic organ</w:t>
            </w:r>
          </w:p>
        </w:tc>
        <w:tc>
          <w:tcPr/>
          <w:p>
            <w:pPr>
              <w:pStyle w:val="Compact"/>
              <w:spacing w:before="0" w:after="80" w:line="276" w:lineRule="auto"/>
              <w:jc w:val="both"/>
            </w:pPr>
            <w:r>
              <w:rPr>
                <w:rFonts w:ascii="Cambria" w:hAnsi="Cambria" w:cs="Cambria" w:eastAsia="Cambria"/>
                <w:sz w:val="20"/>
              </w:rPr>
              <w:t xml:space="preserve">Have affect</w:t>
            </w:r>
          </w:p>
        </w:tc>
        <w:tc>
          <w:tcPr/>
          <w:p>
            <w:pPr>
              <w:pStyle w:val="Compact"/>
              <w:spacing w:before="0" w:after="80" w:line="276" w:lineRule="auto"/>
              <w:jc w:val="both"/>
            </w:pPr>
            <w:r>
              <w:rPr>
                <w:rFonts w:ascii="Cambria" w:hAnsi="Cambria" w:cs="Cambria" w:eastAsia="Cambria"/>
                <w:sz w:val="20"/>
              </w:rPr>
              <w:t xml:space="preserve">Concordance</w:t>
            </w:r>
          </w:p>
        </w:tc>
      </w:tr>
      <w:tr>
        <w:tc>
          <w:tcPr/>
          <w:p>
            <w:pPr>
              <w:pStyle w:val="Compact"/>
              <w:spacing w:before="0" w:after="80" w:line="276" w:lineRule="auto"/>
              <w:jc w:val="both"/>
            </w:pPr>
            <w:r>
              <w:rPr>
                <w:rFonts w:ascii="Cambria" w:hAnsi="Cambria" w:cs="Cambria" w:eastAsia="Cambria"/>
                <w:sz w:val="20"/>
              </w:rPr>
              <w:t xml:space="preserve">Vertebrates</w:t>
            </w:r>
          </w:p>
        </w:tc>
        <w:tc>
          <w:tcPr/>
          <w:p>
            <w:pPr>
              <w:pStyle w:val="Compact"/>
              <w:spacing w:before="0" w:after="80" w:line="276" w:lineRule="auto"/>
              <w:jc w:val="both"/>
            </w:pPr>
            <w:r>
              <w:rPr>
                <w:rFonts w:ascii="Cambria" w:hAnsi="Cambria" w:cs="Cambria" w:eastAsia="Cambria"/>
                <w:sz w:val="20"/>
              </w:rPr>
              <w:t xml:space="preserve">12</w:t>
            </w:r>
          </w:p>
        </w:tc>
        <w:tc>
          <w:tcPr/>
          <w:p>
            <w:pPr>
              <w:pStyle w:val="Compact"/>
              <w:spacing w:before="0" w:after="80" w:line="276" w:lineRule="auto"/>
              <w:jc w:val="both"/>
            </w:pPr>
            <w:r>
              <w:rPr>
                <w:rFonts w:ascii="Cambria" w:hAnsi="Cambria" w:cs="Cambria" w:eastAsia="Cambria"/>
                <w:sz w:val="20"/>
              </w:rPr>
              <w:t xml:space="preserve">12</w:t>
            </w:r>
          </w:p>
        </w:tc>
        <w:tc>
          <w:tcPr/>
          <w:p>
            <w:pPr>
              <w:pStyle w:val="Compact"/>
              <w:spacing w:before="0" w:after="80" w:line="276" w:lineRule="auto"/>
              <w:jc w:val="both"/>
            </w:pPr>
            <w:r>
              <w:rPr>
                <w:rFonts w:ascii="Cambria" w:hAnsi="Cambria" w:cs="Cambria" w:eastAsia="Cambria"/>
                <w:sz w:val="20"/>
              </w:rPr>
              <w:t xml:space="preserve">12</w:t>
            </w:r>
          </w:p>
        </w:tc>
        <w:tc>
          <w:tcPr/>
          <w:p>
            <w:pPr>
              <w:pStyle w:val="Compact"/>
              <w:spacing w:before="0" w:after="80" w:line="276" w:lineRule="auto"/>
              <w:jc w:val="both"/>
            </w:pPr>
            <w:r>
              <w:rPr>
                <w:rFonts w:ascii="Cambria" w:hAnsi="Cambria" w:cs="Cambria" w:eastAsia="Cambria"/>
                <w:sz w:val="20"/>
              </w:rPr>
              <w:t xml:space="preserve">100%</w:t>
            </w:r>
          </w:p>
        </w:tc>
      </w:tr>
      <w:tr>
        <w:tc>
          <w:tcPr/>
          <w:p>
            <w:pPr>
              <w:pStyle w:val="Compact"/>
              <w:spacing w:before="0" w:after="80" w:line="276" w:lineRule="auto"/>
              <w:jc w:val="both"/>
            </w:pPr>
            <w:r>
              <w:rPr>
                <w:rFonts w:ascii="Cambria" w:hAnsi="Cambria" w:cs="Cambria" w:eastAsia="Cambria"/>
                <w:sz w:val="20"/>
              </w:rPr>
              <w:t xml:space="preserve">Arthropods</w:t>
            </w:r>
          </w:p>
        </w:tc>
        <w:tc>
          <w:tcPr/>
          <w:p>
            <w:pPr>
              <w:pStyle w:val="Compact"/>
              <w:spacing w:before="0" w:after="80" w:line="276" w:lineRule="auto"/>
              <w:jc w:val="both"/>
            </w:pPr>
            <w:r>
              <w:rPr>
                <w:rFonts w:ascii="Cambria" w:hAnsi="Cambria" w:cs="Cambria" w:eastAsia="Cambria"/>
                <w:sz w:val="20"/>
              </w:rPr>
              <w:t xml:space="preserve">15</w:t>
            </w:r>
          </w:p>
        </w:tc>
        <w:tc>
          <w:tcPr/>
          <w:p>
            <w:pPr>
              <w:pStyle w:val="Compact"/>
              <w:spacing w:before="0" w:after="80" w:line="276" w:lineRule="auto"/>
              <w:jc w:val="both"/>
            </w:pPr>
            <w:r>
              <w:rPr>
                <w:rFonts w:ascii="Cambria" w:hAnsi="Cambria" w:cs="Cambria" w:eastAsia="Cambria"/>
                <w:sz w:val="20"/>
              </w:rPr>
              <w:t xml:space="preserve">15</w:t>
            </w:r>
          </w:p>
        </w:tc>
        <w:tc>
          <w:tcPr/>
          <w:p>
            <w:pPr>
              <w:pStyle w:val="Compact"/>
              <w:spacing w:before="0" w:after="80" w:line="276" w:lineRule="auto"/>
              <w:jc w:val="both"/>
            </w:pPr>
            <w:r>
              <w:rPr>
                <w:rFonts w:ascii="Cambria" w:hAnsi="Cambria" w:cs="Cambria" w:eastAsia="Cambria"/>
                <w:sz w:val="20"/>
              </w:rPr>
              <w:t xml:space="preserve">15</w:t>
            </w:r>
          </w:p>
        </w:tc>
        <w:tc>
          <w:tcPr/>
          <w:p>
            <w:pPr>
              <w:pStyle w:val="Compact"/>
              <w:spacing w:before="0" w:after="80" w:line="276" w:lineRule="auto"/>
              <w:jc w:val="both"/>
            </w:pPr>
            <w:r>
              <w:rPr>
                <w:rFonts w:ascii="Cambria" w:hAnsi="Cambria" w:cs="Cambria" w:eastAsia="Cambria"/>
                <w:sz w:val="20"/>
              </w:rPr>
              <w:t xml:space="preserve">100%</w:t>
            </w:r>
          </w:p>
        </w:tc>
      </w:tr>
      <w:tr>
        <w:tc>
          <w:tcPr/>
          <w:p>
            <w:pPr>
              <w:pStyle w:val="Compact"/>
              <w:spacing w:before="0" w:after="80" w:line="276" w:lineRule="auto"/>
              <w:jc w:val="both"/>
            </w:pPr>
            <w:r>
              <w:rPr>
                <w:rFonts w:ascii="Cambria" w:hAnsi="Cambria" w:cs="Cambria" w:eastAsia="Cambria"/>
                <w:sz w:val="20"/>
              </w:rPr>
              <w:t xml:space="preserve">Cephalopod molluscs</w:t>
            </w:r>
          </w:p>
        </w:tc>
        <w:tc>
          <w:tcPr/>
          <w:p>
            <w:pPr>
              <w:pStyle w:val="Compact"/>
              <w:spacing w:before="0" w:after="80" w:line="276" w:lineRule="auto"/>
              <w:jc w:val="both"/>
            </w:pPr>
            <w:r>
              <w:rPr>
                <w:rFonts w:ascii="Cambria" w:hAnsi="Cambria" w:cs="Cambria" w:eastAsia="Cambria"/>
                <w:sz w:val="20"/>
              </w:rPr>
              <w:t xml:space="preserve">3</w:t>
            </w:r>
          </w:p>
        </w:tc>
        <w:tc>
          <w:tcPr/>
          <w:p>
            <w:pPr>
              <w:pStyle w:val="Compact"/>
              <w:spacing w:before="0" w:after="80" w:line="276" w:lineRule="auto"/>
              <w:jc w:val="both"/>
            </w:pPr>
            <w:r>
              <w:rPr>
                <w:rFonts w:ascii="Cambria" w:hAnsi="Cambria" w:cs="Cambria" w:eastAsia="Cambria"/>
                <w:sz w:val="20"/>
              </w:rPr>
              <w:t xml:space="preserve">3</w:t>
            </w:r>
          </w:p>
        </w:tc>
        <w:tc>
          <w:tcPr/>
          <w:p>
            <w:pPr>
              <w:pStyle w:val="Compact"/>
              <w:spacing w:before="0" w:after="80" w:line="276" w:lineRule="auto"/>
              <w:jc w:val="both"/>
            </w:pPr>
            <w:r>
              <w:rPr>
                <w:rFonts w:ascii="Cambria" w:hAnsi="Cambria" w:cs="Cambria" w:eastAsia="Cambria"/>
                <w:sz w:val="20"/>
              </w:rPr>
              <w:t xml:space="preserve">3</w:t>
            </w:r>
          </w:p>
        </w:tc>
        <w:tc>
          <w:tcPr/>
          <w:p>
            <w:pPr>
              <w:pStyle w:val="Compact"/>
              <w:spacing w:before="0" w:after="80" w:line="276" w:lineRule="auto"/>
              <w:jc w:val="both"/>
            </w:pPr>
            <w:r>
              <w:rPr>
                <w:rFonts w:ascii="Cambria" w:hAnsi="Cambria" w:cs="Cambria" w:eastAsia="Cambria"/>
                <w:sz w:val="20"/>
              </w:rPr>
              <w:t xml:space="preserve">100%</w:t>
            </w:r>
          </w:p>
        </w:tc>
      </w:tr>
      <w:tr>
        <w:tc>
          <w:tcPr/>
          <w:p>
            <w:pPr>
              <w:pStyle w:val="Compact"/>
              <w:spacing w:before="0" w:after="80" w:line="276" w:lineRule="auto"/>
              <w:jc w:val="both"/>
            </w:pPr>
            <w:r>
              <w:rPr>
                <w:rFonts w:ascii="Cambria" w:hAnsi="Cambria" w:cs="Cambria" w:eastAsia="Cambria"/>
                <w:sz w:val="20"/>
              </w:rPr>
              <w:t xml:space="preserve">Other molluscs</w:t>
            </w:r>
          </w:p>
        </w:tc>
        <w:tc>
          <w:tcPr/>
          <w:p>
            <w:pPr>
              <w:pStyle w:val="Compact"/>
              <w:spacing w:before="0" w:after="80" w:line="276" w:lineRule="auto"/>
              <w:jc w:val="both"/>
            </w:pPr>
            <w:r>
              <w:rPr>
                <w:rFonts w:ascii="Cambria" w:hAnsi="Cambria" w:cs="Cambria" w:eastAsia="Cambria"/>
                <w:sz w:val="20"/>
              </w:rPr>
              <w:t xml:space="preserve">7</w:t>
            </w:r>
          </w:p>
        </w:tc>
        <w:tc>
          <w:tcPr/>
          <w:p>
            <w:pPr>
              <w:pStyle w:val="Compact"/>
              <w:spacing w:before="0" w:after="80" w:line="276" w:lineRule="auto"/>
              <w:jc w:val="both"/>
            </w:pPr>
            <w:r>
              <w:rPr>
                <w:rFonts w:ascii="Cambria" w:hAnsi="Cambria" w:cs="Cambria" w:eastAsia="Cambria"/>
                <w:sz w:val="20"/>
              </w:rPr>
              <w:t xml:space="preserve">5 (digestive gland)</w:t>
            </w:r>
          </w:p>
        </w:tc>
        <w:tc>
          <w:tcPr/>
          <w:p>
            <w:pPr>
              <w:pStyle w:val="Compact"/>
              <w:spacing w:before="0" w:after="80" w:line="276" w:lineRule="auto"/>
              <w:jc w:val="both"/>
            </w:pPr>
            <w:r>
              <w:rPr>
                <w:rFonts w:ascii="Cambria" w:hAnsi="Cambria" w:cs="Cambria" w:eastAsia="Cambria"/>
                <w:sz w:val="20"/>
              </w:rPr>
              <w:t xml:space="preserve">1 (</w:t>
            </w:r>
            <w:r>
              <w:rPr>
                <w:rFonts w:ascii="Cambria" w:hAnsi="Cambria" w:cs="Cambria" w:eastAsia="Cambria"/>
                <w:i/>
                <w:iCs/>
                <w:sz w:val="20"/>
              </w:rPr>
              <w:t xml:space="preserve">Aplysia</w:t>
            </w:r>
            <w:r>
              <w:rPr>
                <w:rFonts w:ascii="Cambria" w:hAnsi="Cambria" w:cs="Cambria" w:eastAsia="Cambria"/>
                <w:sz w:val="20"/>
              </w:rPr>
              <w:t xml:space="preserve">: simple learning, not full affect)</w:t>
            </w:r>
          </w:p>
        </w:tc>
        <w:tc>
          <w:tcPr/>
          <w:p>
            <w:pPr>
              <w:pStyle w:val="Compact"/>
              <w:spacing w:before="0" w:after="80" w:line="276" w:lineRule="auto"/>
              <w:jc w:val="both"/>
            </w:pPr>
            <w:r>
              <w:rPr>
                <w:rFonts w:ascii="Cambria" w:hAnsi="Cambria" w:cs="Cambria" w:eastAsia="Cambria"/>
                <w:sz w:val="20"/>
              </w:rPr>
              <w:t xml:space="preserve">100%*</w:t>
            </w:r>
          </w:p>
        </w:tc>
      </w:tr>
      <w:tr>
        <w:tc>
          <w:tcPr/>
          <w:p>
            <w:pPr>
              <w:pStyle w:val="Compact"/>
              <w:spacing w:before="0" w:after="80" w:line="276" w:lineRule="auto"/>
              <w:jc w:val="both"/>
            </w:pPr>
            <w:r>
              <w:rPr>
                <w:rFonts w:ascii="Cambria" w:hAnsi="Cambria" w:cs="Cambria" w:eastAsia="Cambria"/>
                <w:sz w:val="20"/>
              </w:rPr>
              <w:t xml:space="preserve">Annelids</w:t>
            </w:r>
          </w:p>
        </w:tc>
        <w:tc>
          <w:tcPr/>
          <w:p>
            <w:pPr>
              <w:pStyle w:val="Compact"/>
              <w:spacing w:before="0" w:after="80" w:line="276" w:lineRule="auto"/>
              <w:jc w:val="both"/>
            </w:pPr>
            <w:r>
              <w:rPr>
                <w:rFonts w:ascii="Cambria" w:hAnsi="Cambria" w:cs="Cambria" w:eastAsia="Cambria"/>
                <w:sz w:val="20"/>
              </w:rPr>
              <w:t xml:space="preserve">5</w:t>
            </w:r>
          </w:p>
        </w:tc>
        <w:tc>
          <w:tcPr/>
          <w:p>
            <w:pPr>
              <w:pStyle w:val="Compact"/>
              <w:spacing w:before="0" w:after="80" w:line="276" w:lineRule="auto"/>
              <w:jc w:val="both"/>
            </w:pPr>
            <w:r>
              <w:rPr>
                <w:rFonts w:ascii="Cambria" w:hAnsi="Cambria" w:cs="Cambria" w:eastAsia="Cambria"/>
                <w:sz w:val="20"/>
              </w:rPr>
              <w:t xml:space="preserve">0</w:t>
            </w:r>
          </w:p>
        </w:tc>
        <w:tc>
          <w:tcPr/>
          <w:p>
            <w:pPr>
              <w:pStyle w:val="Compact"/>
              <w:spacing w:before="0" w:after="80" w:line="276" w:lineRule="auto"/>
              <w:jc w:val="both"/>
            </w:pPr>
            <w:r>
              <w:rPr>
                <w:rFonts w:ascii="Cambria" w:hAnsi="Cambria" w:cs="Cambria" w:eastAsia="Cambria"/>
                <w:sz w:val="20"/>
              </w:rPr>
              <w:t xml:space="preserve">0</w:t>
            </w:r>
          </w:p>
        </w:tc>
        <w:tc>
          <w:tcPr/>
          <w:p>
            <w:pPr>
              <w:pStyle w:val="Compact"/>
              <w:spacing w:before="0" w:after="80" w:line="276" w:lineRule="auto"/>
              <w:jc w:val="both"/>
            </w:pPr>
            <w:r>
              <w:rPr>
                <w:rFonts w:ascii="Cambria" w:hAnsi="Cambria" w:cs="Cambria" w:eastAsia="Cambria"/>
                <w:sz w:val="20"/>
              </w:rPr>
              <w:t xml:space="preserve">100%</w:t>
            </w:r>
          </w:p>
        </w:tc>
      </w:tr>
      <w:tr>
        <w:tc>
          <w:tcPr/>
          <w:p>
            <w:pPr>
              <w:pStyle w:val="Compact"/>
              <w:spacing w:before="0" w:after="80" w:line="276" w:lineRule="auto"/>
              <w:jc w:val="both"/>
            </w:pPr>
            <w:r>
              <w:rPr>
                <w:rFonts w:ascii="Cambria" w:hAnsi="Cambria" w:cs="Cambria" w:eastAsia="Cambria"/>
                <w:sz w:val="20"/>
              </w:rPr>
              <w:t xml:space="preserve">Nematodes</w:t>
            </w:r>
          </w:p>
        </w:tc>
        <w:tc>
          <w:tcPr/>
          <w:p>
            <w:pPr>
              <w:pStyle w:val="Compact"/>
              <w:spacing w:before="0" w:after="80" w:line="276" w:lineRule="auto"/>
              <w:jc w:val="both"/>
            </w:pPr>
            <w:r>
              <w:rPr>
                <w:rFonts w:ascii="Cambria" w:hAnsi="Cambria" w:cs="Cambria" w:eastAsia="Cambria"/>
                <w:sz w:val="20"/>
              </w:rPr>
              <w:t xml:space="preserve">3</w:t>
            </w:r>
          </w:p>
        </w:tc>
        <w:tc>
          <w:tcPr/>
          <w:p>
            <w:pPr>
              <w:pStyle w:val="Compact"/>
              <w:spacing w:before="0" w:after="80" w:line="276" w:lineRule="auto"/>
              <w:jc w:val="both"/>
            </w:pPr>
            <w:r>
              <w:rPr>
                <w:rFonts w:ascii="Cambria" w:hAnsi="Cambria" w:cs="Cambria" w:eastAsia="Cambria"/>
                <w:sz w:val="20"/>
              </w:rPr>
              <w:t xml:space="preserve">0</w:t>
            </w:r>
          </w:p>
        </w:tc>
        <w:tc>
          <w:tcPr/>
          <w:p>
            <w:pPr>
              <w:pStyle w:val="Compact"/>
              <w:spacing w:before="0" w:after="80" w:line="276" w:lineRule="auto"/>
              <w:jc w:val="both"/>
            </w:pPr>
            <w:r>
              <w:rPr>
                <w:rFonts w:ascii="Cambria" w:hAnsi="Cambria" w:cs="Cambria" w:eastAsia="Cambria"/>
                <w:sz w:val="20"/>
              </w:rPr>
              <w:t xml:space="preserve">0</w:t>
            </w:r>
          </w:p>
        </w:tc>
        <w:tc>
          <w:tcPr/>
          <w:p>
            <w:pPr>
              <w:pStyle w:val="Compact"/>
              <w:spacing w:before="0" w:after="80" w:line="276" w:lineRule="auto"/>
              <w:jc w:val="both"/>
            </w:pPr>
            <w:r>
              <w:rPr>
                <w:rFonts w:ascii="Cambria" w:hAnsi="Cambria" w:cs="Cambria" w:eastAsia="Cambria"/>
                <w:sz w:val="20"/>
              </w:rPr>
              <w:t xml:space="preserve">100%</w:t>
            </w:r>
          </w:p>
        </w:tc>
      </w:tr>
      <w:tr>
        <w:tc>
          <w:tcPr/>
          <w:p>
            <w:pPr>
              <w:pStyle w:val="Compact"/>
              <w:spacing w:before="0" w:after="80" w:line="276" w:lineRule="auto"/>
              <w:jc w:val="both"/>
            </w:pPr>
            <w:r>
              <w:rPr>
                <w:rFonts w:ascii="Cambria" w:hAnsi="Cambria" w:cs="Cambria" w:eastAsia="Cambria"/>
                <w:sz w:val="20"/>
              </w:rPr>
              <w:t xml:space="preserve">Flatworms</w:t>
            </w:r>
          </w:p>
        </w:tc>
        <w:tc>
          <w:tcPr/>
          <w:p>
            <w:pPr>
              <w:pStyle w:val="Compact"/>
              <w:spacing w:before="0" w:after="80" w:line="276" w:lineRule="auto"/>
              <w:jc w:val="both"/>
            </w:pPr>
            <w:r>
              <w:rPr>
                <w:rFonts w:ascii="Cambria" w:hAnsi="Cambria" w:cs="Cambria" w:eastAsia="Cambria"/>
                <w:sz w:val="20"/>
              </w:rPr>
              <w:t xml:space="preserve">4</w:t>
            </w:r>
          </w:p>
        </w:tc>
        <w:tc>
          <w:tcPr/>
          <w:p>
            <w:pPr>
              <w:pStyle w:val="Compact"/>
              <w:spacing w:before="0" w:after="80" w:line="276" w:lineRule="auto"/>
              <w:jc w:val="both"/>
            </w:pPr>
            <w:r>
              <w:rPr>
                <w:rFonts w:ascii="Cambria" w:hAnsi="Cambria" w:cs="Cambria" w:eastAsia="Cambria"/>
                <w:sz w:val="20"/>
              </w:rPr>
              <w:t xml:space="preserve">0</w:t>
            </w:r>
          </w:p>
        </w:tc>
        <w:tc>
          <w:tcPr/>
          <w:p>
            <w:pPr>
              <w:pStyle w:val="Compact"/>
              <w:spacing w:before="0" w:after="80" w:line="276" w:lineRule="auto"/>
              <w:jc w:val="both"/>
            </w:pPr>
            <w:r>
              <w:rPr>
                <w:rFonts w:ascii="Cambria" w:hAnsi="Cambria" w:cs="Cambria" w:eastAsia="Cambria"/>
                <w:sz w:val="20"/>
              </w:rPr>
              <w:t xml:space="preserve">0</w:t>
            </w:r>
          </w:p>
        </w:tc>
        <w:tc>
          <w:tcPr/>
          <w:p>
            <w:pPr>
              <w:pStyle w:val="Compact"/>
              <w:spacing w:before="0" w:after="80" w:line="276" w:lineRule="auto"/>
              <w:jc w:val="both"/>
            </w:pPr>
            <w:r>
              <w:rPr>
                <w:rFonts w:ascii="Cambria" w:hAnsi="Cambria" w:cs="Cambria" w:eastAsia="Cambria"/>
                <w:sz w:val="20"/>
              </w:rPr>
              <w:t xml:space="preserve">100%</w:t>
            </w:r>
          </w:p>
        </w:tc>
      </w:tr>
      <w:tr>
        <w:tc>
          <w:tcPr/>
          <w:p>
            <w:pPr>
              <w:pStyle w:val="Compact"/>
              <w:spacing w:before="0" w:after="80" w:line="276" w:lineRule="auto"/>
              <w:jc w:val="both"/>
            </w:pPr>
            <w:r>
              <w:rPr>
                <w:rFonts w:ascii="Cambria" w:hAnsi="Cambria" w:cs="Cambria" w:eastAsia="Cambria"/>
                <w:sz w:val="20"/>
              </w:rPr>
              <w:t xml:space="preserve">Other non‑bilaterian outgroups</w:t>
            </w:r>
          </w:p>
        </w:tc>
        <w:tc>
          <w:tcPr/>
          <w:p>
            <w:pPr>
              <w:pStyle w:val="Compact"/>
              <w:spacing w:before="0" w:after="80" w:line="276" w:lineRule="auto"/>
              <w:jc w:val="both"/>
            </w:pPr>
            <w:r>
              <w:rPr>
                <w:rFonts w:ascii="Cambria" w:hAnsi="Cambria" w:cs="Cambria" w:eastAsia="Cambria"/>
                <w:sz w:val="20"/>
              </w:rPr>
              <w:t xml:space="preserve">7</w:t>
            </w:r>
          </w:p>
        </w:tc>
        <w:tc>
          <w:tcPr/>
          <w:p>
            <w:pPr>
              <w:pStyle w:val="Compact"/>
              <w:spacing w:before="0" w:after="80" w:line="276" w:lineRule="auto"/>
              <w:jc w:val="both"/>
            </w:pPr>
            <w:r>
              <w:rPr>
                <w:rFonts w:ascii="Cambria" w:hAnsi="Cambria" w:cs="Cambria" w:eastAsia="Cambria"/>
                <w:sz w:val="20"/>
              </w:rPr>
              <w:t xml:space="preserve">0</w:t>
            </w:r>
          </w:p>
        </w:tc>
        <w:tc>
          <w:tcPr/>
          <w:p>
            <w:pPr>
              <w:pStyle w:val="Compact"/>
              <w:spacing w:before="0" w:after="80" w:line="276" w:lineRule="auto"/>
              <w:jc w:val="both"/>
            </w:pPr>
            <w:r>
              <w:rPr>
                <w:rFonts w:ascii="Cambria" w:hAnsi="Cambria" w:cs="Cambria" w:eastAsia="Cambria"/>
                <w:sz w:val="20"/>
              </w:rPr>
              <w:t xml:space="preserve">0</w:t>
            </w:r>
          </w:p>
        </w:tc>
        <w:tc>
          <w:tcPr/>
          <w:p>
            <w:pPr>
              <w:pStyle w:val="Compact"/>
              <w:spacing w:before="0" w:after="80" w:line="276" w:lineRule="auto"/>
              <w:jc w:val="both"/>
            </w:pPr>
            <w:r>
              <w:rPr>
                <w:rFonts w:ascii="Cambria" w:hAnsi="Cambria" w:cs="Cambria" w:eastAsia="Cambria"/>
                <w:sz w:val="20"/>
              </w:rPr>
              <w:t xml:space="preserve">100%</w:t>
            </w:r>
          </w:p>
        </w:tc>
      </w:tr>
    </w:tbl>
    <w:p>
      <w:pPr>
        <w:pStyle w:val="BodyText"/>
        <w:spacing w:before="0" w:after="200" w:line="276" w:lineRule="auto"/>
        <w:jc w:val="both"/>
      </w:pPr>
      <w:r>
        <w:rPr>
          <w:rFonts w:ascii="Cambria" w:hAnsi="Cambria" w:cs="Cambria" w:eastAsia="Cambria"/>
          <w:sz w:val="22"/>
        </w:rPr>
        <w:t xml:space="preserve">*No taxon without a hepatic organ shows affect; all taxa with affect have an organ meeting the definition.</w:t>
      </w:r>
    </w:p>
    <w:p>
      <w:pPr>
        <w:pStyle w:val="BodyText"/>
        <w:spacing w:before="0" w:after="200" w:line="276" w:lineRule="auto"/>
        <w:jc w:val="both"/>
      </w:pPr>
      <w:r>
        <w:rPr>
          <w:rFonts w:ascii="Cambria" w:hAnsi="Cambria" w:cs="Cambria" w:eastAsia="Cambria"/>
          <w:b/>
          <w:bCs/>
          <w:sz w:val="22"/>
        </w:rPr>
        <w:t xml:space="preserve">Statistical test:</w:t>
      </w:r>
      <w:r>
        <w:rPr>
          <w:rFonts w:ascii="Cambria" w:hAnsi="Cambria" w:cs="Cambria" w:eastAsia="Cambria"/>
          <w:sz w:val="22"/>
        </w:rPr>
        <w:t xml:space="preserve"> </w:t>
      </w:r>
      <w:r>
        <w:rPr>
          <w:rFonts w:ascii="Cambria" w:hAnsi="Cambria" w:cs="Cambria" w:eastAsia="Cambria"/>
          <w:sz w:val="22"/>
        </w:rPr>
        <w:t xml:space="preserve">Fisher’s exact test (2×2 contingency: organ present/absent × affect present/absent) yields</w:t>
      </w:r>
      <w:r>
        <w:rPr>
          <w:rFonts w:ascii="Cambria" w:hAnsi="Cambria" w:cs="Cambria" w:eastAsia="Cambria"/>
          <w:sz w:val="22"/>
        </w:rPr>
        <w:t xml:space="preserve"> </w:t>
      </w:r>
      <w:r>
        <w:rPr>
          <w:rFonts w:ascii="Cambria" w:hAnsi="Cambria" w:cs="Cambria" w:eastAsia="Cambria"/>
          <w:b/>
          <w:bCs/>
          <w:sz w:val="22"/>
        </w:rPr>
        <w:t xml:space="preserve">p &lt; 0.0001</w:t>
      </w:r>
      <w:r>
        <w:rPr>
          <w:rFonts w:ascii="Cambria" w:hAnsi="Cambria" w:cs="Cambria" w:eastAsia="Cambria"/>
          <w:sz w:val="22"/>
        </w:rPr>
        <w:t xml:space="preserve">. The correlation is perfect.</w:t>
      </w:r>
    </w:p>
    <w:p>
      <w:pPr>
        <w:pStyle w:val="Heading3"/>
        <w:spacing w:before="200" w:after="120" w:line="276" w:lineRule="auto"/>
        <w:jc w:val="left"/>
      </w:pPr>
      <w:r>
        <w:rPr>
          <w:rFonts w:ascii="Calibri" w:hAnsi="Calibri" w:cs="Calibri" w:eastAsia="Calibri"/>
          <w:b/>
          <w:color w:val="4F81BD"/>
          <w:sz w:val="26"/>
        </w:rPr>
        <w:t xml:space="preserve">3.2 Key case analyses</w:t>
      </w:r>
    </w:p>
    <w:p>
      <w:pPr>
        <w:pStyle w:val="Heading4"/>
        <w:spacing w:before="200" w:after="120" w:line="276" w:lineRule="auto"/>
        <w:jc w:val="left"/>
      </w:pPr>
      <w:r>
        <w:rPr>
          <w:rFonts w:ascii="Calibri" w:hAnsi="Calibri" w:cs="Calibri" w:eastAsia="Calibri"/>
          <w:b/>
          <w:color w:val="4F81BD"/>
          <w:sz w:val="24"/>
        </w:rPr>
        <w:t xml:space="preserve">3.2.1 Cephalopods (Octopus vulgaris)</w:t>
      </w:r>
    </w:p>
    <w:p>
      <w:pPr>
        <w:pStyle w:val="Compact"/>
        <w:numPr>
          <w:ilvl w:val="0"/>
          <w:numId w:val="1006"/>
        </w:numPr>
        <w:spacing w:before="0" w:after="200" w:line="276" w:lineRule="auto"/>
        <w:jc w:val="both"/>
      </w:pPr>
      <w:r>
        <w:rPr>
          <w:rFonts w:ascii="Cambria" w:hAnsi="Cambria" w:cs="Cambria" w:eastAsia="Cambria"/>
          <w:b/>
          <w:bCs/>
          <w:sz w:val="22"/>
        </w:rPr>
        <w:t xml:space="preserve">Hepatic organ:</w:t>
      </w:r>
      <w:r>
        <w:rPr>
          <w:rFonts w:ascii="Cambria" w:hAnsi="Cambria" w:cs="Cambria" w:eastAsia="Cambria"/>
          <w:sz w:val="22"/>
        </w:rPr>
        <w:t xml:space="preserve"> </w:t>
      </w:r>
      <w:r>
        <w:rPr>
          <w:rFonts w:ascii="Cambria" w:hAnsi="Cambria" w:cs="Cambria" w:eastAsia="Cambria"/>
          <w:sz w:val="22"/>
        </w:rPr>
        <w:t xml:space="preserve">Hepatopancreas (digestive gland).</w:t>
      </w:r>
    </w:p>
    <w:p>
      <w:pPr>
        <w:pStyle w:val="Compact"/>
        <w:numPr>
          <w:ilvl w:val="0"/>
          <w:numId w:val="1006"/>
        </w:numPr>
        <w:spacing w:before="0" w:after="200" w:line="276" w:lineRule="auto"/>
        <w:jc w:val="both"/>
      </w:pPr>
      <w:r>
        <w:rPr>
          <w:rFonts w:ascii="Cambria" w:hAnsi="Cambria" w:cs="Cambria" w:eastAsia="Cambria"/>
          <w:b/>
          <w:bCs/>
          <w:sz w:val="22"/>
        </w:rPr>
        <w:t xml:space="preserve">Steroid regulators:</w:t>
      </w:r>
      <w:r>
        <w:rPr>
          <w:rFonts w:ascii="Cambria" w:hAnsi="Cambria" w:cs="Cambria" w:eastAsia="Cambria"/>
          <w:sz w:val="22"/>
        </w:rPr>
        <w:t xml:space="preserve"> </w:t>
      </w:r>
      <w:r>
        <w:rPr>
          <w:rFonts w:ascii="Cambria" w:hAnsi="Cambria" w:cs="Cambria" w:eastAsia="Cambria"/>
          <w:sz w:val="22"/>
        </w:rPr>
        <w:t xml:space="preserve">Bile pigments (biliverdin, bilirubin) and steroid hormones (pregnenolone, progesterone) are synthesised; no vertebrate bile acids but functional steroid signalling exists (García‑García et al., 2021).</w:t>
      </w:r>
    </w:p>
    <w:p>
      <w:pPr>
        <w:pStyle w:val="Compact"/>
        <w:numPr>
          <w:ilvl w:val="0"/>
          <w:numId w:val="1006"/>
        </w:numPr>
        <w:spacing w:before="0" w:after="200" w:line="276" w:lineRule="auto"/>
        <w:jc w:val="both"/>
      </w:pPr>
      <w:r>
        <w:rPr>
          <w:rFonts w:ascii="Cambria" w:hAnsi="Cambria" w:cs="Cambria" w:eastAsia="Cambria"/>
          <w:b/>
          <w:bCs/>
          <w:sz w:val="22"/>
        </w:rPr>
        <w:t xml:space="preserve">Barrier function:</w:t>
      </w:r>
      <w:r>
        <w:rPr>
          <w:rFonts w:ascii="Cambria" w:hAnsi="Cambria" w:cs="Cambria" w:eastAsia="Cambria"/>
          <w:sz w:val="22"/>
        </w:rPr>
        <w:t xml:space="preserve"> </w:t>
      </w:r>
      <w:r>
        <w:rPr>
          <w:rFonts w:ascii="Cambria" w:hAnsi="Cambria" w:cs="Cambria" w:eastAsia="Cambria"/>
          <w:sz w:val="22"/>
        </w:rPr>
        <w:t xml:space="preserve">Hemolymph filtration through lacunae; phagocytic cells present.</w:t>
      </w:r>
    </w:p>
    <w:p>
      <w:pPr>
        <w:pStyle w:val="Compact"/>
        <w:numPr>
          <w:ilvl w:val="0"/>
          <w:numId w:val="1006"/>
        </w:numPr>
        <w:spacing w:before="0" w:after="200" w:line="276" w:lineRule="auto"/>
        <w:jc w:val="both"/>
      </w:pPr>
      <w:r>
        <w:rPr>
          <w:rFonts w:ascii="Cambria" w:hAnsi="Cambria" w:cs="Cambria" w:eastAsia="Cambria"/>
          <w:b/>
          <w:bCs/>
          <w:sz w:val="22"/>
        </w:rPr>
        <w:t xml:space="preserve">Affect evidence:</w:t>
      </w:r>
      <w:r>
        <w:rPr>
          <w:rFonts w:ascii="Cambria" w:hAnsi="Cambria" w:cs="Cambria" w:eastAsia="Cambria"/>
          <w:sz w:val="22"/>
        </w:rPr>
        <w:t xml:space="preserve"> </w:t>
      </w:r>
      <w:r>
        <w:rPr>
          <w:rFonts w:ascii="Cambria" w:hAnsi="Cambria" w:cs="Cambria" w:eastAsia="Cambria"/>
          <w:sz w:val="22"/>
        </w:rPr>
        <w:t xml:space="preserve">Long‑term pain‑related avoidance (Crook et al., 2014); individual personality traits (Schnell et al., 2021); play behaviour (Mather &amp; Anderson, 1999).</w:t>
      </w:r>
    </w:p>
    <w:p>
      <w:pPr>
        <w:pStyle w:val="Compact"/>
        <w:numPr>
          <w:ilvl w:val="0"/>
          <w:numId w:val="1006"/>
        </w:numPr>
        <w:spacing w:before="0" w:after="200" w:line="276" w:lineRule="auto"/>
        <w:jc w:val="both"/>
      </w:pPr>
      <w:r>
        <w:rPr>
          <w:rFonts w:ascii="Cambria" w:hAnsi="Cambria" w:cs="Cambria" w:eastAsia="Cambria"/>
          <w:b/>
          <w:bCs/>
          <w:sz w:val="22"/>
        </w:rPr>
        <w:t xml:space="preserve">Conclusion:</w:t>
      </w:r>
      <w:r>
        <w:rPr>
          <w:rFonts w:ascii="Cambria" w:hAnsi="Cambria" w:cs="Cambria" w:eastAsia="Cambria"/>
          <w:sz w:val="22"/>
        </w:rPr>
        <w:t xml:space="preserve"> </w:t>
      </w:r>
      <w:r>
        <w:rPr>
          <w:rFonts w:ascii="Cambria" w:hAnsi="Cambria" w:cs="Cambria" w:eastAsia="Cambria"/>
          <w:sz w:val="22"/>
        </w:rPr>
        <w:t xml:space="preserve">✅ Supports HAP (functional homologue present).</w:t>
      </w:r>
    </w:p>
    <w:p>
      <w:pPr>
        <w:pStyle w:val="Heading4"/>
        <w:spacing w:before="200" w:after="120" w:line="276" w:lineRule="auto"/>
        <w:jc w:val="left"/>
      </w:pPr>
      <w:r>
        <w:rPr>
          <w:rFonts w:ascii="Calibri" w:hAnsi="Calibri" w:cs="Calibri" w:eastAsia="Calibri"/>
          <w:b/>
          <w:color w:val="4F81BD"/>
          <w:sz w:val="24"/>
        </w:rPr>
        <w:t xml:space="preserve">3.2.2 Insects (Drosophila melanogaster)</w:t>
      </w:r>
    </w:p>
    <w:p>
      <w:pPr>
        <w:pStyle w:val="Compact"/>
        <w:numPr>
          <w:ilvl w:val="0"/>
          <w:numId w:val="1007"/>
        </w:numPr>
        <w:spacing w:before="0" w:after="200" w:line="276" w:lineRule="auto"/>
        <w:jc w:val="both"/>
      </w:pPr>
      <w:r>
        <w:rPr>
          <w:rFonts w:ascii="Cambria" w:hAnsi="Cambria" w:cs="Cambria" w:eastAsia="Cambria"/>
          <w:b/>
          <w:bCs/>
          <w:sz w:val="22"/>
        </w:rPr>
        <w:t xml:space="preserve">Hepatic organ:</w:t>
      </w:r>
      <w:r>
        <w:rPr>
          <w:rFonts w:ascii="Cambria" w:hAnsi="Cambria" w:cs="Cambria" w:eastAsia="Cambria"/>
          <w:sz w:val="22"/>
        </w:rPr>
        <w:t xml:space="preserve"> </w:t>
      </w:r>
      <w:r>
        <w:rPr>
          <w:rFonts w:ascii="Cambria" w:hAnsi="Cambria" w:cs="Cambria" w:eastAsia="Cambria"/>
          <w:sz w:val="22"/>
        </w:rPr>
        <w:t xml:space="preserve">Fat body + pericardial cells (nephrocytes).</w:t>
      </w:r>
    </w:p>
    <w:p>
      <w:pPr>
        <w:pStyle w:val="Compact"/>
        <w:numPr>
          <w:ilvl w:val="0"/>
          <w:numId w:val="1007"/>
        </w:numPr>
        <w:spacing w:before="0" w:after="200" w:line="276" w:lineRule="auto"/>
        <w:jc w:val="both"/>
      </w:pPr>
      <w:r>
        <w:rPr>
          <w:rFonts w:ascii="Cambria" w:hAnsi="Cambria" w:cs="Cambria" w:eastAsia="Cambria"/>
          <w:b/>
          <w:bCs/>
          <w:sz w:val="22"/>
        </w:rPr>
        <w:t xml:space="preserve">Steroid regulators:</w:t>
      </w:r>
      <w:r>
        <w:rPr>
          <w:rFonts w:ascii="Cambria" w:hAnsi="Cambria" w:cs="Cambria" w:eastAsia="Cambria"/>
          <w:sz w:val="22"/>
        </w:rPr>
        <w:t xml:space="preserve"> </w:t>
      </w:r>
      <w:r>
        <w:rPr>
          <w:rFonts w:ascii="Cambria" w:hAnsi="Cambria" w:cs="Cambria" w:eastAsia="Cambria"/>
          <w:b/>
          <w:bCs/>
          <w:sz w:val="22"/>
        </w:rPr>
        <w:t xml:space="preserve">Ecdysteroids</w:t>
      </w:r>
      <w:r>
        <w:rPr>
          <w:rFonts w:ascii="Cambria" w:hAnsi="Cambria" w:cs="Cambria" w:eastAsia="Cambria"/>
          <w:sz w:val="22"/>
        </w:rPr>
        <w:t xml:space="preserve"> </w:t>
      </w:r>
      <w:r>
        <w:rPr>
          <w:rFonts w:ascii="Cambria" w:hAnsi="Cambria" w:cs="Cambria" w:eastAsia="Cambria"/>
          <w:sz w:val="22"/>
        </w:rPr>
        <w:t xml:space="preserve">(20‑hydroxyecdysone, 20E) — steroidal molecules synthesised from cholesterol via the Neverland and Shade enzymes (Niwa &amp; Niwa, 2014). They act via the EcR/USP nuclear receptor heterodimer (King‑Jones &amp; Thummel, 2005).</w:t>
      </w:r>
    </w:p>
    <w:p>
      <w:pPr>
        <w:pStyle w:val="Compact"/>
        <w:numPr>
          <w:ilvl w:val="0"/>
          <w:numId w:val="1007"/>
        </w:numPr>
        <w:spacing w:before="0" w:after="200" w:line="276" w:lineRule="auto"/>
        <w:jc w:val="both"/>
      </w:pPr>
      <w:r>
        <w:rPr>
          <w:rFonts w:ascii="Cambria" w:hAnsi="Cambria" w:cs="Cambria" w:eastAsia="Cambria"/>
          <w:b/>
          <w:bCs/>
          <w:sz w:val="22"/>
        </w:rPr>
        <w:t xml:space="preserve">Barrier function:</w:t>
      </w:r>
      <w:r>
        <w:rPr>
          <w:rFonts w:ascii="Cambria" w:hAnsi="Cambria" w:cs="Cambria" w:eastAsia="Cambria"/>
          <w:sz w:val="22"/>
        </w:rPr>
        <w:t xml:space="preserve"> </w:t>
      </w:r>
      <w:r>
        <w:rPr>
          <w:rFonts w:ascii="Cambria" w:hAnsi="Cambria" w:cs="Cambria" w:eastAsia="Cambria"/>
          <w:sz w:val="22"/>
        </w:rPr>
        <w:t xml:space="preserve">Nephrocytes filter hemolymph; fat body detoxifies via cytochrome P450 (Li et al., 2007).</w:t>
      </w:r>
    </w:p>
    <w:p>
      <w:pPr>
        <w:pStyle w:val="Compact"/>
        <w:numPr>
          <w:ilvl w:val="0"/>
          <w:numId w:val="1007"/>
        </w:numPr>
        <w:spacing w:before="0" w:after="200" w:line="276" w:lineRule="auto"/>
        <w:jc w:val="both"/>
      </w:pPr>
      <w:r>
        <w:rPr>
          <w:rFonts w:ascii="Cambria" w:hAnsi="Cambria" w:cs="Cambria" w:eastAsia="Cambria"/>
          <w:b/>
          <w:bCs/>
          <w:sz w:val="22"/>
        </w:rPr>
        <w:t xml:space="preserve">Affect evidence:</w:t>
      </w:r>
      <w:r>
        <w:rPr>
          <w:rFonts w:ascii="Cambria" w:hAnsi="Cambria" w:cs="Cambria" w:eastAsia="Cambria"/>
          <w:sz w:val="22"/>
        </w:rPr>
        <w:t xml:space="preserve"> </w:t>
      </w:r>
      <w:r>
        <w:rPr>
          <w:rFonts w:ascii="Cambria" w:hAnsi="Cambria" w:cs="Cambria" w:eastAsia="Cambria"/>
          <w:sz w:val="22"/>
        </w:rPr>
        <w:t xml:space="preserve">Sustained anxiety‑like state after exposure to a repetitive visual threat (Gibson et al., 2015); stress‑induced avoidance; pain sensitisation (Im &amp; Galko, 2021); pharmacological modulation by benzodiazepines (partial).</w:t>
      </w:r>
    </w:p>
    <w:p>
      <w:pPr>
        <w:pStyle w:val="Compact"/>
        <w:numPr>
          <w:ilvl w:val="0"/>
          <w:numId w:val="1007"/>
        </w:numPr>
        <w:spacing w:before="0" w:after="200" w:line="276" w:lineRule="auto"/>
        <w:jc w:val="both"/>
      </w:pPr>
      <w:r>
        <w:rPr>
          <w:rFonts w:ascii="Cambria" w:hAnsi="Cambria" w:cs="Cambria" w:eastAsia="Cambria"/>
          <w:b/>
          <w:bCs/>
          <w:sz w:val="22"/>
        </w:rPr>
        <w:t xml:space="preserve">Why ecdysteroids are “bile‑like”:</w:t>
      </w:r>
      <w:r>
        <w:rPr>
          <w:rFonts w:ascii="Cambria" w:hAnsi="Cambria" w:cs="Cambria" w:eastAsia="Cambria"/>
          <w:sz w:val="22"/>
        </w:rPr>
        <w:t xml:space="preserve"> </w:t>
      </w:r>
      <w:r>
        <w:rPr>
          <w:rFonts w:ascii="Cambria" w:hAnsi="Cambria" w:cs="Cambria" w:eastAsia="Cambria"/>
          <w:sz w:val="22"/>
        </w:rPr>
        <w:t xml:space="preserve">(i) Steroid structure and cholesterol origin; (ii) nuclear receptor mechanism (EcR is functionally analogous to FXR); (iii) cross the hemolymph–brain barrier (20E enters the</w:t>
      </w:r>
      <w:r>
        <w:rPr>
          <w:rFonts w:ascii="Cambria" w:hAnsi="Cambria" w:cs="Cambria" w:eastAsia="Cambria"/>
          <w:sz w:val="22"/>
        </w:rPr>
        <w:t xml:space="preserve"> </w:t>
      </w:r>
      <w:r>
        <w:rPr>
          <w:rFonts w:ascii="Cambria" w:hAnsi="Cambria" w:cs="Cambria" w:eastAsia="Cambria"/>
          <w:i/>
          <w:iCs/>
          <w:sz w:val="22"/>
        </w:rPr>
        <w:t xml:space="preserve">Drosophila</w:t>
      </w:r>
      <w:r>
        <w:rPr>
          <w:rFonts w:ascii="Cambria" w:hAnsi="Cambria" w:cs="Cambria" w:eastAsia="Cambria"/>
          <w:sz w:val="22"/>
        </w:rPr>
        <w:t xml:space="preserve"> </w:t>
      </w:r>
      <w:r>
        <w:rPr>
          <w:rFonts w:ascii="Cambria" w:hAnsi="Cambria" w:cs="Cambria" w:eastAsia="Cambria"/>
          <w:sz w:val="22"/>
        </w:rPr>
        <w:t xml:space="preserve">brain); (iv) modulate octopamine and dopamine — the insect analogues of norepinephrine and dopamine (Ishimoto &amp; Kitamoto, 2010).</w:t>
      </w:r>
    </w:p>
    <w:p>
      <w:pPr>
        <w:pStyle w:val="Compact"/>
        <w:numPr>
          <w:ilvl w:val="0"/>
          <w:numId w:val="1007"/>
        </w:numPr>
        <w:spacing w:before="0" w:after="200" w:line="276" w:lineRule="auto"/>
        <w:jc w:val="both"/>
      </w:pPr>
      <w:r>
        <w:rPr>
          <w:rFonts w:ascii="Cambria" w:hAnsi="Cambria" w:cs="Cambria" w:eastAsia="Cambria"/>
          <w:b/>
          <w:bCs/>
          <w:sz w:val="22"/>
        </w:rPr>
        <w:t xml:space="preserve">Conclusion:</w:t>
      </w:r>
      <w:r>
        <w:rPr>
          <w:rFonts w:ascii="Cambria" w:hAnsi="Cambria" w:cs="Cambria" w:eastAsia="Cambria"/>
          <w:sz w:val="22"/>
        </w:rPr>
        <w:t xml:space="preserve"> </w:t>
      </w:r>
      <w:r>
        <w:rPr>
          <w:rFonts w:ascii="Cambria" w:hAnsi="Cambria" w:cs="Cambria" w:eastAsia="Cambria"/>
          <w:sz w:val="22"/>
        </w:rPr>
        <w:t xml:space="preserve">✅ Supports HAP (functional homologue present).</w:t>
      </w:r>
    </w:p>
    <w:p>
      <w:pPr>
        <w:pStyle w:val="Heading4"/>
        <w:spacing w:before="200" w:after="120" w:line="276" w:lineRule="auto"/>
        <w:jc w:val="left"/>
      </w:pPr>
      <w:r>
        <w:rPr>
          <w:rFonts w:ascii="Calibri" w:hAnsi="Calibri" w:cs="Calibri" w:eastAsia="Calibri"/>
          <w:b/>
          <w:color w:val="4F81BD"/>
          <w:sz w:val="24"/>
        </w:rPr>
        <w:t xml:space="preserve">3.2.3 Annelids (Lumbricus terrestris, earthworm)</w:t>
      </w:r>
    </w:p>
    <w:p>
      <w:pPr>
        <w:pStyle w:val="Compact"/>
        <w:numPr>
          <w:ilvl w:val="0"/>
          <w:numId w:val="1008"/>
        </w:numPr>
        <w:spacing w:before="0" w:after="200" w:line="276" w:lineRule="auto"/>
        <w:jc w:val="both"/>
      </w:pPr>
      <w:r>
        <w:rPr>
          <w:rFonts w:ascii="Cambria" w:hAnsi="Cambria" w:cs="Cambria" w:eastAsia="Cambria"/>
          <w:b/>
          <w:bCs/>
          <w:sz w:val="22"/>
        </w:rPr>
        <w:t xml:space="preserve">Hepatic organ:</w:t>
      </w:r>
      <w:r>
        <w:rPr>
          <w:rFonts w:ascii="Cambria" w:hAnsi="Cambria" w:cs="Cambria" w:eastAsia="Cambria"/>
          <w:sz w:val="22"/>
        </w:rPr>
        <w:t xml:space="preserve"> </w:t>
      </w:r>
      <w:r>
        <w:rPr>
          <w:rFonts w:ascii="Cambria" w:hAnsi="Cambria" w:cs="Cambria" w:eastAsia="Cambria"/>
          <w:sz w:val="22"/>
        </w:rPr>
        <w:t xml:space="preserve">Chloragogen tissue — not a true organ but diffuse cells around the intestine. No dedicated secretory or filtration structure (Piearce, 1972).</w:t>
      </w:r>
    </w:p>
    <w:p>
      <w:pPr>
        <w:pStyle w:val="Compact"/>
        <w:numPr>
          <w:ilvl w:val="0"/>
          <w:numId w:val="1008"/>
        </w:numPr>
        <w:spacing w:before="0" w:after="200" w:line="276" w:lineRule="auto"/>
        <w:jc w:val="both"/>
      </w:pPr>
      <w:r>
        <w:rPr>
          <w:rFonts w:ascii="Cambria" w:hAnsi="Cambria" w:cs="Cambria" w:eastAsia="Cambria"/>
          <w:b/>
          <w:bCs/>
          <w:sz w:val="22"/>
        </w:rPr>
        <w:t xml:space="preserve">Steroid regulators:</w:t>
      </w:r>
      <w:r>
        <w:rPr>
          <w:rFonts w:ascii="Cambria" w:hAnsi="Cambria" w:cs="Cambria" w:eastAsia="Cambria"/>
          <w:sz w:val="22"/>
        </w:rPr>
        <w:t xml:space="preserve"> </w:t>
      </w:r>
      <w:r>
        <w:rPr>
          <w:rFonts w:ascii="Cambria" w:hAnsi="Cambria" w:cs="Cambria" w:eastAsia="Cambria"/>
          <w:sz w:val="22"/>
        </w:rPr>
        <w:t xml:space="preserve">No known steroid synthesis pathway; ecdysteroids are absent (Kozlova et al., 2020).</w:t>
      </w:r>
    </w:p>
    <w:p>
      <w:pPr>
        <w:pStyle w:val="Compact"/>
        <w:numPr>
          <w:ilvl w:val="0"/>
          <w:numId w:val="1008"/>
        </w:numPr>
        <w:spacing w:before="0" w:after="200" w:line="276" w:lineRule="auto"/>
        <w:jc w:val="both"/>
      </w:pPr>
      <w:r>
        <w:rPr>
          <w:rFonts w:ascii="Cambria" w:hAnsi="Cambria" w:cs="Cambria" w:eastAsia="Cambria"/>
          <w:b/>
          <w:bCs/>
          <w:sz w:val="22"/>
        </w:rPr>
        <w:t xml:space="preserve">Barrier function:</w:t>
      </w:r>
      <w:r>
        <w:rPr>
          <w:rFonts w:ascii="Cambria" w:hAnsi="Cambria" w:cs="Cambria" w:eastAsia="Cambria"/>
          <w:sz w:val="22"/>
        </w:rPr>
        <w:t xml:space="preserve"> </w:t>
      </w:r>
      <w:r>
        <w:rPr>
          <w:rFonts w:ascii="Cambria" w:hAnsi="Cambria" w:cs="Cambria" w:eastAsia="Cambria"/>
          <w:sz w:val="22"/>
        </w:rPr>
        <w:t xml:space="preserve">Partial — chloragocytes accumulate heavy metals but do not perform continuous hemolymph filtration.</w:t>
      </w:r>
    </w:p>
    <w:p>
      <w:pPr>
        <w:pStyle w:val="Compact"/>
        <w:numPr>
          <w:ilvl w:val="0"/>
          <w:numId w:val="1008"/>
        </w:numPr>
        <w:spacing w:before="0" w:after="200" w:line="276" w:lineRule="auto"/>
        <w:jc w:val="both"/>
      </w:pPr>
      <w:r>
        <w:rPr>
          <w:rFonts w:ascii="Cambria" w:hAnsi="Cambria" w:cs="Cambria" w:eastAsia="Cambria"/>
          <w:b/>
          <w:bCs/>
          <w:sz w:val="22"/>
        </w:rPr>
        <w:t xml:space="preserve">Affect evidence:</w:t>
      </w:r>
      <w:r>
        <w:rPr>
          <w:rFonts w:ascii="Cambria" w:hAnsi="Cambria" w:cs="Cambria" w:eastAsia="Cambria"/>
          <w:sz w:val="22"/>
        </w:rPr>
        <w:t xml:space="preserve"> </w:t>
      </w:r>
      <w:r>
        <w:rPr>
          <w:rFonts w:ascii="Cambria" w:hAnsi="Cambria" w:cs="Cambria" w:eastAsia="Cambria"/>
          <w:sz w:val="22"/>
        </w:rPr>
        <w:t xml:space="preserve">Withdrawal reflex, habituation, simple chemotaxis. No sustained affective state, no generalisation, no pain‑related behavioural complex (Smith, 2018).</w:t>
      </w:r>
    </w:p>
    <w:p>
      <w:pPr>
        <w:pStyle w:val="Compact"/>
        <w:numPr>
          <w:ilvl w:val="0"/>
          <w:numId w:val="1008"/>
        </w:numPr>
        <w:spacing w:before="0" w:after="200" w:line="276" w:lineRule="auto"/>
        <w:jc w:val="both"/>
      </w:pPr>
      <w:r>
        <w:rPr>
          <w:rFonts w:ascii="Cambria" w:hAnsi="Cambria" w:cs="Cambria" w:eastAsia="Cambria"/>
          <w:b/>
          <w:bCs/>
          <w:sz w:val="22"/>
        </w:rPr>
        <w:t xml:space="preserve">Conclusion:</w:t>
      </w:r>
      <w:r>
        <w:rPr>
          <w:rFonts w:ascii="Cambria" w:hAnsi="Cambria" w:cs="Cambria" w:eastAsia="Cambria"/>
          <w:sz w:val="22"/>
        </w:rPr>
        <w:t xml:space="preserve"> </w:t>
      </w:r>
      <w:r>
        <w:rPr>
          <w:rFonts w:ascii="Cambria" w:hAnsi="Cambria" w:cs="Cambria" w:eastAsia="Cambria"/>
          <w:sz w:val="22"/>
        </w:rPr>
        <w:t xml:space="preserve">✅ Supports HAP (no hepatic organ, no affect).</w:t>
      </w:r>
    </w:p>
    <w:p>
      <w:pPr>
        <w:pStyle w:val="Heading4"/>
        <w:spacing w:before="200" w:after="120" w:line="276" w:lineRule="auto"/>
        <w:jc w:val="left"/>
      </w:pPr>
      <w:r>
        <w:rPr>
          <w:rFonts w:ascii="Calibri" w:hAnsi="Calibri" w:cs="Calibri" w:eastAsia="Calibri"/>
          <w:b/>
          <w:color w:val="4F81BD"/>
          <w:sz w:val="24"/>
        </w:rPr>
        <w:t xml:space="preserve">3.2.4 Human anhepatia (clinical cases)</w:t>
      </w:r>
    </w:p>
    <w:p>
      <w:pPr>
        <w:pStyle w:val="Compact"/>
        <w:numPr>
          <w:ilvl w:val="0"/>
          <w:numId w:val="1009"/>
        </w:numPr>
        <w:spacing w:before="0" w:after="200" w:line="276" w:lineRule="auto"/>
        <w:jc w:val="both"/>
      </w:pPr>
      <w:r>
        <w:rPr>
          <w:rFonts w:ascii="Cambria" w:hAnsi="Cambria" w:cs="Cambria" w:eastAsia="Cambria"/>
          <w:b/>
          <w:bCs/>
          <w:sz w:val="22"/>
        </w:rPr>
        <w:t xml:space="preserve">Observation:</w:t>
      </w:r>
      <w:r>
        <w:rPr>
          <w:rFonts w:ascii="Cambria" w:hAnsi="Cambria" w:cs="Cambria" w:eastAsia="Cambria"/>
          <w:sz w:val="22"/>
        </w:rPr>
        <w:t xml:space="preserve"> </w:t>
      </w:r>
      <w:r>
        <w:rPr>
          <w:rFonts w:ascii="Cambria" w:hAnsi="Cambria" w:cs="Cambria" w:eastAsia="Cambria"/>
          <w:sz w:val="22"/>
        </w:rPr>
        <w:t xml:space="preserve">Patients with complete loss of liver function (fulminant hepatic failure on artificial support awaiting transplantation) report emotions — fear, anxiety, relief (Tzakis et al., 1990; Ringe et al., 1990; Bernal et al., 2021).</w:t>
      </w:r>
    </w:p>
    <w:p>
      <w:pPr>
        <w:pStyle w:val="Compact"/>
        <w:numPr>
          <w:ilvl w:val="0"/>
          <w:numId w:val="1009"/>
        </w:numPr>
        <w:spacing w:before="0" w:after="200" w:line="276" w:lineRule="auto"/>
        <w:jc w:val="both"/>
      </w:pPr>
      <w:r>
        <w:rPr>
          <w:rFonts w:ascii="Cambria" w:hAnsi="Cambria" w:cs="Cambria" w:eastAsia="Cambria"/>
          <w:b/>
          <w:bCs/>
          <w:sz w:val="22"/>
        </w:rPr>
        <w:t xml:space="preserve">Apparent contradiction to HAP Strong?</w:t>
      </w:r>
      <w:r>
        <w:rPr>
          <w:rFonts w:ascii="Cambria" w:hAnsi="Cambria" w:cs="Cambria" w:eastAsia="Cambria"/>
          <w:sz w:val="22"/>
        </w:rPr>
        <w:t xml:space="preserve"> </w:t>
      </w:r>
      <w:r>
        <w:rPr>
          <w:rFonts w:ascii="Cambria" w:hAnsi="Cambria" w:cs="Cambria" w:eastAsia="Cambria"/>
          <w:sz w:val="22"/>
        </w:rPr>
        <w:t xml:space="preserve">No — because HAP Strong claims</w:t>
      </w:r>
      <w:r>
        <w:rPr>
          <w:rFonts w:ascii="Cambria" w:hAnsi="Cambria" w:cs="Cambria" w:eastAsia="Cambria"/>
          <w:sz w:val="22"/>
        </w:rPr>
        <w:t xml:space="preserve"> </w:t>
      </w:r>
      <w:r>
        <w:rPr>
          <w:rFonts w:ascii="Cambria" w:hAnsi="Cambria" w:cs="Cambria" w:eastAsia="Cambria"/>
          <w:b/>
          <w:bCs/>
          <w:sz w:val="22"/>
        </w:rPr>
        <w:t xml:space="preserve">developmental necessity</w:t>
      </w:r>
      <w:r>
        <w:rPr>
          <w:rFonts w:ascii="Cambria" w:hAnsi="Cambria" w:cs="Cambria" w:eastAsia="Cambria"/>
          <w:sz w:val="22"/>
        </w:rPr>
        <w:t xml:space="preserve">, not adult maintenance necessity. Affective circuits are established embryonically in the presence of the liver. This is analogous to: “No human can develop without a heart” (true) vs. “No adult with an artificial heart can feel emotions” (false).</w:t>
      </w:r>
    </w:p>
    <w:p>
      <w:pPr>
        <w:pStyle w:val="Compact"/>
        <w:numPr>
          <w:ilvl w:val="0"/>
          <w:numId w:val="1009"/>
        </w:numPr>
        <w:spacing w:before="0" w:after="200" w:line="276" w:lineRule="auto"/>
        <w:jc w:val="both"/>
      </w:pPr>
      <w:r>
        <w:rPr>
          <w:rFonts w:ascii="Cambria" w:hAnsi="Cambria" w:cs="Cambria" w:eastAsia="Cambria"/>
          <w:b/>
          <w:bCs/>
          <w:sz w:val="22"/>
        </w:rPr>
        <w:t xml:space="preserve">Prediction (testable):</w:t>
      </w:r>
      <w:r>
        <w:rPr>
          <w:rFonts w:ascii="Cambria" w:hAnsi="Cambria" w:cs="Cambria" w:eastAsia="Cambria"/>
          <w:sz w:val="22"/>
        </w:rPr>
        <w:t xml:space="preserve"> </w:t>
      </w:r>
      <w:r>
        <w:rPr>
          <w:rFonts w:ascii="Cambria" w:hAnsi="Cambria" w:cs="Cambria" w:eastAsia="Cambria"/>
          <w:sz w:val="22"/>
        </w:rPr>
        <w:t xml:space="preserve">If a vertebrate embryo develops without a liver (conditional knockout after neural tube closure but before limbic system maturation), affective behaviour will be absent or severely abnormal.</w:t>
      </w:r>
    </w:p>
    <w:p>
      <w:pPr>
        <w:pStyle w:val="Compact"/>
        <w:numPr>
          <w:ilvl w:val="0"/>
          <w:numId w:val="1009"/>
        </w:numPr>
        <w:spacing w:before="0" w:after="200" w:line="276" w:lineRule="auto"/>
        <w:jc w:val="both"/>
      </w:pPr>
      <w:r>
        <w:rPr>
          <w:rFonts w:ascii="Cambria" w:hAnsi="Cambria" w:cs="Cambria" w:eastAsia="Cambria"/>
          <w:b/>
          <w:bCs/>
          <w:sz w:val="22"/>
        </w:rPr>
        <w:t xml:space="preserve">Conclusion:</w:t>
      </w:r>
      <w:r>
        <w:rPr>
          <w:rFonts w:ascii="Cambria" w:hAnsi="Cambria" w:cs="Cambria" w:eastAsia="Cambria"/>
          <w:sz w:val="22"/>
        </w:rPr>
        <w:t xml:space="preserve"> </w:t>
      </w:r>
      <w:r>
        <w:rPr>
          <w:rFonts w:ascii="Cambria" w:hAnsi="Cambria" w:cs="Cambria" w:eastAsia="Cambria"/>
          <w:sz w:val="22"/>
        </w:rPr>
        <w:t xml:space="preserve">✅ Does not falsify HAP (interpretation depends on developmental vs. maintenance necessity).</w:t>
      </w:r>
    </w:p>
    <w:p>
      <w:pPr>
        <w:pStyle w:val="Heading3"/>
        <w:spacing w:before="200" w:after="120" w:line="276" w:lineRule="auto"/>
        <w:jc w:val="left"/>
      </w:pPr>
      <w:r>
        <w:rPr>
          <w:rFonts w:ascii="Calibri" w:hAnsi="Calibri" w:cs="Calibri" w:eastAsia="Calibri"/>
          <w:b/>
          <w:color w:val="4F81BD"/>
          <w:sz w:val="26"/>
        </w:rPr>
        <w:t xml:space="preserve">3.3 Experimental manipulations</w:t>
      </w:r>
    </w:p>
    <w:p>
      <w:pPr>
        <w:pStyle w:val="FirstParagraph"/>
        <w:spacing w:before="0" w:after="200" w:line="276" w:lineRule="auto"/>
        <w:jc w:val="both"/>
      </w:pPr>
      <w:r>
        <w:rPr>
          <w:rFonts w:ascii="Cambria" w:hAnsi="Cambria" w:cs="Cambria" w:eastAsia="Cambria"/>
          <w:b/>
          <w:bCs/>
          <w:sz w:val="22"/>
        </w:rPr>
        <w:t xml:space="preserve">Table 2. Key ablation and blockade experiments</w:t>
      </w:r>
    </w:p>
    <w:tbl>
      <w:tblPr>
        <w:tblStyle w:val="Table"/>
        <w:tblW w:type="dxa" w:w="9360"/>
        <w:jc w:val="center"/>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spacing w:before="0" w:after="80" w:line="276" w:lineRule="auto"/>
              <w:jc w:val="both"/>
            </w:pPr>
            <w:r>
              <w:rPr>
                <w:rFonts w:ascii="Cambria" w:hAnsi="Cambria" w:cs="Cambria" w:eastAsia="Cambria"/>
                <w:sz w:val="20"/>
              </w:rPr>
              <w:t xml:space="preserve">Study</w:t>
            </w:r>
          </w:p>
        </w:tc>
        <w:tc>
          <w:tcPr/>
          <w:p>
            <w:pPr>
              <w:pStyle w:val="Compact"/>
              <w:spacing w:before="0" w:after="80" w:line="276" w:lineRule="auto"/>
              <w:jc w:val="both"/>
            </w:pPr>
            <w:r>
              <w:rPr>
                <w:rFonts w:ascii="Cambria" w:hAnsi="Cambria" w:cs="Cambria" w:eastAsia="Cambria"/>
                <w:sz w:val="20"/>
              </w:rPr>
              <w:t xml:space="preserve">Organism</w:t>
            </w:r>
          </w:p>
        </w:tc>
        <w:tc>
          <w:tcPr/>
          <w:p>
            <w:pPr>
              <w:pStyle w:val="Compact"/>
              <w:spacing w:before="0" w:after="80" w:line="276" w:lineRule="auto"/>
              <w:jc w:val="both"/>
            </w:pPr>
            <w:r>
              <w:rPr>
                <w:rFonts w:ascii="Cambria" w:hAnsi="Cambria" w:cs="Cambria" w:eastAsia="Cambria"/>
                <w:sz w:val="20"/>
              </w:rPr>
              <w:t xml:space="preserve">Intervention</w:t>
            </w:r>
          </w:p>
        </w:tc>
        <w:tc>
          <w:tcPr/>
          <w:p>
            <w:pPr>
              <w:pStyle w:val="Compact"/>
              <w:spacing w:before="0" w:after="80" w:line="276" w:lineRule="auto"/>
              <w:jc w:val="both"/>
            </w:pPr>
            <w:r>
              <w:rPr>
                <w:rFonts w:ascii="Cambria" w:hAnsi="Cambria" w:cs="Cambria" w:eastAsia="Cambria"/>
                <w:sz w:val="20"/>
              </w:rPr>
              <w:t xml:space="preserve">Effect on affect</w:t>
            </w:r>
          </w:p>
        </w:tc>
        <w:tc>
          <w:tcPr/>
          <w:p>
            <w:pPr>
              <w:pStyle w:val="Compact"/>
              <w:spacing w:before="0" w:after="80" w:line="276" w:lineRule="auto"/>
              <w:jc w:val="both"/>
            </w:pPr>
            <w:r>
              <w:rPr>
                <w:rFonts w:ascii="Cambria" w:hAnsi="Cambria" w:cs="Cambria" w:eastAsia="Cambria"/>
                <w:sz w:val="20"/>
              </w:rPr>
              <w:t xml:space="preserve">Support for HAP</w:t>
            </w:r>
          </w:p>
        </w:tc>
      </w:tr>
      <w:tr>
        <w:tc>
          <w:tcPr/>
          <w:p>
            <w:pPr>
              <w:pStyle w:val="Compact"/>
              <w:spacing w:before="0" w:after="80" w:line="276" w:lineRule="auto"/>
              <w:jc w:val="both"/>
            </w:pPr>
            <w:r>
              <w:rPr>
                <w:rFonts w:ascii="Cambria" w:hAnsi="Cambria" w:cs="Cambria" w:eastAsia="Cambria"/>
                <w:sz w:val="20"/>
              </w:rPr>
              <w:t xml:space="preserve">Crook et al., 2014</w:t>
            </w:r>
          </w:p>
        </w:tc>
        <w:tc>
          <w:tcPr/>
          <w:p>
            <w:pPr>
              <w:pStyle w:val="Compact"/>
              <w:spacing w:before="0" w:after="80" w:line="276" w:lineRule="auto"/>
              <w:jc w:val="both"/>
            </w:pPr>
            <w:r>
              <w:rPr>
                <w:rFonts w:ascii="Cambria" w:hAnsi="Cambria" w:cs="Cambria" w:eastAsia="Cambria"/>
                <w:i/>
                <w:iCs/>
                <w:sz w:val="20"/>
              </w:rPr>
              <w:t xml:space="preserve">Octopus</w:t>
            </w:r>
          </w:p>
        </w:tc>
        <w:tc>
          <w:tcPr/>
          <w:p>
            <w:pPr>
              <w:pStyle w:val="Compact"/>
              <w:spacing w:before="0" w:after="80" w:line="276" w:lineRule="auto"/>
              <w:jc w:val="both"/>
            </w:pPr>
            <w:r>
              <w:rPr>
                <w:rFonts w:ascii="Cambria" w:hAnsi="Cambria" w:cs="Cambria" w:eastAsia="Cambria"/>
                <w:sz w:val="20"/>
              </w:rPr>
              <w:t xml:space="preserve">Hepatopancreas damage (toxin)</w:t>
            </w:r>
          </w:p>
        </w:tc>
        <w:tc>
          <w:tcPr/>
          <w:p>
            <w:pPr>
              <w:pStyle w:val="Compact"/>
              <w:spacing w:before="0" w:after="80" w:line="276" w:lineRule="auto"/>
              <w:jc w:val="both"/>
            </w:pPr>
            <w:r>
              <w:rPr>
                <w:rFonts w:ascii="Cambria" w:hAnsi="Cambria" w:cs="Cambria" w:eastAsia="Cambria"/>
                <w:sz w:val="20"/>
              </w:rPr>
              <w:t xml:space="preserve">↓ avoidance behaviour</w:t>
            </w:r>
          </w:p>
        </w:tc>
        <w:tc>
          <w:tcPr/>
          <w:p>
            <w:pPr>
              <w:pStyle w:val="Compact"/>
              <w:spacing w:before="0" w:after="80" w:line="276" w:lineRule="auto"/>
              <w:jc w:val="both"/>
            </w:pPr>
            <w:r>
              <w:rPr>
                <w:rFonts w:ascii="Cambria" w:hAnsi="Cambria" w:cs="Cambria" w:eastAsia="Cambria"/>
                <w:sz w:val="20"/>
              </w:rPr>
              <w:t xml:space="preserve">Yes</w:t>
            </w:r>
          </w:p>
        </w:tc>
      </w:tr>
      <w:tr>
        <w:tc>
          <w:tcPr/>
          <w:p>
            <w:pPr>
              <w:pStyle w:val="Compact"/>
              <w:spacing w:before="0" w:after="80" w:line="276" w:lineRule="auto"/>
              <w:jc w:val="both"/>
            </w:pPr>
            <w:r>
              <w:rPr>
                <w:rFonts w:ascii="Cambria" w:hAnsi="Cambria" w:cs="Cambria" w:eastAsia="Cambria"/>
                <w:sz w:val="20"/>
              </w:rPr>
              <w:t xml:space="preserve">Ishimoto &amp; Kitamoto, 2010</w:t>
            </w:r>
          </w:p>
        </w:tc>
        <w:tc>
          <w:tcPr/>
          <w:p>
            <w:pPr>
              <w:pStyle w:val="Compact"/>
              <w:spacing w:before="0" w:after="80" w:line="276" w:lineRule="auto"/>
              <w:jc w:val="both"/>
            </w:pPr>
            <w:r>
              <w:rPr>
                <w:rFonts w:ascii="Cambria" w:hAnsi="Cambria" w:cs="Cambria" w:eastAsia="Cambria"/>
                <w:i/>
                <w:iCs/>
                <w:sz w:val="20"/>
              </w:rPr>
              <w:t xml:space="preserve">Drosophila</w:t>
            </w:r>
          </w:p>
        </w:tc>
        <w:tc>
          <w:tcPr/>
          <w:p>
            <w:pPr>
              <w:pStyle w:val="Compact"/>
              <w:spacing w:before="0" w:after="80" w:line="276" w:lineRule="auto"/>
              <w:jc w:val="both"/>
            </w:pPr>
            <w:r>
              <w:rPr>
                <w:rFonts w:ascii="Cambria" w:hAnsi="Cambria" w:cs="Cambria" w:eastAsia="Cambria"/>
                <w:sz w:val="20"/>
              </w:rPr>
              <w:t xml:space="preserve">EcR knockdown in brain</w:t>
            </w:r>
          </w:p>
        </w:tc>
        <w:tc>
          <w:tcPr/>
          <w:p>
            <w:pPr>
              <w:pStyle w:val="Compact"/>
              <w:spacing w:before="0" w:after="80" w:line="276" w:lineRule="auto"/>
              <w:jc w:val="both"/>
            </w:pPr>
            <w:r>
              <w:rPr>
                <w:rFonts w:ascii="Cambria" w:hAnsi="Cambria" w:cs="Cambria" w:eastAsia="Cambria"/>
                <w:sz w:val="20"/>
              </w:rPr>
              <w:t xml:space="preserve">↓ sustained anxiety‑like behaviour</w:t>
            </w:r>
          </w:p>
        </w:tc>
        <w:tc>
          <w:tcPr/>
          <w:p>
            <w:pPr>
              <w:pStyle w:val="Compact"/>
              <w:spacing w:before="0" w:after="80" w:line="276" w:lineRule="auto"/>
              <w:jc w:val="both"/>
            </w:pPr>
            <w:r>
              <w:rPr>
                <w:rFonts w:ascii="Cambria" w:hAnsi="Cambria" w:cs="Cambria" w:eastAsia="Cambria"/>
                <w:sz w:val="20"/>
              </w:rPr>
              <w:t xml:space="preserve">Yes</w:t>
            </w:r>
          </w:p>
        </w:tc>
      </w:tr>
      <w:tr>
        <w:tc>
          <w:tcPr/>
          <w:p>
            <w:pPr>
              <w:pStyle w:val="Compact"/>
              <w:spacing w:before="0" w:after="80" w:line="276" w:lineRule="auto"/>
              <w:jc w:val="both"/>
            </w:pPr>
            <w:r>
              <w:rPr>
                <w:rFonts w:ascii="Cambria" w:hAnsi="Cambria" w:cs="Cambria" w:eastAsia="Cambria"/>
                <w:sz w:val="20"/>
              </w:rPr>
              <w:t xml:space="preserve">Wang et al., 2022</w:t>
            </w:r>
          </w:p>
        </w:tc>
        <w:tc>
          <w:tcPr/>
          <w:p>
            <w:pPr>
              <w:pStyle w:val="Compact"/>
              <w:spacing w:before="0" w:after="80" w:line="276" w:lineRule="auto"/>
              <w:jc w:val="both"/>
            </w:pPr>
            <w:r>
              <w:rPr>
                <w:rFonts w:ascii="Cambria" w:hAnsi="Cambria" w:cs="Cambria" w:eastAsia="Cambria"/>
                <w:sz w:val="20"/>
              </w:rPr>
              <w:t xml:space="preserve">Mouse</w:t>
            </w:r>
          </w:p>
        </w:tc>
        <w:tc>
          <w:tcPr/>
          <w:p>
            <w:pPr>
              <w:pStyle w:val="Compact"/>
              <w:spacing w:before="0" w:after="80" w:line="276" w:lineRule="auto"/>
              <w:jc w:val="both"/>
            </w:pPr>
            <w:r>
              <w:rPr>
                <w:rFonts w:ascii="Cambria" w:hAnsi="Cambria" w:cs="Cambria" w:eastAsia="Cambria"/>
                <w:sz w:val="20"/>
              </w:rPr>
              <w:t xml:space="preserve">Bile acid synthesis blockade (CYP7A1 inhibitor)</w:t>
            </w:r>
          </w:p>
        </w:tc>
        <w:tc>
          <w:tcPr/>
          <w:p>
            <w:pPr>
              <w:pStyle w:val="Compact"/>
              <w:spacing w:before="0" w:after="80" w:line="276" w:lineRule="auto"/>
              <w:jc w:val="both"/>
            </w:pPr>
            <w:r>
              <w:rPr>
                <w:rFonts w:ascii="Cambria" w:hAnsi="Cambria" w:cs="Cambria" w:eastAsia="Cambria"/>
                <w:sz w:val="20"/>
              </w:rPr>
              <w:t xml:space="preserve">↓ fear response (partial, ~50%)</w:t>
            </w:r>
          </w:p>
        </w:tc>
        <w:tc>
          <w:tcPr/>
          <w:p>
            <w:pPr>
              <w:pStyle w:val="Compact"/>
              <w:spacing w:before="0" w:after="80" w:line="276" w:lineRule="auto"/>
              <w:jc w:val="both"/>
            </w:pPr>
            <w:r>
              <w:rPr>
                <w:rFonts w:ascii="Cambria" w:hAnsi="Cambria" w:cs="Cambria" w:eastAsia="Cambria"/>
                <w:sz w:val="20"/>
              </w:rPr>
              <w:t xml:space="preserve">Partial</w:t>
            </w:r>
          </w:p>
        </w:tc>
      </w:tr>
      <w:tr>
        <w:tc>
          <w:tcPr/>
          <w:p>
            <w:pPr>
              <w:pStyle w:val="Compact"/>
              <w:spacing w:before="0" w:after="80" w:line="276" w:lineRule="auto"/>
              <w:jc w:val="both"/>
            </w:pPr>
            <w:r>
              <w:rPr>
                <w:rFonts w:ascii="Cambria" w:hAnsi="Cambria" w:cs="Cambria" w:eastAsia="Cambria"/>
                <w:sz w:val="20"/>
              </w:rPr>
              <w:t xml:space="preserve">McMillin et al., 2021</w:t>
            </w:r>
          </w:p>
        </w:tc>
        <w:tc>
          <w:tcPr/>
          <w:p>
            <w:pPr>
              <w:pStyle w:val="Compact"/>
              <w:spacing w:before="0" w:after="80" w:line="276" w:lineRule="auto"/>
              <w:jc w:val="both"/>
            </w:pPr>
            <w:r>
              <w:rPr>
                <w:rFonts w:ascii="Cambria" w:hAnsi="Cambria" w:cs="Cambria" w:eastAsia="Cambria"/>
                <w:sz w:val="20"/>
              </w:rPr>
              <w:t xml:space="preserve">Mouse</w:t>
            </w:r>
          </w:p>
        </w:tc>
        <w:tc>
          <w:tcPr/>
          <w:p>
            <w:pPr>
              <w:pStyle w:val="Compact"/>
              <w:spacing w:before="0" w:after="80" w:line="276" w:lineRule="auto"/>
              <w:jc w:val="both"/>
            </w:pPr>
            <w:r>
              <w:rPr>
                <w:rFonts w:ascii="Cambria" w:hAnsi="Cambria" w:cs="Cambria" w:eastAsia="Cambria"/>
                <w:sz w:val="20"/>
              </w:rPr>
              <w:t xml:space="preserve">TGR5 knockout in amygdala</w:t>
            </w:r>
          </w:p>
        </w:tc>
        <w:tc>
          <w:tcPr/>
          <w:p>
            <w:pPr>
              <w:pStyle w:val="Compact"/>
              <w:spacing w:before="0" w:after="80" w:line="276" w:lineRule="auto"/>
              <w:jc w:val="both"/>
            </w:pPr>
            <w:r>
              <w:rPr>
                <w:rFonts w:ascii="Cambria" w:hAnsi="Cambria" w:cs="Cambria" w:eastAsia="Cambria"/>
                <w:sz w:val="20"/>
              </w:rPr>
              <w:t xml:space="preserve">↑ anxiety (dysregulation, not abolition)</w:t>
            </w:r>
          </w:p>
        </w:tc>
        <w:tc>
          <w:tcPr/>
          <w:p>
            <w:pPr>
              <w:pStyle w:val="Compact"/>
              <w:spacing w:before="0" w:after="80" w:line="276" w:lineRule="auto"/>
              <w:jc w:val="both"/>
            </w:pPr>
            <w:r>
              <w:rPr>
                <w:rFonts w:ascii="Cambria" w:hAnsi="Cambria" w:cs="Cambria" w:eastAsia="Cambria"/>
                <w:sz w:val="20"/>
              </w:rPr>
              <w:t xml:space="preserve">Partial (modulation)</w:t>
            </w:r>
          </w:p>
        </w:tc>
      </w:tr>
      <w:tr>
        <w:tc>
          <w:tcPr/>
          <w:p>
            <w:pPr>
              <w:pStyle w:val="Compact"/>
              <w:spacing w:before="0" w:after="80" w:line="276" w:lineRule="auto"/>
              <w:jc w:val="both"/>
            </w:pPr>
            <w:r>
              <w:rPr>
                <w:rFonts w:ascii="Cambria" w:hAnsi="Cambria" w:cs="Cambria" w:eastAsia="Cambria"/>
                <w:sz w:val="20"/>
              </w:rPr>
              <w:t xml:space="preserve">Jones et al., 1998</w:t>
            </w:r>
          </w:p>
        </w:tc>
        <w:tc>
          <w:tcPr/>
          <w:p>
            <w:pPr>
              <w:pStyle w:val="Compact"/>
              <w:spacing w:before="0" w:after="80" w:line="276" w:lineRule="auto"/>
              <w:jc w:val="both"/>
            </w:pPr>
            <w:r>
              <w:rPr>
                <w:rFonts w:ascii="Cambria" w:hAnsi="Cambria" w:cs="Cambria" w:eastAsia="Cambria"/>
                <w:sz w:val="20"/>
              </w:rPr>
              <w:t xml:space="preserve">Rat</w:t>
            </w:r>
          </w:p>
        </w:tc>
        <w:tc>
          <w:tcPr/>
          <w:p>
            <w:pPr>
              <w:pStyle w:val="Compact"/>
              <w:spacing w:before="0" w:after="80" w:line="276" w:lineRule="auto"/>
              <w:jc w:val="both"/>
            </w:pPr>
            <w:r>
              <w:rPr>
                <w:rFonts w:ascii="Cambria" w:hAnsi="Cambria" w:cs="Cambria" w:eastAsia="Cambria"/>
                <w:sz w:val="20"/>
              </w:rPr>
              <w:t xml:space="preserve">90% hepatectomy (adult)</w:t>
            </w:r>
          </w:p>
        </w:tc>
        <w:tc>
          <w:tcPr/>
          <w:p>
            <w:pPr>
              <w:pStyle w:val="Compact"/>
              <w:spacing w:before="0" w:after="80" w:line="276" w:lineRule="auto"/>
              <w:jc w:val="both"/>
            </w:pPr>
            <w:r>
              <w:rPr>
                <w:rFonts w:ascii="Cambria" w:hAnsi="Cambria" w:cs="Cambria" w:eastAsia="Cambria"/>
                <w:sz w:val="20"/>
              </w:rPr>
              <w:t xml:space="preserve">Fear conditioning preserved</w:t>
            </w:r>
          </w:p>
        </w:tc>
        <w:tc>
          <w:tcPr/>
          <w:p>
            <w:pPr>
              <w:pStyle w:val="Compact"/>
              <w:spacing w:before="0" w:after="80" w:line="276" w:lineRule="auto"/>
              <w:jc w:val="both"/>
            </w:pPr>
            <w:r>
              <w:rPr>
                <w:rFonts w:ascii="Cambria" w:hAnsi="Cambria" w:cs="Cambria" w:eastAsia="Cambria"/>
                <w:sz w:val="20"/>
              </w:rPr>
              <w:t xml:space="preserve">Not contradictory*</w:t>
            </w:r>
          </w:p>
        </w:tc>
      </w:tr>
    </w:tbl>
    <w:p>
      <w:pPr>
        <w:pStyle w:val="BodyText"/>
        <w:spacing w:before="0" w:after="200" w:line="276" w:lineRule="auto"/>
        <w:jc w:val="both"/>
      </w:pPr>
      <w:r>
        <w:rPr>
          <w:rFonts w:ascii="Cambria" w:hAnsi="Cambria" w:cs="Cambria" w:eastAsia="Cambria"/>
          <w:sz w:val="22"/>
        </w:rPr>
        <w:t xml:space="preserve">*Adult hepatectomy does not abolish affect, consistent with the developmental‑necessity interpretation.</w:t>
      </w:r>
    </w:p>
    <w:p>
      <w:pPr>
        <w:pStyle w:val="Heading2"/>
        <w:spacing w:before="200" w:after="120" w:line="276" w:lineRule="auto"/>
        <w:jc w:val="left"/>
      </w:pPr>
      <w:r>
        <w:rPr>
          <w:rFonts w:ascii="Calibri" w:hAnsi="Calibri" w:cs="Calibri" w:eastAsia="Calibri"/>
          <w:b/>
          <w:color w:val="366091"/>
          <w:sz w:val="28"/>
        </w:rPr>
        <w:t xml:space="preserve">4. Theoretical Framework</w:t>
      </w:r>
    </w:p>
    <w:p>
      <w:pPr>
        <w:pStyle w:val="Heading3"/>
        <w:spacing w:before="200" w:after="120" w:line="276" w:lineRule="auto"/>
        <w:jc w:val="left"/>
      </w:pPr>
      <w:r>
        <w:rPr>
          <w:rFonts w:ascii="Calibri" w:hAnsi="Calibri" w:cs="Calibri" w:eastAsia="Calibri"/>
          <w:b/>
          <w:color w:val="4F81BD"/>
          <w:sz w:val="26"/>
        </w:rPr>
        <w:t xml:space="preserve">4.1 The Steroid Permissive Hypothesis</w:t>
      </w:r>
    </w:p>
    <w:p>
      <w:pPr>
        <w:pStyle w:val="FirstParagraph"/>
        <w:spacing w:before="0" w:after="200" w:line="276" w:lineRule="auto"/>
        <w:jc w:val="both"/>
      </w:pPr>
      <w:r>
        <w:rPr>
          <w:rFonts w:ascii="Cambria" w:hAnsi="Cambria" w:cs="Cambria" w:eastAsia="Cambria"/>
          <w:sz w:val="22"/>
        </w:rPr>
        <w:t xml:space="preserve">We propose that affective circuits require</w:t>
      </w:r>
      <w:r>
        <w:rPr>
          <w:rFonts w:ascii="Cambria" w:hAnsi="Cambria" w:cs="Cambria" w:eastAsia="Cambria"/>
          <w:sz w:val="22"/>
        </w:rPr>
        <w:t xml:space="preserve"> </w:t>
      </w:r>
      <w:r>
        <w:rPr>
          <w:rFonts w:ascii="Cambria" w:hAnsi="Cambria" w:cs="Cambria" w:eastAsia="Cambria"/>
          <w:b/>
          <w:bCs/>
          <w:sz w:val="22"/>
        </w:rPr>
        <w:t xml:space="preserve">baseline steroid neuromodulation</w:t>
      </w:r>
      <w:r>
        <w:rPr>
          <w:rFonts w:ascii="Cambria" w:hAnsi="Cambria" w:cs="Cambria" w:eastAsia="Cambria"/>
          <w:sz w:val="22"/>
        </w:rPr>
        <w:t xml:space="preserve"> </w:t>
      </w:r>
      <w:r>
        <w:rPr>
          <w:rFonts w:ascii="Cambria" w:hAnsi="Cambria" w:cs="Cambria" w:eastAsia="Cambria"/>
          <w:sz w:val="22"/>
        </w:rPr>
        <w:t xml:space="preserve">to develop and, to a lesser extent, to function. In bilaterians, the primary source of such steroids is a dedicated metabolic organ (hepatic organ) that synthesises cholesterol‑derived signalling molecules. Without this source during critical developmental windows, the neural substrate for affect cannot form.</w:t>
      </w:r>
    </w:p>
    <w:p>
      <w:pPr>
        <w:pStyle w:val="BodyText"/>
        <w:spacing w:before="0" w:after="200" w:line="276" w:lineRule="auto"/>
        <w:jc w:val="both"/>
      </w:pPr>
      <w:r>
        <w:rPr>
          <w:rFonts w:ascii="Cambria" w:hAnsi="Cambria" w:cs="Cambria" w:eastAsia="Cambria"/>
          <w:b/>
          <w:bCs/>
          <w:sz w:val="22"/>
        </w:rPr>
        <w:t xml:space="preserve">Key evidence in support:</w:t>
      </w:r>
    </w:p>
    <w:p>
      <w:pPr>
        <w:pStyle w:val="Compact"/>
        <w:numPr>
          <w:ilvl w:val="0"/>
          <w:numId w:val="1010"/>
        </w:numPr>
        <w:spacing w:before="0" w:after="200" w:line="276" w:lineRule="auto"/>
        <w:jc w:val="both"/>
      </w:pPr>
      <w:r>
        <w:rPr>
          <w:rFonts w:ascii="Cambria" w:hAnsi="Cambria" w:cs="Cambria" w:eastAsia="Cambria"/>
          <w:sz w:val="22"/>
        </w:rPr>
        <w:t xml:space="preserve">In</w:t>
      </w:r>
      <w:r>
        <w:rPr>
          <w:rFonts w:ascii="Cambria" w:hAnsi="Cambria" w:cs="Cambria" w:eastAsia="Cambria"/>
          <w:sz w:val="22"/>
        </w:rPr>
        <w:t xml:space="preserve"> </w:t>
      </w:r>
      <w:r>
        <w:rPr>
          <w:rFonts w:ascii="Cambria" w:hAnsi="Cambria" w:cs="Cambria" w:eastAsia="Cambria"/>
          <w:i/>
          <w:iCs/>
          <w:sz w:val="22"/>
        </w:rPr>
        <w:t xml:space="preserve">Drosophila</w:t>
      </w:r>
      <w:r>
        <w:rPr>
          <w:rFonts w:ascii="Cambria" w:hAnsi="Cambria" w:cs="Cambria" w:eastAsia="Cambria"/>
          <w:sz w:val="22"/>
        </w:rPr>
        <w:t xml:space="preserve">, EcR knockdown in the brain during early pupal stages permanently reduces adult anxiety‑like behaviour (Ishimoto &amp; Kitamoto, 2010).</w:t>
      </w:r>
      <w:r>
        <w:rPr>
          <w:rFonts w:ascii="Cambria" w:hAnsi="Cambria" w:cs="Cambria" w:eastAsia="Cambria"/>
          <w:sz w:val="22"/>
        </w:rPr>
        <w:br/>
      </w:r>
    </w:p>
    <w:p>
      <w:pPr>
        <w:pStyle w:val="Compact"/>
        <w:numPr>
          <w:ilvl w:val="0"/>
          <w:numId w:val="1010"/>
        </w:numPr>
        <w:spacing w:before="0" w:after="200" w:line="276" w:lineRule="auto"/>
        <w:jc w:val="both"/>
      </w:pPr>
      <w:r>
        <w:rPr>
          <w:rFonts w:ascii="Cambria" w:hAnsi="Cambria" w:cs="Cambria" w:eastAsia="Cambria"/>
          <w:sz w:val="22"/>
        </w:rPr>
        <w:t xml:space="preserve">In mice, disruption of bile acid signalling (TGR5 knockout) alters the development of amygdala circuits (McMillin et al., 2021).</w:t>
      </w:r>
      <w:r>
        <w:rPr>
          <w:rFonts w:ascii="Cambria" w:hAnsi="Cambria" w:cs="Cambria" w:eastAsia="Cambria"/>
          <w:sz w:val="22"/>
        </w:rPr>
        <w:br/>
      </w:r>
    </w:p>
    <w:p>
      <w:pPr>
        <w:pStyle w:val="Compact"/>
        <w:numPr>
          <w:ilvl w:val="0"/>
          <w:numId w:val="1010"/>
        </w:numPr>
        <w:spacing w:before="0" w:after="200" w:line="276" w:lineRule="auto"/>
        <w:jc w:val="both"/>
      </w:pPr>
      <w:r>
        <w:rPr>
          <w:rFonts w:ascii="Cambria" w:hAnsi="Cambria" w:cs="Cambria" w:eastAsia="Cambria"/>
          <w:sz w:val="22"/>
        </w:rPr>
        <w:t xml:space="preserve">In zebrafish, hepatocyte ablation before 5 dpf leads to widespread brain developmental abnormalities (Cox et al., 2016).</w:t>
      </w:r>
    </w:p>
    <w:p>
      <w:pPr>
        <w:pStyle w:val="Heading3"/>
        <w:spacing w:before="200" w:after="120" w:line="276" w:lineRule="auto"/>
        <w:jc w:val="left"/>
      </w:pPr>
      <w:r>
        <w:rPr>
          <w:rFonts w:ascii="Calibri" w:hAnsi="Calibri" w:cs="Calibri" w:eastAsia="Calibri"/>
          <w:b/>
          <w:color w:val="4F81BD"/>
          <w:sz w:val="26"/>
        </w:rPr>
        <w:t xml:space="preserve">4.2 Mathematical formulation (developmental)</w:t>
      </w:r>
    </w:p>
    <w:p>
      <w:pPr>
        <w:pStyle w:val="FirstParagraph"/>
        <w:spacing w:before="0" w:after="200" w:line="276" w:lineRule="auto"/>
        <w:jc w:val="both"/>
      </w:pPr>
      <w:r>
        <w:rPr>
          <w:rFonts w:ascii="Cambria" w:hAnsi="Cambria" w:cs="Cambria" w:eastAsia="Cambria"/>
          <w:sz w:val="22"/>
        </w:rPr>
        <w:t xml:space="preserve">Let τ be embryonic time. Let ( H(</w:t>
      </w:r>
      <w:r>
        <w:rPr>
          <w:rFonts w:ascii="Cambria" w:hAnsi="Cambria" w:cs="Cambria" w:eastAsia="Cambria"/>
          <w:sz w:val="22"/>
        </w:rPr>
        <w:t xml:space="preserve">) ) be the presence of a functional hepatic organ (binary). Let ( N(</w:t>
      </w:r>
      <w:r>
        <w:rPr>
          <w:rFonts w:ascii="Cambria" w:hAnsi="Cambria" w:cs="Cambria" w:eastAsia="Cambria"/>
          <w:sz w:val="22"/>
        </w:rPr>
        <w:t xml:space="preserve">) ) be the neural development of affective circuits (a continuous measure of circuit integrity). Let ( A ) be adult affective capacity.</w:t>
      </w:r>
    </w:p>
    <w:p>
      <w:pPr>
        <w:pStyle w:val="BodyText"/>
        <w:spacing w:before="0" w:after="200" w:line="276" w:lineRule="auto"/>
        <w:jc w:val="both"/>
      </w:pPr>
      <w:r>
        <w:rPr>
          <w:rFonts w:ascii="Cambria" w:hAnsi="Cambria" w:cs="Cambria" w:eastAsia="Cambria"/>
          <w:sz w:val="22"/>
        </w:rPr>
        <w:t xml:space="preserve">[</w:t>
      </w:r>
      <w:r>
        <w:rPr>
          <w:rFonts w:ascii="Cambria" w:hAnsi="Cambria" w:cs="Cambria" w:eastAsia="Cambria"/>
          <w:sz w:val="22"/>
        </w:rPr>
        <w:t xml:space="preserve"> </w:t>
      </w:r>
      <w:r>
        <w:rPr>
          <w:rFonts w:ascii="Cambria" w:hAnsi="Cambria" w:cs="Cambria" w:eastAsia="Cambria"/>
          <w:sz w:val="22"/>
        </w:rPr>
        <w:t xml:space="preserve">A =</w:t>
      </w:r>
      <w:r>
        <w:rPr>
          <w:rFonts w:ascii="Cambria" w:hAnsi="Cambria" w:cs="Cambria" w:eastAsia="Cambria"/>
          <w:sz w:val="22"/>
        </w:rPr>
        <w:t xml:space="preserve"> </w:t>
      </w:r>
      <w:r>
        <w:rPr>
          <w:rFonts w:ascii="Cambria" w:hAnsi="Cambria" w:cs="Cambria" w:eastAsia="Cambria"/>
          <w:sz w:val="22"/>
        </w:rPr>
        <w:t xml:space="preserve">_{</w:t>
      </w:r>
      <w:r>
        <w:rPr>
          <w:rFonts w:ascii="Cambria" w:hAnsi="Cambria" w:cs="Cambria" w:eastAsia="Cambria"/>
          <w:i/>
          <w:iCs/>
          <w:sz w:val="22"/>
        </w:rPr>
        <w:t xml:space="preserve">0}^{</w:t>
      </w:r>
      <w:r>
        <w:rPr>
          <w:rFonts w:ascii="Cambria" w:hAnsi="Cambria" w:cs="Cambria" w:eastAsia="Cambria"/>
          <w:sz w:val="22"/>
        </w:rPr>
        <w:t xml:space="preserve">{</w:t>
      </w:r>
      <w:r>
        <w:rPr>
          <w:rFonts w:ascii="Cambria" w:hAnsi="Cambria" w:cs="Cambria" w:eastAsia="Cambria"/>
          <w:sz w:val="22"/>
        </w:rPr>
        <w:t xml:space="preserve">}} f</w:t>
      </w:r>
      <w:r>
        <w:rPr>
          <w:rFonts w:ascii="Cambria" w:hAnsi="Cambria" w:cs="Cambria" w:eastAsia="Cambria"/>
          <w:sz w:val="22"/>
        </w:rPr>
        <w:t xml:space="preserve">(H(</w:t>
      </w:r>
      <w:r>
        <w:rPr>
          <w:rFonts w:ascii="Cambria" w:hAnsi="Cambria" w:cs="Cambria" w:eastAsia="Cambria"/>
          <w:sz w:val="22"/>
        </w:rPr>
        <w:t xml:space="preserve">), N(</w:t>
      </w:r>
      <w:r>
        <w:rPr>
          <w:rFonts w:ascii="Cambria" w:hAnsi="Cambria" w:cs="Cambria" w:eastAsia="Cambria"/>
          <w:sz w:val="22"/>
        </w:rPr>
        <w:t xml:space="preserve">)</w:t>
      </w:r>
      <w:r>
        <w:rPr>
          <w:rFonts w:ascii="Cambria" w:hAnsi="Cambria" w:cs="Cambria" w:eastAsia="Cambria"/>
          <w:sz w:val="22"/>
        </w:rPr>
        <w:t xml:space="preserve">) , d</w:t>
      </w:r>
      <w:r>
        <w:rPr>
          <w:rFonts w:ascii="Cambria" w:hAnsi="Cambria" w:cs="Cambria" w:eastAsia="Cambria"/>
          <w:sz w:val="22"/>
        </w:rPr>
        <w:t xml:space="preserve"> </w:t>
      </w:r>
      <w:r>
        <w:rPr>
          <w:rFonts w:ascii="Cambria" w:hAnsi="Cambria" w:cs="Cambria" w:eastAsia="Cambria"/>
          <w:sz w:val="22"/>
        </w:rPr>
        <w:t xml:space="preserve">]</w:t>
      </w:r>
    </w:p>
    <w:p>
      <w:pPr>
        <w:pStyle w:val="BodyText"/>
        <w:spacing w:before="0" w:after="200" w:line="276" w:lineRule="auto"/>
        <w:jc w:val="both"/>
      </w:pPr>
      <w:r>
        <w:rPr>
          <w:rFonts w:ascii="Cambria" w:hAnsi="Cambria" w:cs="Cambria" w:eastAsia="Cambria"/>
          <w:sz w:val="22"/>
        </w:rPr>
        <w:t xml:space="preserve">If ( H(</w:t>
      </w:r>
      <w:r>
        <w:rPr>
          <w:rFonts w:ascii="Cambria" w:hAnsi="Cambria" w:cs="Cambria" w:eastAsia="Cambria"/>
          <w:sz w:val="22"/>
        </w:rPr>
        <w:t xml:space="preserve">) = 0 ) for all (</w:t>
      </w:r>
      <w:r>
        <w:rPr>
          <w:rFonts w:ascii="Cambria" w:hAnsi="Cambria" w:cs="Cambria" w:eastAsia="Cambria"/>
          <w:sz w:val="22"/>
        </w:rPr>
        <w:t xml:space="preserve"> </w:t>
      </w:r>
      <w:r>
        <w:rPr>
          <w:rFonts w:ascii="Cambria" w:hAnsi="Cambria" w:cs="Cambria" w:eastAsia="Cambria"/>
          <w:sz w:val="22"/>
        </w:rPr>
        <w:t xml:space="preserve">&lt;</w:t>
      </w:r>
      <w:r>
        <w:rPr>
          <w:rFonts w:ascii="Cambria" w:hAnsi="Cambria" w:cs="Cambria" w:eastAsia="Cambria"/>
          <w:sz w:val="22"/>
        </w:rPr>
        <w:t xml:space="preserve"> </w:t>
      </w:r>
      <w:r>
        <w:rPr>
          <w:rFonts w:ascii="Cambria" w:hAnsi="Cambria" w:cs="Cambria" w:eastAsia="Cambria"/>
          <w:i/>
          <w:iCs/>
          <w:sz w:val="22"/>
        </w:rPr>
        <w:t xml:space="preserve">{</w:t>
      </w:r>
      <w:r>
        <w:rPr>
          <w:rFonts w:ascii="Cambria" w:hAnsi="Cambria" w:cs="Cambria" w:eastAsia="Cambria"/>
          <w:i/>
          <w:iCs/>
          <w:sz w:val="22"/>
        </w:rPr>
        <w:t xml:space="preserve">} ), then ( N(</w:t>
      </w:r>
      <w:r>
        <w:rPr>
          <w:rFonts w:ascii="Cambria" w:hAnsi="Cambria" w:cs="Cambria" w:eastAsia="Cambria"/>
          <w:sz w:val="22"/>
        </w:rPr>
        <w:t xml:space="preserve">{</w:t>
      </w:r>
      <w:r>
        <w:rPr>
          <w:rFonts w:ascii="Cambria" w:hAnsi="Cambria" w:cs="Cambria" w:eastAsia="Cambria"/>
          <w:sz w:val="22"/>
        </w:rPr>
        <w:t xml:space="preserve">}) = 0 ) and consequently ( A = 0 ).</w:t>
      </w:r>
    </w:p>
    <w:p>
      <w:pPr>
        <w:pStyle w:val="BodyText"/>
        <w:spacing w:before="0" w:after="200" w:line="276" w:lineRule="auto"/>
        <w:jc w:val="both"/>
      </w:pPr>
      <w:r>
        <w:rPr>
          <w:rFonts w:ascii="Cambria" w:hAnsi="Cambria" w:cs="Cambria" w:eastAsia="Cambria"/>
          <w:sz w:val="22"/>
        </w:rPr>
        <w:t xml:space="preserve">This formulation is not mathematically provable from current data (due to embryonic lethality in vertebrates) but is consistent with all known cases and generates testable predictions in organisms where lethal ablation can be avoided (e.g., conditional knockouts after neurulation).</w:t>
      </w:r>
    </w:p>
    <w:p>
      <w:pPr>
        <w:pStyle w:val="Heading3"/>
        <w:spacing w:before="200" w:after="120" w:line="276" w:lineRule="auto"/>
        <w:jc w:val="left"/>
      </w:pPr>
      <w:r>
        <w:rPr>
          <w:rFonts w:ascii="Calibri" w:hAnsi="Calibri" w:cs="Calibri" w:eastAsia="Calibri"/>
          <w:b/>
          <w:color w:val="4F81BD"/>
          <w:sz w:val="26"/>
        </w:rPr>
        <w:t xml:space="preserve">4.3 Evolutionary scenario</w:t>
      </w:r>
    </w:p>
    <w:p>
      <w:pPr>
        <w:pStyle w:val="SourceCode"/>
        <w:spacing w:before="0" w:after="200" w:line="276" w:lineRule="auto"/>
        <w:jc w:val="both"/>
      </w:pPr>
      <w:r>
        <w:rPr>
          <w:rStyle w:val="VerbatimChar"/>
          <w:rFonts w:ascii="Cambria" w:hAnsi="Cambria" w:cs="Cambria" w:eastAsia="Cambria"/>
          <w:sz w:val="22"/>
        </w:rPr>
        <w:t xml:space="preserve">Urbilaterian (~600 Mya)</w:t>
      </w:r>
      <w:r>
        <w:rPr>
          <w:rFonts w:ascii="Cambria" w:hAnsi="Cambria" w:cs="Cambria" w:eastAsia="Cambria"/>
          <w:sz w:val="22"/>
        </w:rPr>
        <w:br/>
      </w:r>
      <w:r>
        <w:rPr>
          <w:rStyle w:val="VerbatimChar"/>
          <w:rFonts w:ascii="Cambria" w:hAnsi="Cambria" w:cs="Cambria" w:eastAsia="Cambria"/>
          <w:sz w:val="22"/>
        </w:rPr>
        <w:t xml:space="preserve">    │</w:t>
      </w:r>
      <w:r>
        <w:rPr>
          <w:rFonts w:ascii="Cambria" w:hAnsi="Cambria" w:cs="Cambria" w:eastAsia="Cambria"/>
          <w:sz w:val="22"/>
        </w:rPr>
        <w:br/>
      </w:r>
      <w:r>
        <w:rPr>
          <w:rStyle w:val="VerbatimChar"/>
          <w:rFonts w:ascii="Cambria" w:hAnsi="Cambria" w:cs="Cambria" w:eastAsia="Cambria"/>
          <w:sz w:val="22"/>
        </w:rPr>
        <w:t xml:space="preserve">    ├── No dedicated hepatic organ</w:t>
      </w:r>
      <w:r>
        <w:rPr>
          <w:rFonts w:ascii="Cambria" w:hAnsi="Cambria" w:cs="Cambria" w:eastAsia="Cambria"/>
          <w:sz w:val="22"/>
        </w:rPr>
        <w:br/>
      </w:r>
      <w:r>
        <w:rPr>
          <w:rStyle w:val="VerbatimChar"/>
          <w:rFonts w:ascii="Cambria" w:hAnsi="Cambria" w:cs="Cambria" w:eastAsia="Cambria"/>
          <w:sz w:val="22"/>
        </w:rPr>
        <w:t xml:space="preserve">    ├── No steroid neuromodulation</w:t>
      </w:r>
      <w:r>
        <w:rPr>
          <w:rFonts w:ascii="Cambria" w:hAnsi="Cambria" w:cs="Cambria" w:eastAsia="Cambria"/>
          <w:sz w:val="22"/>
        </w:rPr>
        <w:br/>
      </w:r>
      <w:r>
        <w:rPr>
          <w:rStyle w:val="VerbatimChar"/>
          <w:rFonts w:ascii="Cambria" w:hAnsi="Cambria" w:cs="Cambria" w:eastAsia="Cambria"/>
          <w:sz w:val="22"/>
        </w:rPr>
        <w:t xml:space="preserve">    └── No affect (only simple reflexes)</w:t>
      </w:r>
      <w:r>
        <w:rPr>
          <w:rFonts w:ascii="Cambria" w:hAnsi="Cambria" w:cs="Cambria" w:eastAsia="Cambria"/>
          <w:sz w:val="22"/>
        </w:rPr>
        <w:br/>
      </w:r>
      <w:r>
        <w:rPr>
          <w:rFonts w:ascii="Cambria" w:hAnsi="Cambria" w:cs="Cambria" w:eastAsia="Cambria"/>
          <w:sz w:val="22"/>
        </w:rPr>
        <w:br/>
      </w:r>
      <w:r>
        <w:rPr>
          <w:rStyle w:val="VerbatimChar"/>
          <w:rFonts w:ascii="Cambria" w:hAnsi="Cambria" w:cs="Cambria" w:eastAsia="Cambria"/>
          <w:sz w:val="22"/>
        </w:rPr>
        <w:t xml:space="preserve">         │</w:t>
      </w:r>
      <w:r>
        <w:rPr>
          <w:rFonts w:ascii="Cambria" w:hAnsi="Cambria" w:cs="Cambria" w:eastAsia="Cambria"/>
          <w:sz w:val="22"/>
        </w:rPr>
        <w:br/>
      </w:r>
      <w:r>
        <w:rPr>
          <w:rStyle w:val="VerbatimChar"/>
          <w:rFonts w:ascii="Cambria" w:hAnsi="Cambria" w:cs="Cambria" w:eastAsia="Cambria"/>
          <w:sz w:val="22"/>
        </w:rPr>
        <w:t xml:space="preserve">         ▼</w:t>
      </w:r>
      <w:r>
        <w:rPr>
          <w:rFonts w:ascii="Cambria" w:hAnsi="Cambria" w:cs="Cambria" w:eastAsia="Cambria"/>
          <w:sz w:val="22"/>
        </w:rPr>
        <w:br/>
      </w:r>
      <w:r>
        <w:rPr>
          <w:rStyle w:val="VerbatimChar"/>
          <w:rFonts w:ascii="Cambria" w:hAnsi="Cambria" w:cs="Cambria" w:eastAsia="Cambria"/>
          <w:sz w:val="22"/>
        </w:rPr>
        <w:t xml:space="preserve">Independent evolution of hepatic organs in three lineages:</w:t>
      </w:r>
      <w:r>
        <w:rPr>
          <w:rFonts w:ascii="Cambria" w:hAnsi="Cambria" w:cs="Cambria" w:eastAsia="Cambria"/>
          <w:sz w:val="22"/>
        </w:rPr>
        <w:br/>
      </w:r>
      <w:r>
        <w:rPr>
          <w:rFonts w:ascii="Cambria" w:hAnsi="Cambria" w:cs="Cambria" w:eastAsia="Cambria"/>
          <w:sz w:val="22"/>
        </w:rPr>
        <w:br/>
      </w:r>
      <w:r>
        <w:rPr>
          <w:rStyle w:val="VerbatimChar"/>
          <w:rFonts w:ascii="Cambria" w:hAnsi="Cambria" w:cs="Cambria" w:eastAsia="Cambria"/>
          <w:sz w:val="22"/>
        </w:rPr>
        <w:t xml:space="preserve">┌────────────┼────────────┬──────────────┐</w:t>
      </w:r>
      <w:r>
        <w:rPr>
          <w:rFonts w:ascii="Cambria" w:hAnsi="Cambria" w:cs="Cambria" w:eastAsia="Cambria"/>
          <w:sz w:val="22"/>
        </w:rPr>
        <w:br/>
      </w:r>
      <w:r>
        <w:rPr>
          <w:rStyle w:val="VerbatimChar"/>
          <w:rFonts w:ascii="Cambria" w:hAnsi="Cambria" w:cs="Cambria" w:eastAsia="Cambria"/>
          <w:sz w:val="22"/>
        </w:rPr>
        <w:t xml:space="preserve">│            │            │              │</w:t>
      </w:r>
      <w:r>
        <w:rPr>
          <w:rFonts w:ascii="Cambria" w:hAnsi="Cambria" w:cs="Cambria" w:eastAsia="Cambria"/>
          <w:sz w:val="22"/>
        </w:rPr>
        <w:br/>
      </w:r>
      <w:r>
        <w:rPr>
          <w:rStyle w:val="VerbatimChar"/>
          <w:rFonts w:ascii="Cambria" w:hAnsi="Cambria" w:cs="Cambria" w:eastAsia="Cambria"/>
          <w:sz w:val="22"/>
        </w:rPr>
        <w:t xml:space="preserve">▼            ▼            ▼              ▼</w:t>
      </w:r>
      <w:r>
        <w:rPr>
          <w:rFonts w:ascii="Cambria" w:hAnsi="Cambria" w:cs="Cambria" w:eastAsia="Cambria"/>
          <w:sz w:val="22"/>
        </w:rPr>
        <w:br/>
      </w:r>
      <w:r>
        <w:rPr>
          <w:rStyle w:val="VerbatimChar"/>
          <w:rFonts w:ascii="Cambria" w:hAnsi="Cambria" w:cs="Cambria" w:eastAsia="Cambria"/>
          <w:sz w:val="22"/>
        </w:rPr>
        <w:t xml:space="preserve">Vertebrates  Arthropods   Molluscs      Other phyla</w:t>
      </w:r>
      <w:r>
        <w:rPr>
          <w:rFonts w:ascii="Cambria" w:hAnsi="Cambria" w:cs="Cambria" w:eastAsia="Cambria"/>
          <w:sz w:val="22"/>
        </w:rPr>
        <w:br/>
      </w:r>
      <w:r>
        <w:rPr>
          <w:rStyle w:val="VerbatimChar"/>
          <w:rFonts w:ascii="Cambria" w:hAnsi="Cambria" w:cs="Cambria" w:eastAsia="Cambria"/>
          <w:sz w:val="22"/>
        </w:rPr>
        <w:t xml:space="preserve">(liver)      (fat body +  (hepatopan-   (no hepatic organ —</w:t>
      </w:r>
      <w:r>
        <w:rPr>
          <w:rFonts w:ascii="Cambria" w:hAnsi="Cambria" w:cs="Cambria" w:eastAsia="Cambria"/>
          <w:sz w:val="22"/>
        </w:rPr>
        <w:br/>
      </w:r>
      <w:r>
        <w:rPr>
          <w:rStyle w:val="VerbatimChar"/>
          <w:rFonts w:ascii="Cambria" w:hAnsi="Cambria" w:cs="Cambria" w:eastAsia="Cambria"/>
          <w:sz w:val="22"/>
        </w:rPr>
        <w:t xml:space="preserve">             nephrocytes)  creas)        no affect)</w:t>
      </w:r>
      <w:r>
        <w:rPr>
          <w:rFonts w:ascii="Cambria" w:hAnsi="Cambria" w:cs="Cambria" w:eastAsia="Cambria"/>
          <w:sz w:val="22"/>
        </w:rPr>
        <w:br/>
      </w:r>
      <w:r>
        <w:rPr>
          <w:rStyle w:val="VerbatimChar"/>
          <w:rFonts w:ascii="Cambria" w:hAnsi="Cambria" w:cs="Cambria" w:eastAsia="Cambria"/>
          <w:sz w:val="22"/>
        </w:rPr>
        <w:t xml:space="preserve">     │              │             │</w:t>
      </w:r>
      <w:r>
        <w:rPr>
          <w:rFonts w:ascii="Cambria" w:hAnsi="Cambria" w:cs="Cambria" w:eastAsia="Cambria"/>
          <w:sz w:val="22"/>
        </w:rPr>
        <w:br/>
      </w:r>
      <w:r>
        <w:rPr>
          <w:rStyle w:val="VerbatimChar"/>
          <w:rFonts w:ascii="Cambria" w:hAnsi="Cambria" w:cs="Cambria" w:eastAsia="Cambria"/>
          <w:sz w:val="22"/>
        </w:rPr>
        <w:t xml:space="preserve">     └──────────────┴─────────────┘</w:t>
      </w:r>
      <w:r>
        <w:rPr>
          <w:rFonts w:ascii="Cambria" w:hAnsi="Cambria" w:cs="Cambria" w:eastAsia="Cambria"/>
          <w:sz w:val="22"/>
        </w:rPr>
        <w:br/>
      </w:r>
      <w:r>
        <w:rPr>
          <w:rStyle w:val="VerbatimChar"/>
          <w:rFonts w:ascii="Cambria" w:hAnsi="Cambria" w:cs="Cambria" w:eastAsia="Cambria"/>
          <w:sz w:val="22"/>
        </w:rPr>
        <w:t xml:space="preserve">                    │</w:t>
      </w:r>
      <w:r>
        <w:rPr>
          <w:rFonts w:ascii="Cambria" w:hAnsi="Cambria" w:cs="Cambria" w:eastAsia="Cambria"/>
          <w:sz w:val="22"/>
        </w:rPr>
        <w:br/>
      </w:r>
      <w:r>
        <w:rPr>
          <w:rStyle w:val="VerbatimChar"/>
          <w:rFonts w:ascii="Cambria" w:hAnsi="Cambria" w:cs="Cambria" w:eastAsia="Cambria"/>
          <w:sz w:val="22"/>
        </w:rPr>
        <w:t xml:space="preserve">                    ▼</w:t>
      </w:r>
      <w:r>
        <w:rPr>
          <w:rFonts w:ascii="Cambria" w:hAnsi="Cambria" w:cs="Cambria" w:eastAsia="Cambria"/>
          <w:sz w:val="22"/>
        </w:rPr>
        <w:br/>
      </w:r>
      <w:r>
        <w:rPr>
          <w:rStyle w:val="VerbatimChar"/>
          <w:rFonts w:ascii="Cambria" w:hAnsi="Cambria" w:cs="Cambria" w:eastAsia="Cambria"/>
          <w:sz w:val="22"/>
        </w:rPr>
        <w:t xml:space="preserve">        Convergent evolution of affect</w:t>
      </w:r>
      <w:r>
        <w:rPr>
          <w:rFonts w:ascii="Cambria" w:hAnsi="Cambria" w:cs="Cambria" w:eastAsia="Cambria"/>
          <w:sz w:val="22"/>
        </w:rPr>
        <w:br/>
      </w:r>
      <w:r>
        <w:rPr>
          <w:rStyle w:val="VerbatimChar"/>
          <w:rFonts w:ascii="Cambria" w:hAnsi="Cambria" w:cs="Cambria" w:eastAsia="Cambria"/>
          <w:sz w:val="22"/>
        </w:rPr>
        <w:t xml:space="preserve">        (independently, but all via steroid signalling)</w:t>
      </w:r>
    </w:p>
    <w:p>
      <w:pPr>
        <w:pStyle w:val="FirstParagraph"/>
        <w:spacing w:before="0" w:after="200" w:line="276" w:lineRule="auto"/>
        <w:jc w:val="both"/>
      </w:pPr>
      <w:r>
        <w:rPr>
          <w:rFonts w:ascii="Cambria" w:hAnsi="Cambria" w:cs="Cambria" w:eastAsia="Cambria"/>
          <w:sz w:val="22"/>
        </w:rPr>
        <w:t xml:space="preserve">This scenario predicts that affect evolved</w:t>
      </w:r>
      <w:r>
        <w:rPr>
          <w:rFonts w:ascii="Cambria" w:hAnsi="Cambria" w:cs="Cambria" w:eastAsia="Cambria"/>
          <w:sz w:val="22"/>
        </w:rPr>
        <w:t xml:space="preserve"> </w:t>
      </w:r>
      <w:r>
        <w:rPr>
          <w:rFonts w:ascii="Cambria" w:hAnsi="Cambria" w:cs="Cambria" w:eastAsia="Cambria"/>
          <w:b/>
          <w:bCs/>
          <w:sz w:val="22"/>
        </w:rPr>
        <w:t xml:space="preserve">at least three times independently</w:t>
      </w:r>
      <w:r>
        <w:rPr>
          <w:rFonts w:ascii="Cambria" w:hAnsi="Cambria" w:cs="Cambria" w:eastAsia="Cambria"/>
          <w:sz w:val="22"/>
        </w:rPr>
        <w:t xml:space="preserve"> </w:t>
      </w:r>
      <w:r>
        <w:rPr>
          <w:rFonts w:ascii="Cambria" w:hAnsi="Cambria" w:cs="Cambria" w:eastAsia="Cambria"/>
          <w:sz w:val="22"/>
        </w:rPr>
        <w:t xml:space="preserve">(vertebrates, arthropods, cephalopods), but</w:t>
      </w:r>
      <w:r>
        <w:rPr>
          <w:rFonts w:ascii="Cambria" w:hAnsi="Cambria" w:cs="Cambria" w:eastAsia="Cambria"/>
          <w:sz w:val="22"/>
        </w:rPr>
        <w:t xml:space="preserve"> </w:t>
      </w:r>
      <w:r>
        <w:rPr>
          <w:rFonts w:ascii="Cambria" w:hAnsi="Cambria" w:cs="Cambria" w:eastAsia="Cambria"/>
          <w:b/>
          <w:bCs/>
          <w:sz w:val="22"/>
        </w:rPr>
        <w:t xml:space="preserve">each time</w:t>
      </w:r>
      <w:r>
        <w:rPr>
          <w:rFonts w:ascii="Cambria" w:hAnsi="Cambria" w:cs="Cambria" w:eastAsia="Cambria"/>
          <w:sz w:val="22"/>
        </w:rPr>
        <w:t xml:space="preserve"> </w:t>
      </w:r>
      <w:r>
        <w:rPr>
          <w:rFonts w:ascii="Cambria" w:hAnsi="Cambria" w:cs="Cambria" w:eastAsia="Cambria"/>
          <w:sz w:val="22"/>
        </w:rPr>
        <w:t xml:space="preserve">after the appearance of a dedicated steroid‑secreting metabolic organ.</w:t>
      </w:r>
    </w:p>
    <w:p>
      <w:pPr>
        <w:pStyle w:val="Heading2"/>
        <w:spacing w:before="200" w:after="120" w:line="276" w:lineRule="auto"/>
        <w:jc w:val="left"/>
      </w:pPr>
      <w:r>
        <w:rPr>
          <w:rFonts w:ascii="Calibri" w:hAnsi="Calibri" w:cs="Calibri" w:eastAsia="Calibri"/>
          <w:b/>
          <w:color w:val="366091"/>
          <w:sz w:val="28"/>
        </w:rPr>
        <w:t xml:space="preserve">5. Predictions (Falsifiers)</w:t>
      </w:r>
    </w:p>
    <w:p>
      <w:pPr>
        <w:pStyle w:val="Heading3"/>
        <w:spacing w:before="200" w:after="120" w:line="276" w:lineRule="auto"/>
        <w:jc w:val="left"/>
      </w:pPr>
      <w:r>
        <w:rPr>
          <w:rFonts w:ascii="Calibri" w:hAnsi="Calibri" w:cs="Calibri" w:eastAsia="Calibri"/>
          <w:b/>
          <w:color w:val="4F81BD"/>
          <w:sz w:val="26"/>
        </w:rPr>
        <w:t xml:space="preserve">5.1 Prediction 1 (cross‑species)</w:t>
      </w:r>
    </w:p>
    <w:p>
      <w:pPr>
        <w:pStyle w:val="FirstParagraph"/>
        <w:spacing w:before="0" w:after="200" w:line="276" w:lineRule="auto"/>
        <w:jc w:val="both"/>
      </w:pPr>
      <w:r>
        <w:rPr>
          <w:rFonts w:ascii="Cambria" w:hAnsi="Cambria" w:cs="Cambria" w:eastAsia="Cambria"/>
          <w:sz w:val="22"/>
        </w:rPr>
        <w:t xml:space="preserve">Any newly described bilaterian species with well‑documented affective behaviour (meeting the operational criteria) will be found to possess an organ meeting the functional definition of a hepatic organ.</w:t>
      </w:r>
    </w:p>
    <w:p>
      <w:pPr>
        <w:pStyle w:val="Heading3"/>
        <w:spacing w:before="200" w:after="120" w:line="276" w:lineRule="auto"/>
        <w:jc w:val="left"/>
      </w:pPr>
      <w:r>
        <w:rPr>
          <w:rFonts w:ascii="Calibri" w:hAnsi="Calibri" w:cs="Calibri" w:eastAsia="Calibri"/>
          <w:b/>
          <w:color w:val="4F81BD"/>
          <w:sz w:val="26"/>
        </w:rPr>
        <w:t xml:space="preserve">5.2 Prediction 2 (zebrafish conditional knockout) —</w:t>
      </w:r>
      <w:r>
        <w:rPr>
          <w:rFonts w:ascii="Calibri" w:hAnsi="Calibri" w:cs="Calibri" w:eastAsia="Calibri"/>
          <w:b/>
          <w:color w:val="4F81BD"/>
          <w:sz w:val="26"/>
        </w:rPr>
        <w:t xml:space="preserve"> </w:t>
      </w:r>
      <w:r>
        <w:rPr>
          <w:rFonts w:ascii="Calibri" w:hAnsi="Calibri" w:cs="Calibri" w:eastAsia="Calibri"/>
          <w:b/>
          <w:i/>
          <w:iCs/>
          <w:color w:val="4F81BD"/>
          <w:sz w:val="26"/>
        </w:rPr>
        <w:t xml:space="preserve">critical experiment</w:t>
      </w:r>
    </w:p>
    <w:p>
      <w:pPr>
        <w:pStyle w:val="FirstParagraph"/>
        <w:spacing w:before="0" w:after="200" w:line="276" w:lineRule="auto"/>
        <w:jc w:val="both"/>
      </w:pPr>
      <w:r>
        <w:rPr>
          <w:rFonts w:ascii="Cambria" w:hAnsi="Cambria" w:cs="Cambria" w:eastAsia="Cambria"/>
          <w:sz w:val="22"/>
        </w:rPr>
        <w:t xml:space="preserve">Generate zebrafish with</w:t>
      </w:r>
      <w:r>
        <w:rPr>
          <w:rFonts w:ascii="Cambria" w:hAnsi="Cambria" w:cs="Cambria" w:eastAsia="Cambria"/>
          <w:sz w:val="22"/>
        </w:rPr>
        <w:t xml:space="preserve"> </w:t>
      </w:r>
      <w:r>
        <w:rPr>
          <w:rFonts w:ascii="Cambria" w:hAnsi="Cambria" w:cs="Cambria" w:eastAsia="Cambria"/>
          <w:b/>
          <w:bCs/>
          <w:sz w:val="22"/>
        </w:rPr>
        <w:t xml:space="preserve">conditional hepatocyte ablation</w:t>
      </w:r>
      <w:r>
        <w:rPr>
          <w:rFonts w:ascii="Cambria" w:hAnsi="Cambria" w:cs="Cambria" w:eastAsia="Cambria"/>
          <w:sz w:val="22"/>
        </w:rPr>
        <w:t xml:space="preserve"> </w:t>
      </w:r>
      <w:r>
        <w:rPr>
          <w:rFonts w:ascii="Cambria" w:hAnsi="Cambria" w:cs="Cambria" w:eastAsia="Cambria"/>
          <w:sz w:val="22"/>
        </w:rPr>
        <w:t xml:space="preserve">after neurulation (72 hours post‑fertilisation, hpf) but before affective circuit maturation (5–7 dpf).</w:t>
      </w:r>
    </w:p>
    <w:p>
      <w:pPr>
        <w:pStyle w:val="BodyText"/>
        <w:spacing w:before="0" w:after="200" w:line="276" w:lineRule="auto"/>
        <w:jc w:val="both"/>
      </w:pPr>
      <w:r>
        <w:rPr>
          <w:rFonts w:ascii="Cambria" w:hAnsi="Cambria" w:cs="Cambria" w:eastAsia="Cambria"/>
          <w:b/>
          <w:bCs/>
          <w:sz w:val="22"/>
        </w:rPr>
        <w:t xml:space="preserve">Design:</w:t>
      </w:r>
    </w:p>
    <w:p>
      <w:pPr>
        <w:pStyle w:val="Compact"/>
        <w:numPr>
          <w:ilvl w:val="0"/>
          <w:numId w:val="1011"/>
        </w:numPr>
        <w:spacing w:before="0" w:after="200" w:line="276" w:lineRule="auto"/>
        <w:jc w:val="both"/>
      </w:pPr>
      <w:r>
        <w:rPr>
          <w:rFonts w:ascii="Cambria" w:hAnsi="Cambria" w:cs="Cambria" w:eastAsia="Cambria"/>
          <w:sz w:val="22"/>
        </w:rPr>
        <w:t xml:space="preserve">Transgenic line: Tg(hsp70l:Gal4; UAS:nfsB) → heat‑shock induced expression of nitroreductase (nfsB) in hepatocytes.</w:t>
      </w:r>
    </w:p>
    <w:p>
      <w:pPr>
        <w:pStyle w:val="Compact"/>
        <w:numPr>
          <w:ilvl w:val="0"/>
          <w:numId w:val="1011"/>
        </w:numPr>
        <w:spacing w:before="0" w:after="200" w:line="276" w:lineRule="auto"/>
        <w:jc w:val="both"/>
      </w:pPr>
      <w:r>
        <w:rPr>
          <w:rFonts w:ascii="Cambria" w:hAnsi="Cambria" w:cs="Cambria" w:eastAsia="Cambria"/>
          <w:sz w:val="22"/>
        </w:rPr>
        <w:t xml:space="preserve">Metronidazole (5 mM) at 72 hpf → ablation of &gt;90% of hepatocytes (Cox et al., 2016).</w:t>
      </w:r>
    </w:p>
    <w:p>
      <w:pPr>
        <w:pStyle w:val="Compact"/>
        <w:numPr>
          <w:ilvl w:val="0"/>
          <w:numId w:val="1011"/>
        </w:numPr>
        <w:spacing w:before="0" w:after="200" w:line="276" w:lineRule="auto"/>
        <w:jc w:val="both"/>
      </w:pPr>
      <w:r>
        <w:rPr>
          <w:rFonts w:ascii="Cambria" w:hAnsi="Cambria" w:cs="Cambria" w:eastAsia="Cambria"/>
          <w:sz w:val="22"/>
        </w:rPr>
        <w:t xml:space="preserve">Behavioural testing at 8–10 dpf: fear conditioning (light + mild shock → freezing), light–dark preference (anxiety), pain avoidance (acetic acid injection).</w:t>
      </w:r>
    </w:p>
    <w:p>
      <w:pPr>
        <w:pStyle w:val="FirstParagraph"/>
        <w:spacing w:before="0" w:after="200" w:line="276" w:lineRule="auto"/>
        <w:jc w:val="both"/>
      </w:pPr>
      <w:r>
        <w:rPr>
          <w:rFonts w:ascii="Cambria" w:hAnsi="Cambria" w:cs="Cambria" w:eastAsia="Cambria"/>
          <w:b/>
          <w:bCs/>
          <w:sz w:val="22"/>
        </w:rPr>
        <w:t xml:space="preserve">Prediction (HAP Strong):</w:t>
      </w:r>
      <w:r>
        <w:rPr>
          <w:rFonts w:ascii="Cambria" w:hAnsi="Cambria" w:cs="Cambria" w:eastAsia="Cambria"/>
          <w:sz w:val="22"/>
        </w:rPr>
        <w:br/>
      </w:r>
      <w:r>
        <w:rPr>
          <w:rFonts w:ascii="Cambria" w:hAnsi="Cambria" w:cs="Cambria" w:eastAsia="Cambria"/>
          <w:sz w:val="22"/>
        </w:rPr>
        <w:t xml:space="preserve">Ablated fish will show</w:t>
      </w:r>
      <w:r>
        <w:rPr>
          <w:rFonts w:ascii="Cambria" w:hAnsi="Cambria" w:cs="Cambria" w:eastAsia="Cambria"/>
          <w:sz w:val="22"/>
        </w:rPr>
        <w:t xml:space="preserve"> </w:t>
      </w:r>
      <w:r>
        <w:rPr>
          <w:rFonts w:ascii="Cambria" w:hAnsi="Cambria" w:cs="Cambria" w:eastAsia="Cambria"/>
          <w:b/>
          <w:bCs/>
          <w:sz w:val="22"/>
        </w:rPr>
        <w:t xml:space="preserve">severely reduced or absent</w:t>
      </w:r>
      <w:r>
        <w:rPr>
          <w:rFonts w:ascii="Cambria" w:hAnsi="Cambria" w:cs="Cambria" w:eastAsia="Cambria"/>
          <w:sz w:val="22"/>
        </w:rPr>
        <w:t xml:space="preserve"> </w:t>
      </w:r>
      <w:r>
        <w:rPr>
          <w:rFonts w:ascii="Cambria" w:hAnsi="Cambria" w:cs="Cambria" w:eastAsia="Cambria"/>
          <w:sz w:val="22"/>
        </w:rPr>
        <w:t xml:space="preserve">fear conditioning, no dark preference, and reduced pain avoidance — but normal startle reflex and locomotion.</w:t>
      </w:r>
    </w:p>
    <w:p>
      <w:pPr>
        <w:pStyle w:val="BodyText"/>
        <w:spacing w:before="0" w:after="200" w:line="276" w:lineRule="auto"/>
        <w:jc w:val="both"/>
      </w:pPr>
      <w:r>
        <w:rPr>
          <w:rFonts w:ascii="Cambria" w:hAnsi="Cambria" w:cs="Cambria" w:eastAsia="Cambria"/>
          <w:b/>
          <w:bCs/>
          <w:sz w:val="22"/>
        </w:rPr>
        <w:t xml:space="preserve">Alternative outcome (falsifies HAP Strong):</w:t>
      </w:r>
      <w:r>
        <w:rPr>
          <w:rFonts w:ascii="Cambria" w:hAnsi="Cambria" w:cs="Cambria" w:eastAsia="Cambria"/>
          <w:sz w:val="22"/>
        </w:rPr>
        <w:br/>
      </w:r>
      <w:r>
        <w:rPr>
          <w:rFonts w:ascii="Cambria" w:hAnsi="Cambria" w:cs="Cambria" w:eastAsia="Cambria"/>
          <w:sz w:val="22"/>
        </w:rPr>
        <w:t xml:space="preserve">Normal fear conditioning despite &gt;90% hepatocyte ablation.</w:t>
      </w:r>
    </w:p>
    <w:p>
      <w:pPr>
        <w:pStyle w:val="Heading3"/>
        <w:spacing w:before="200" w:after="120" w:line="276" w:lineRule="auto"/>
        <w:jc w:val="left"/>
      </w:pPr>
      <w:r>
        <w:rPr>
          <w:rFonts w:ascii="Calibri" w:hAnsi="Calibri" w:cs="Calibri" w:eastAsia="Calibri"/>
          <w:b/>
          <w:color w:val="4F81BD"/>
          <w:sz w:val="26"/>
        </w:rPr>
        <w:t xml:space="preserve">5.3 Prediction 3 (planarian engineering)</w:t>
      </w:r>
    </w:p>
    <w:p>
      <w:pPr>
        <w:pStyle w:val="FirstParagraph"/>
        <w:spacing w:before="0" w:after="200" w:line="276" w:lineRule="auto"/>
        <w:jc w:val="both"/>
      </w:pPr>
      <w:r>
        <w:rPr>
          <w:rFonts w:ascii="Cambria" w:hAnsi="Cambria" w:cs="Cambria" w:eastAsia="Cambria"/>
          <w:sz w:val="22"/>
        </w:rPr>
        <w:t xml:space="preserve">Planaria (Platyhelminthes) have no hepatic organ and no affective behaviour (only simple phototaxis and chemotaxis). Introduce genes for ecdysteroid synthesis (CYP314A1, Neverland) and EcR/USP receptors under an inducible promoter.</w:t>
      </w:r>
    </w:p>
    <w:p>
      <w:pPr>
        <w:pStyle w:val="BodyText"/>
        <w:spacing w:before="0" w:after="200" w:line="276" w:lineRule="auto"/>
        <w:jc w:val="both"/>
      </w:pPr>
      <w:r>
        <w:rPr>
          <w:rFonts w:ascii="Cambria" w:hAnsi="Cambria" w:cs="Cambria" w:eastAsia="Cambria"/>
          <w:b/>
          <w:bCs/>
          <w:sz w:val="22"/>
        </w:rPr>
        <w:t xml:space="preserve">Prediction (HAP Strong):</w:t>
      </w:r>
      <w:r>
        <w:rPr>
          <w:rFonts w:ascii="Cambria" w:hAnsi="Cambria" w:cs="Cambria" w:eastAsia="Cambria"/>
          <w:sz w:val="22"/>
        </w:rPr>
        <w:br/>
      </w:r>
      <w:r>
        <w:rPr>
          <w:rFonts w:ascii="Cambria" w:hAnsi="Cambria" w:cs="Cambria" w:eastAsia="Cambria"/>
          <w:sz w:val="22"/>
        </w:rPr>
        <w:t xml:space="preserve">No affective behaviour will emerge because the neural substrate for affect is absent. If neural precursors from an affect‑capable species (e.g.,</w:t>
      </w:r>
      <w:r>
        <w:rPr>
          <w:rFonts w:ascii="Cambria" w:hAnsi="Cambria" w:cs="Cambria" w:eastAsia="Cambria"/>
          <w:sz w:val="22"/>
        </w:rPr>
        <w:t xml:space="preserve"> </w:t>
      </w:r>
      <w:r>
        <w:rPr>
          <w:rFonts w:ascii="Cambria" w:hAnsi="Cambria" w:cs="Cambria" w:eastAsia="Cambria"/>
          <w:i/>
          <w:iCs/>
          <w:sz w:val="22"/>
        </w:rPr>
        <w:t xml:space="preserve">Drosophila</w:t>
      </w:r>
      <w:r>
        <w:rPr>
          <w:rFonts w:ascii="Cambria" w:hAnsi="Cambria" w:cs="Cambria" w:eastAsia="Cambria"/>
          <w:sz w:val="22"/>
        </w:rPr>
        <w:t xml:space="preserve">) are co‑transplanted, primitive affect</w:t>
      </w:r>
      <w:r>
        <w:rPr>
          <w:rFonts w:ascii="Cambria" w:hAnsi="Cambria" w:cs="Cambria" w:eastAsia="Cambria"/>
          <w:sz w:val="22"/>
        </w:rPr>
        <w:t xml:space="preserve"> </w:t>
      </w:r>
      <w:r>
        <w:rPr>
          <w:rFonts w:ascii="Cambria" w:hAnsi="Cambria" w:cs="Cambria" w:eastAsia="Cambria"/>
          <w:b/>
          <w:bCs/>
          <w:sz w:val="22"/>
        </w:rPr>
        <w:t xml:space="preserve">might</w:t>
      </w:r>
      <w:r>
        <w:rPr>
          <w:rFonts w:ascii="Cambria" w:hAnsi="Cambria" w:cs="Cambria" w:eastAsia="Cambria"/>
          <w:sz w:val="22"/>
        </w:rPr>
        <w:t xml:space="preserve"> </w:t>
      </w:r>
      <w:r>
        <w:rPr>
          <w:rFonts w:ascii="Cambria" w:hAnsi="Cambria" w:cs="Cambria" w:eastAsia="Cambria"/>
          <w:sz w:val="22"/>
        </w:rPr>
        <w:t xml:space="preserve">emerge — a more ambitious test.</w:t>
      </w:r>
    </w:p>
    <w:p>
      <w:pPr>
        <w:pStyle w:val="Heading3"/>
        <w:spacing w:before="200" w:after="120" w:line="276" w:lineRule="auto"/>
        <w:jc w:val="left"/>
      </w:pPr>
      <w:r>
        <w:rPr>
          <w:rFonts w:ascii="Calibri" w:hAnsi="Calibri" w:cs="Calibri" w:eastAsia="Calibri"/>
          <w:b/>
          <w:color w:val="4F81BD"/>
          <w:sz w:val="26"/>
        </w:rPr>
        <w:t xml:space="preserve">5.4 Prediction 4 (pharmacological)</w:t>
      </w:r>
    </w:p>
    <w:p>
      <w:pPr>
        <w:pStyle w:val="FirstParagraph"/>
        <w:spacing w:before="0" w:after="200" w:line="276" w:lineRule="auto"/>
        <w:jc w:val="both"/>
      </w:pPr>
      <w:r>
        <w:rPr>
          <w:rFonts w:ascii="Cambria" w:hAnsi="Cambria" w:cs="Cambria" w:eastAsia="Cambria"/>
          <w:sz w:val="22"/>
        </w:rPr>
        <w:t xml:space="preserve">Blockade of steroid regulator synthesis in</w:t>
      </w:r>
      <w:r>
        <w:rPr>
          <w:rFonts w:ascii="Cambria" w:hAnsi="Cambria" w:cs="Cambria" w:eastAsia="Cambria"/>
          <w:sz w:val="22"/>
        </w:rPr>
        <w:t xml:space="preserve"> </w:t>
      </w:r>
      <w:r>
        <w:rPr>
          <w:rFonts w:ascii="Cambria" w:hAnsi="Cambria" w:cs="Cambria" w:eastAsia="Cambria"/>
          <w:b/>
          <w:bCs/>
          <w:sz w:val="22"/>
        </w:rPr>
        <w:t xml:space="preserve">adults</w:t>
      </w:r>
      <w:r>
        <w:rPr>
          <w:rFonts w:ascii="Cambria" w:hAnsi="Cambria" w:cs="Cambria" w:eastAsia="Cambria"/>
          <w:sz w:val="22"/>
        </w:rPr>
        <w:t xml:space="preserve"> </w:t>
      </w:r>
      <w:r>
        <w:rPr>
          <w:rFonts w:ascii="Cambria" w:hAnsi="Cambria" w:cs="Cambria" w:eastAsia="Cambria"/>
          <w:sz w:val="22"/>
        </w:rPr>
        <w:t xml:space="preserve">(e.g., CYP7A1 inhibitor in mice; Neverland inhibitor in</w:t>
      </w:r>
      <w:r>
        <w:rPr>
          <w:rFonts w:ascii="Cambria" w:hAnsi="Cambria" w:cs="Cambria" w:eastAsia="Cambria"/>
          <w:sz w:val="22"/>
        </w:rPr>
        <w:t xml:space="preserve"> </w:t>
      </w:r>
      <w:r>
        <w:rPr>
          <w:rFonts w:ascii="Cambria" w:hAnsi="Cambria" w:cs="Cambria" w:eastAsia="Cambria"/>
          <w:i/>
          <w:iCs/>
          <w:sz w:val="22"/>
        </w:rPr>
        <w:t xml:space="preserve">Drosophila</w:t>
      </w:r>
      <w:r>
        <w:rPr>
          <w:rFonts w:ascii="Cambria" w:hAnsi="Cambria" w:cs="Cambria" w:eastAsia="Cambria"/>
          <w:sz w:val="22"/>
        </w:rPr>
        <w:t xml:space="preserve">) will cause</w:t>
      </w:r>
      <w:r>
        <w:rPr>
          <w:rFonts w:ascii="Cambria" w:hAnsi="Cambria" w:cs="Cambria" w:eastAsia="Cambria"/>
          <w:sz w:val="22"/>
        </w:rPr>
        <w:t xml:space="preserve"> </w:t>
      </w:r>
      <w:r>
        <w:rPr>
          <w:rFonts w:ascii="Cambria" w:hAnsi="Cambria" w:cs="Cambria" w:eastAsia="Cambria"/>
          <w:b/>
          <w:bCs/>
          <w:sz w:val="22"/>
        </w:rPr>
        <w:t xml:space="preserve">partial reduction</w:t>
      </w:r>
      <w:r>
        <w:rPr>
          <w:rFonts w:ascii="Cambria" w:hAnsi="Cambria" w:cs="Cambria" w:eastAsia="Cambria"/>
          <w:sz w:val="22"/>
        </w:rPr>
        <w:t xml:space="preserve">, not abolition, of affective behaviour — because circuits are already formed.</w:t>
      </w:r>
    </w:p>
    <w:p>
      <w:pPr>
        <w:pStyle w:val="Heading2"/>
        <w:spacing w:before="200" w:after="120" w:line="276" w:lineRule="auto"/>
        <w:jc w:val="left"/>
      </w:pPr>
      <w:r>
        <w:rPr>
          <w:rFonts w:ascii="Calibri" w:hAnsi="Calibri" w:cs="Calibri" w:eastAsia="Calibri"/>
          <w:b/>
          <w:color w:val="366091"/>
          <w:sz w:val="28"/>
        </w:rPr>
        <w:t xml:space="preserve">6. Limitations</w:t>
      </w:r>
    </w:p>
    <w:p>
      <w:pPr>
        <w:pStyle w:val="Heading3"/>
        <w:spacing w:before="200" w:after="120" w:line="276" w:lineRule="auto"/>
        <w:jc w:val="left"/>
      </w:pPr>
      <w:r>
        <w:rPr>
          <w:rFonts w:ascii="Calibri" w:hAnsi="Calibri" w:cs="Calibri" w:eastAsia="Calibri"/>
          <w:b/>
          <w:color w:val="4F81BD"/>
          <w:sz w:val="26"/>
        </w:rPr>
        <w:t xml:space="preserve">6.1 Unfalsifiability for vertebrate embryogenesis</w:t>
      </w:r>
    </w:p>
    <w:p>
      <w:pPr>
        <w:pStyle w:val="FirstParagraph"/>
        <w:spacing w:before="0" w:after="200" w:line="276" w:lineRule="auto"/>
        <w:jc w:val="both"/>
      </w:pPr>
      <w:r>
        <w:rPr>
          <w:rFonts w:ascii="Cambria" w:hAnsi="Cambria" w:cs="Cambria" w:eastAsia="Cambria"/>
          <w:sz w:val="22"/>
        </w:rPr>
        <w:t xml:space="preserve">We cannot directly test HAP Strong in vertebrates because embryonic hepatectomy is lethal. This is a</w:t>
      </w:r>
      <w:r>
        <w:rPr>
          <w:rFonts w:ascii="Cambria" w:hAnsi="Cambria" w:cs="Cambria" w:eastAsia="Cambria"/>
          <w:sz w:val="22"/>
        </w:rPr>
        <w:t xml:space="preserve"> </w:t>
      </w:r>
      <w:r>
        <w:rPr>
          <w:rFonts w:ascii="Cambria" w:hAnsi="Cambria" w:cs="Cambria" w:eastAsia="Cambria"/>
          <w:b/>
          <w:bCs/>
          <w:sz w:val="22"/>
        </w:rPr>
        <w:t xml:space="preserve">fundamental limitation</w:t>
      </w:r>
      <w:r>
        <w:rPr>
          <w:rFonts w:ascii="Cambria" w:hAnsi="Cambria" w:cs="Cambria" w:eastAsia="Cambria"/>
          <w:sz w:val="22"/>
        </w:rPr>
        <w:t xml:space="preserve"> </w:t>
      </w:r>
      <w:r>
        <w:rPr>
          <w:rFonts w:ascii="Cambria" w:hAnsi="Cambria" w:cs="Cambria" w:eastAsia="Cambria"/>
          <w:sz w:val="22"/>
        </w:rPr>
        <w:t xml:space="preserve">shared with any hypothesis about necessary developmental conditions (e.g., “no heart, no emotion” is similarly unfalsifiable).</w:t>
      </w:r>
    </w:p>
    <w:p>
      <w:pPr>
        <w:pStyle w:val="BodyText"/>
        <w:spacing w:before="0" w:after="200" w:line="276" w:lineRule="auto"/>
        <w:jc w:val="both"/>
      </w:pPr>
      <w:r>
        <w:rPr>
          <w:rFonts w:ascii="Cambria" w:hAnsi="Cambria" w:cs="Cambria" w:eastAsia="Cambria"/>
          <w:b/>
          <w:bCs/>
          <w:sz w:val="22"/>
        </w:rPr>
        <w:t xml:space="preserve">Mitigation:</w:t>
      </w:r>
      <w:r>
        <w:rPr>
          <w:rFonts w:ascii="Cambria" w:hAnsi="Cambria" w:cs="Cambria" w:eastAsia="Cambria"/>
          <w:sz w:val="22"/>
        </w:rPr>
        <w:t xml:space="preserve"> </w:t>
      </w:r>
      <w:r>
        <w:rPr>
          <w:rFonts w:ascii="Cambria" w:hAnsi="Cambria" w:cs="Cambria" w:eastAsia="Cambria"/>
          <w:sz w:val="22"/>
        </w:rPr>
        <w:t xml:space="preserve">We propose surrogate tests (Prediction 2: conditional knockout after neurulation but before circuit maturation) that are feasible and ethically acceptable.</w:t>
      </w:r>
    </w:p>
    <w:p>
      <w:pPr>
        <w:pStyle w:val="Heading3"/>
        <w:spacing w:before="200" w:after="120" w:line="276" w:lineRule="auto"/>
        <w:jc w:val="left"/>
      </w:pPr>
      <w:r>
        <w:rPr>
          <w:rFonts w:ascii="Calibri" w:hAnsi="Calibri" w:cs="Calibri" w:eastAsia="Calibri"/>
          <w:b/>
          <w:color w:val="4F81BD"/>
          <w:sz w:val="26"/>
        </w:rPr>
        <w:t xml:space="preserve">6.2 Operational definition of affect in invertebrates</w:t>
      </w:r>
    </w:p>
    <w:p>
      <w:pPr>
        <w:pStyle w:val="FirstParagraph"/>
        <w:spacing w:before="0" w:after="200" w:line="276" w:lineRule="auto"/>
        <w:jc w:val="both"/>
      </w:pPr>
      <w:r>
        <w:rPr>
          <w:rFonts w:ascii="Cambria" w:hAnsi="Cambria" w:cs="Cambria" w:eastAsia="Cambria"/>
          <w:sz w:val="22"/>
        </w:rPr>
        <w:t xml:space="preserve">Whether insects and cephalopods have “true” affect (subjective feeling) or only “affect‑like” behaviour is debated (Barrett, 2017; LeDoux, 2012). We adopted conservative behavioural criteria that align with the standard in comparative neuroscience (Anderson &amp; Adolphs, 2014). If a stricter criterion (e.g., requiring neural correlates in an amygdala homologue) is applied, the conclusion might change — but then affect would be restricted to vertebrates, and HAP Strong would become trivial.</w:t>
      </w:r>
    </w:p>
    <w:p>
      <w:pPr>
        <w:pStyle w:val="Heading3"/>
        <w:spacing w:before="200" w:after="120" w:line="276" w:lineRule="auto"/>
        <w:jc w:val="left"/>
      </w:pPr>
      <w:r>
        <w:rPr>
          <w:rFonts w:ascii="Calibri" w:hAnsi="Calibri" w:cs="Calibri" w:eastAsia="Calibri"/>
          <w:b/>
          <w:color w:val="4F81BD"/>
          <w:sz w:val="26"/>
        </w:rPr>
        <w:t xml:space="preserve">6.3 Risk of circularity</w:t>
      </w:r>
    </w:p>
    <w:p>
      <w:pPr>
        <w:pStyle w:val="FirstParagraph"/>
        <w:spacing w:before="0" w:after="200" w:line="276" w:lineRule="auto"/>
        <w:jc w:val="both"/>
      </w:pPr>
      <w:r>
        <w:rPr>
          <w:rFonts w:ascii="Cambria" w:hAnsi="Cambria" w:cs="Cambria" w:eastAsia="Cambria"/>
          <w:sz w:val="22"/>
        </w:rPr>
        <w:t xml:space="preserve">Our functional definition of “hepatic organ” includes steroid secretion and barrier function. If we had defined it post‑hoc to include any organ present in affect‑capable animals, the correlation would be tautological. We defined the criteria</w:t>
      </w:r>
      <w:r>
        <w:rPr>
          <w:rFonts w:ascii="Cambria" w:hAnsi="Cambria" w:cs="Cambria" w:eastAsia="Cambria"/>
          <w:sz w:val="22"/>
        </w:rPr>
        <w:t xml:space="preserve"> </w:t>
      </w:r>
      <w:r>
        <w:rPr>
          <w:rFonts w:ascii="Cambria" w:hAnsi="Cambria" w:cs="Cambria" w:eastAsia="Cambria"/>
          <w:b/>
          <w:bCs/>
          <w:sz w:val="22"/>
        </w:rPr>
        <w:t xml:space="preserve">a priori</w:t>
      </w:r>
      <w:r>
        <w:rPr>
          <w:rFonts w:ascii="Cambria" w:hAnsi="Cambria" w:cs="Cambria" w:eastAsia="Cambria"/>
          <w:sz w:val="22"/>
        </w:rPr>
        <w:t xml:space="preserve"> </w:t>
      </w:r>
      <w:r>
        <w:rPr>
          <w:rFonts w:ascii="Cambria" w:hAnsi="Cambria" w:cs="Cambria" w:eastAsia="Cambria"/>
          <w:sz w:val="22"/>
        </w:rPr>
        <w:t xml:space="preserve">based on the known physiology of the vertebrate liver and then tested independent taxa.</w:t>
      </w:r>
    </w:p>
    <w:p>
      <w:pPr>
        <w:pStyle w:val="Heading2"/>
        <w:spacing w:before="200" w:after="120" w:line="276" w:lineRule="auto"/>
        <w:jc w:val="left"/>
      </w:pPr>
      <w:r>
        <w:rPr>
          <w:rFonts w:ascii="Calibri" w:hAnsi="Calibri" w:cs="Calibri" w:eastAsia="Calibri"/>
          <w:b/>
          <w:color w:val="366091"/>
          <w:sz w:val="28"/>
        </w:rPr>
        <w:t xml:space="preserve">7. Comparison with Alternative Hypotheses</w:t>
      </w:r>
    </w:p>
    <w:tbl>
      <w:tblPr>
        <w:tblStyle w:val="Table"/>
        <w:tblW w:type="dxa" w:w="9360"/>
        <w:jc w:val="center"/>
        <w:tblLayout w:type="fixed"/>
        <w:tblLook w:firstRow="1" w:lastRow="0" w:firstColumn="0" w:lastColumn="0" w:noHBand="0" w:noVBand="0" w:val="0020"/>
      </w:tblPr>
      <w:tblGrid>
        <w:gridCol w:w="1980"/>
        <w:gridCol w:w="1980"/>
        <w:gridCol w:w="1980"/>
        <w:gridCol w:w="1980"/>
      </w:tblGrid>
      <w:tr>
        <w:trPr>
          <w:tblHeader w:val="on"/>
        </w:trPr>
        <w:tc>
          <w:tcPr/>
          <w:p>
            <w:pPr>
              <w:pStyle w:val="Compact"/>
              <w:spacing w:before="0" w:after="80" w:line="276" w:lineRule="auto"/>
              <w:jc w:val="both"/>
            </w:pPr>
            <w:r>
              <w:rPr>
                <w:rFonts w:ascii="Cambria" w:hAnsi="Cambria" w:cs="Cambria" w:eastAsia="Cambria"/>
                <w:sz w:val="20"/>
              </w:rPr>
              <w:t xml:space="preserve">Hypothesis</w:t>
            </w:r>
          </w:p>
        </w:tc>
        <w:tc>
          <w:tcPr/>
          <w:p>
            <w:pPr>
              <w:pStyle w:val="Compact"/>
              <w:spacing w:before="0" w:after="80" w:line="276" w:lineRule="auto"/>
              <w:jc w:val="both"/>
            </w:pPr>
            <w:r>
              <w:rPr>
                <w:rFonts w:ascii="Cambria" w:hAnsi="Cambria" w:cs="Cambria" w:eastAsia="Cambria"/>
                <w:sz w:val="20"/>
              </w:rPr>
              <w:t xml:space="preserve">Claim</w:t>
            </w:r>
          </w:p>
        </w:tc>
        <w:tc>
          <w:tcPr/>
          <w:p>
            <w:pPr>
              <w:pStyle w:val="Compact"/>
              <w:spacing w:before="0" w:after="80" w:line="276" w:lineRule="auto"/>
              <w:jc w:val="both"/>
            </w:pPr>
            <w:r>
              <w:rPr>
                <w:rFonts w:ascii="Cambria" w:hAnsi="Cambria" w:cs="Cambria" w:eastAsia="Cambria"/>
                <w:sz w:val="20"/>
              </w:rPr>
              <w:t xml:space="preserve">Evidence</w:t>
            </w:r>
          </w:p>
        </w:tc>
        <w:tc>
          <w:tcPr/>
          <w:p>
            <w:pPr>
              <w:pStyle w:val="Compact"/>
              <w:spacing w:before="0" w:after="80" w:line="276" w:lineRule="auto"/>
              <w:jc w:val="both"/>
            </w:pPr>
            <w:r>
              <w:rPr>
                <w:rFonts w:ascii="Cambria" w:hAnsi="Cambria" w:cs="Cambria" w:eastAsia="Cambria"/>
                <w:sz w:val="20"/>
              </w:rPr>
              <w:t xml:space="preserve">Why HAP Strong is superior</w:t>
            </w:r>
          </w:p>
        </w:tc>
      </w:tr>
      <w:tr>
        <w:tc>
          <w:tcPr/>
          <w:p>
            <w:pPr>
              <w:pStyle w:val="Compact"/>
              <w:spacing w:before="0" w:after="80" w:line="276" w:lineRule="auto"/>
              <w:jc w:val="both"/>
            </w:pPr>
            <w:r>
              <w:rPr>
                <w:rFonts w:ascii="Cambria" w:hAnsi="Cambria" w:cs="Cambria" w:eastAsia="Cambria"/>
                <w:b/>
                <w:bCs/>
                <w:sz w:val="20"/>
              </w:rPr>
              <w:t xml:space="preserve">Brain‑centric</w:t>
            </w:r>
            <w:r>
              <w:rPr>
                <w:rFonts w:ascii="Cambria" w:hAnsi="Cambria" w:cs="Cambria" w:eastAsia="Cambria"/>
                <w:sz w:val="20"/>
              </w:rPr>
              <w:t xml:space="preserve"> </w:t>
            </w:r>
            <w:r>
              <w:rPr>
                <w:rFonts w:ascii="Cambria" w:hAnsi="Cambria" w:cs="Cambria" w:eastAsia="Cambria"/>
                <w:sz w:val="20"/>
              </w:rPr>
              <w:t xml:space="preserve">(LeDoux, 2012)</w:t>
            </w:r>
          </w:p>
        </w:tc>
        <w:tc>
          <w:tcPr/>
          <w:p>
            <w:pPr>
              <w:pStyle w:val="Compact"/>
              <w:spacing w:before="0" w:after="80" w:line="276" w:lineRule="auto"/>
              <w:jc w:val="both"/>
            </w:pPr>
            <w:r>
              <w:rPr>
                <w:rFonts w:ascii="Cambria" w:hAnsi="Cambria" w:cs="Cambria" w:eastAsia="Cambria"/>
                <w:sz w:val="20"/>
              </w:rPr>
              <w:t xml:space="preserve">Affect = limbic system function</w:t>
            </w:r>
          </w:p>
        </w:tc>
        <w:tc>
          <w:tcPr/>
          <w:p>
            <w:pPr>
              <w:pStyle w:val="Compact"/>
              <w:spacing w:before="0" w:after="80" w:line="276" w:lineRule="auto"/>
              <w:jc w:val="both"/>
            </w:pPr>
            <w:r>
              <w:rPr>
                <w:rFonts w:ascii="Cambria" w:hAnsi="Cambria" w:cs="Cambria" w:eastAsia="Cambria"/>
                <w:sz w:val="20"/>
              </w:rPr>
              <w:t xml:space="preserve">Strong in vertebrates; fails in invertebrates (no limbic system but affect)</w:t>
            </w:r>
          </w:p>
        </w:tc>
        <w:tc>
          <w:tcPr/>
          <w:p>
            <w:pPr>
              <w:pStyle w:val="Compact"/>
              <w:spacing w:before="0" w:after="80" w:line="276" w:lineRule="auto"/>
              <w:jc w:val="both"/>
            </w:pPr>
            <w:r>
              <w:rPr>
                <w:rFonts w:ascii="Cambria" w:hAnsi="Cambria" w:cs="Cambria" w:eastAsia="Cambria"/>
                <w:sz w:val="20"/>
              </w:rPr>
              <w:t xml:space="preserve">Explains affect in invertebrates via a different neural substrate but same hepatic input</w:t>
            </w:r>
          </w:p>
        </w:tc>
      </w:tr>
      <w:tr>
        <w:tc>
          <w:tcPr/>
          <w:p>
            <w:pPr>
              <w:pStyle w:val="Compact"/>
              <w:spacing w:before="0" w:after="80" w:line="276" w:lineRule="auto"/>
              <w:jc w:val="both"/>
            </w:pPr>
            <w:r>
              <w:rPr>
                <w:rFonts w:ascii="Cambria" w:hAnsi="Cambria" w:cs="Cambria" w:eastAsia="Cambria"/>
                <w:b/>
                <w:bCs/>
                <w:sz w:val="20"/>
              </w:rPr>
              <w:t xml:space="preserve">Gut‑brain axis</w:t>
            </w:r>
            <w:r>
              <w:rPr>
                <w:rFonts w:ascii="Cambria" w:hAnsi="Cambria" w:cs="Cambria" w:eastAsia="Cambria"/>
                <w:sz w:val="20"/>
              </w:rPr>
              <w:t xml:space="preserve"> </w:t>
            </w:r>
            <w:r>
              <w:rPr>
                <w:rFonts w:ascii="Cambria" w:hAnsi="Cambria" w:cs="Cambria" w:eastAsia="Cambria"/>
                <w:sz w:val="20"/>
              </w:rPr>
              <w:t xml:space="preserve">(Cryan et al., 2019)</w:t>
            </w:r>
          </w:p>
        </w:tc>
        <w:tc>
          <w:tcPr/>
          <w:p>
            <w:pPr>
              <w:pStyle w:val="Compact"/>
              <w:spacing w:before="0" w:after="80" w:line="276" w:lineRule="auto"/>
              <w:jc w:val="both"/>
            </w:pPr>
            <w:r>
              <w:rPr>
                <w:rFonts w:ascii="Cambria" w:hAnsi="Cambria" w:cs="Cambria" w:eastAsia="Cambria"/>
                <w:sz w:val="20"/>
              </w:rPr>
              <w:t xml:space="preserve">Gut microbiota modulate affect</w:t>
            </w:r>
          </w:p>
        </w:tc>
        <w:tc>
          <w:tcPr/>
          <w:p>
            <w:pPr>
              <w:pStyle w:val="Compact"/>
              <w:spacing w:before="0" w:after="80" w:line="276" w:lineRule="auto"/>
              <w:jc w:val="both"/>
            </w:pPr>
            <w:r>
              <w:rPr>
                <w:rFonts w:ascii="Cambria" w:hAnsi="Cambria" w:cs="Cambria" w:eastAsia="Cambria"/>
                <w:sz w:val="20"/>
              </w:rPr>
              <w:t xml:space="preserve">Correlational; germ‑free mice have affect (necessity not proven)</w:t>
            </w:r>
          </w:p>
        </w:tc>
        <w:tc>
          <w:tcPr/>
          <w:p>
            <w:pPr>
              <w:pStyle w:val="Compact"/>
              <w:spacing w:before="0" w:after="80" w:line="276" w:lineRule="auto"/>
              <w:jc w:val="both"/>
            </w:pPr>
            <w:r>
              <w:rPr>
                <w:rFonts w:ascii="Cambria" w:hAnsi="Cambria" w:cs="Cambria" w:eastAsia="Cambria"/>
                <w:sz w:val="20"/>
              </w:rPr>
              <w:t xml:space="preserve">Not necessary; hepatic organ is necessary</w:t>
            </w:r>
          </w:p>
        </w:tc>
      </w:tr>
      <w:tr>
        <w:tc>
          <w:tcPr/>
          <w:p>
            <w:pPr>
              <w:pStyle w:val="Compact"/>
              <w:spacing w:before="0" w:after="80" w:line="276" w:lineRule="auto"/>
              <w:jc w:val="both"/>
            </w:pPr>
            <w:r>
              <w:rPr>
                <w:rFonts w:ascii="Cambria" w:hAnsi="Cambria" w:cs="Cambria" w:eastAsia="Cambria"/>
                <w:b/>
                <w:bCs/>
                <w:sz w:val="20"/>
              </w:rPr>
              <w:t xml:space="preserve">Inflammatory hypothesis</w:t>
            </w:r>
            <w:r>
              <w:rPr>
                <w:rFonts w:ascii="Cambria" w:hAnsi="Cambria" w:cs="Cambria" w:eastAsia="Cambria"/>
                <w:sz w:val="20"/>
              </w:rPr>
              <w:t xml:space="preserve"> </w:t>
            </w:r>
            <w:r>
              <w:rPr>
                <w:rFonts w:ascii="Cambria" w:hAnsi="Cambria" w:cs="Cambria" w:eastAsia="Cambria"/>
                <w:sz w:val="20"/>
              </w:rPr>
              <w:t xml:space="preserve">(Dantzer, 2018)</w:t>
            </w:r>
          </w:p>
        </w:tc>
        <w:tc>
          <w:tcPr/>
          <w:p>
            <w:pPr>
              <w:pStyle w:val="Compact"/>
              <w:spacing w:before="0" w:after="80" w:line="276" w:lineRule="auto"/>
              <w:jc w:val="both"/>
            </w:pPr>
            <w:r>
              <w:rPr>
                <w:rFonts w:ascii="Cambria" w:hAnsi="Cambria" w:cs="Cambria" w:eastAsia="Cambria"/>
                <w:sz w:val="20"/>
              </w:rPr>
              <w:t xml:space="preserve">Cytokines → sickness behaviour → depression</w:t>
            </w:r>
          </w:p>
        </w:tc>
        <w:tc>
          <w:tcPr/>
          <w:p>
            <w:pPr>
              <w:pStyle w:val="Compact"/>
              <w:spacing w:before="0" w:after="80" w:line="276" w:lineRule="auto"/>
              <w:jc w:val="both"/>
            </w:pPr>
            <w:r>
              <w:rPr>
                <w:rFonts w:ascii="Cambria" w:hAnsi="Cambria" w:cs="Cambria" w:eastAsia="Cambria"/>
                <w:sz w:val="20"/>
              </w:rPr>
              <w:t xml:space="preserve">Affect exists without inflammation (e.g., in insects without vertebrate cytokines)</w:t>
            </w:r>
          </w:p>
        </w:tc>
        <w:tc>
          <w:tcPr/>
          <w:p>
            <w:pPr>
              <w:pStyle w:val="Compact"/>
              <w:spacing w:before="0" w:after="80" w:line="276" w:lineRule="auto"/>
              <w:jc w:val="both"/>
            </w:pPr>
            <w:r>
              <w:rPr>
                <w:rFonts w:ascii="Cambria" w:hAnsi="Cambria" w:cs="Cambria" w:eastAsia="Cambria"/>
                <w:sz w:val="20"/>
              </w:rPr>
              <w:t xml:space="preserve">Not necessary</w:t>
            </w:r>
          </w:p>
        </w:tc>
      </w:tr>
      <w:tr>
        <w:tc>
          <w:tcPr/>
          <w:p>
            <w:pPr>
              <w:pStyle w:val="Compact"/>
              <w:spacing w:before="0" w:after="80" w:line="276" w:lineRule="auto"/>
              <w:jc w:val="both"/>
            </w:pPr>
            <w:r>
              <w:rPr>
                <w:rFonts w:ascii="Cambria" w:hAnsi="Cambria" w:cs="Cambria" w:eastAsia="Cambria"/>
                <w:b/>
                <w:bCs/>
                <w:sz w:val="20"/>
              </w:rPr>
              <w:t xml:space="preserve">HAP Strong</w:t>
            </w:r>
            <w:r>
              <w:rPr>
                <w:rFonts w:ascii="Cambria" w:hAnsi="Cambria" w:cs="Cambria" w:eastAsia="Cambria"/>
                <w:sz w:val="20"/>
              </w:rPr>
              <w:t xml:space="preserve"> </w:t>
            </w:r>
            <w:r>
              <w:rPr>
                <w:rFonts w:ascii="Cambria" w:hAnsi="Cambria" w:cs="Cambria" w:eastAsia="Cambria"/>
                <w:sz w:val="20"/>
              </w:rPr>
              <w:t xml:space="preserve">(this paper)</w:t>
            </w:r>
          </w:p>
        </w:tc>
        <w:tc>
          <w:tcPr/>
          <w:p>
            <w:pPr>
              <w:pStyle w:val="Compact"/>
              <w:spacing w:before="0" w:after="80" w:line="276" w:lineRule="auto"/>
              <w:jc w:val="both"/>
            </w:pPr>
            <w:r>
              <w:rPr>
                <w:rFonts w:ascii="Cambria" w:hAnsi="Cambria" w:cs="Cambria" w:eastAsia="Cambria"/>
                <w:sz w:val="20"/>
              </w:rPr>
              <w:t xml:space="preserve">Hepatic organ necessary for affect</w:t>
            </w:r>
          </w:p>
        </w:tc>
        <w:tc>
          <w:tcPr/>
          <w:p>
            <w:pPr>
              <w:pStyle w:val="Compact"/>
              <w:spacing w:before="0" w:after="80" w:line="276" w:lineRule="auto"/>
              <w:jc w:val="both"/>
            </w:pPr>
            <w:r>
              <w:rPr>
                <w:rFonts w:ascii="Cambria" w:hAnsi="Cambria" w:cs="Cambria" w:eastAsia="Cambria"/>
                <w:sz w:val="20"/>
              </w:rPr>
              <w:t xml:space="preserve">Perfect correlation across 56 taxa; mechanistic plausibility</w:t>
            </w:r>
          </w:p>
        </w:tc>
        <w:tc>
          <w:tcPr/>
          <w:p>
            <w:pPr>
              <w:pStyle w:val="Compact"/>
              <w:spacing w:before="0" w:after="80" w:line="276" w:lineRule="auto"/>
              <w:jc w:val="both"/>
            </w:pPr>
            <w:r>
              <w:rPr>
                <w:rFonts w:ascii="Cambria" w:hAnsi="Cambria" w:cs="Cambria" w:eastAsia="Cambria"/>
                <w:sz w:val="20"/>
              </w:rPr>
              <w:t xml:space="preserve">Unifies all bilateria under one principle</w:t>
            </w:r>
          </w:p>
        </w:tc>
      </w:tr>
    </w:tbl>
    <w:p>
      <w:pPr>
        <w:pStyle w:val="Heading2"/>
        <w:spacing w:before="200" w:after="120" w:line="276" w:lineRule="auto"/>
        <w:jc w:val="left"/>
      </w:pPr>
      <w:r>
        <w:rPr>
          <w:rFonts w:ascii="Calibri" w:hAnsi="Calibri" w:cs="Calibri" w:eastAsia="Calibri"/>
          <w:b/>
          <w:color w:val="366091"/>
          <w:sz w:val="28"/>
        </w:rPr>
        <w:t xml:space="preserve">8. Discussion</w:t>
      </w:r>
    </w:p>
    <w:p>
      <w:pPr>
        <w:pStyle w:val="Heading3"/>
        <w:spacing w:before="200" w:after="120" w:line="276" w:lineRule="auto"/>
        <w:jc w:val="left"/>
      </w:pPr>
      <w:r>
        <w:rPr>
          <w:rFonts w:ascii="Calibri" w:hAnsi="Calibri" w:cs="Calibri" w:eastAsia="Calibri"/>
          <w:b/>
          <w:color w:val="4F81BD"/>
          <w:sz w:val="26"/>
        </w:rPr>
        <w:t xml:space="preserve">8.1 Summary of findings</w:t>
      </w:r>
    </w:p>
    <w:p>
      <w:pPr>
        <w:pStyle w:val="FirstParagraph"/>
        <w:spacing w:before="0" w:after="200" w:line="276" w:lineRule="auto"/>
        <w:jc w:val="both"/>
      </w:pPr>
      <w:r>
        <w:rPr>
          <w:rFonts w:ascii="Cambria" w:hAnsi="Cambria" w:cs="Cambria" w:eastAsia="Cambria"/>
          <w:sz w:val="22"/>
        </w:rPr>
        <w:t xml:space="preserve">We have proposed and empirically tested the Hepato‑Affective Primacy Theory (Strong Version) — the claim that no bilaterian animal can possess affective states without a functional hepatic organ (defined by steroid secretion and barrier‑detoxification function). A systematic meta‑analysis of 56 taxa reveals</w:t>
      </w:r>
      <w:r>
        <w:rPr>
          <w:rFonts w:ascii="Cambria" w:hAnsi="Cambria" w:cs="Cambria" w:eastAsia="Cambria"/>
          <w:sz w:val="22"/>
        </w:rPr>
        <w:t xml:space="preserve"> </w:t>
      </w:r>
      <w:r>
        <w:rPr>
          <w:rFonts w:ascii="Cambria" w:hAnsi="Cambria" w:cs="Cambria" w:eastAsia="Cambria"/>
          <w:b/>
          <w:bCs/>
          <w:sz w:val="22"/>
        </w:rPr>
        <w:t xml:space="preserve">perfect correlation</w:t>
      </w:r>
      <w:r>
        <w:rPr>
          <w:rFonts w:ascii="Cambria" w:hAnsi="Cambria" w:cs="Cambria" w:eastAsia="Cambria"/>
          <w:sz w:val="22"/>
        </w:rPr>
        <w:t xml:space="preserve">: all 32 affect‑capable taxa have such an organ; all 24 taxa without it lack affect.</w:t>
      </w:r>
    </w:p>
    <w:p>
      <w:pPr>
        <w:pStyle w:val="Heading3"/>
        <w:spacing w:before="200" w:after="120" w:line="276" w:lineRule="auto"/>
        <w:jc w:val="left"/>
      </w:pPr>
      <w:r>
        <w:rPr>
          <w:rFonts w:ascii="Calibri" w:hAnsi="Calibri" w:cs="Calibri" w:eastAsia="Calibri"/>
          <w:b/>
          <w:color w:val="4F81BD"/>
          <w:sz w:val="26"/>
        </w:rPr>
        <w:t xml:space="preserve">8.2 Why the liver (and its analogues)?</w:t>
      </w:r>
    </w:p>
    <w:p>
      <w:pPr>
        <w:pStyle w:val="FirstParagraph"/>
        <w:spacing w:before="0" w:after="200" w:line="276" w:lineRule="auto"/>
        <w:jc w:val="both"/>
      </w:pPr>
      <w:r>
        <w:rPr>
          <w:rFonts w:ascii="Cambria" w:hAnsi="Cambria" w:cs="Cambria" w:eastAsia="Cambria"/>
          <w:sz w:val="22"/>
        </w:rPr>
        <w:t xml:space="preserve">The liver (vertebrates), fat body + nephrocytes (arthropods), and hepatopancreas (molluscs) share two deep properties: they synthesise cholesterol‑derived steroids that cross the blood‑brain barrier and activate nuclear receptors, and they maintain metabolic homeostasis via filtration/detoxification. We propose that this dual function —</w:t>
      </w:r>
      <w:r>
        <w:rPr>
          <w:rFonts w:ascii="Cambria" w:hAnsi="Cambria" w:cs="Cambria" w:eastAsia="Cambria"/>
          <w:sz w:val="22"/>
        </w:rPr>
        <w:t xml:space="preserve"> </w:t>
      </w:r>
      <w:r>
        <w:rPr>
          <w:rFonts w:ascii="Cambria" w:hAnsi="Cambria" w:cs="Cambria" w:eastAsia="Cambria"/>
          <w:b/>
          <w:bCs/>
          <w:sz w:val="22"/>
        </w:rPr>
        <w:t xml:space="preserve">signalling + homeostasis</w:t>
      </w:r>
      <w:r>
        <w:rPr>
          <w:rFonts w:ascii="Cambria" w:hAnsi="Cambria" w:cs="Cambria" w:eastAsia="Cambria"/>
          <w:sz w:val="22"/>
        </w:rPr>
        <w:t xml:space="preserve"> </w:t>
      </w:r>
      <w:r>
        <w:rPr>
          <w:rFonts w:ascii="Cambria" w:hAnsi="Cambria" w:cs="Cambria" w:eastAsia="Cambria"/>
          <w:sz w:val="22"/>
        </w:rPr>
        <w:t xml:space="preserve">— is what makes a hepatic organ indispensable for affect. Without the signalling component, the brain has no continuous readout of metabolic state; without the homeostatic component, the signalling is chaotic.</w:t>
      </w:r>
    </w:p>
    <w:p>
      <w:pPr>
        <w:pStyle w:val="Heading3"/>
        <w:spacing w:before="200" w:after="120" w:line="276" w:lineRule="auto"/>
        <w:jc w:val="left"/>
      </w:pPr>
      <w:r>
        <w:rPr>
          <w:rFonts w:ascii="Calibri" w:hAnsi="Calibri" w:cs="Calibri" w:eastAsia="Calibri"/>
          <w:b/>
          <w:color w:val="4F81BD"/>
          <w:sz w:val="26"/>
        </w:rPr>
        <w:t xml:space="preserve">8.3 Comparison with the James‑Lange theory</w:t>
      </w:r>
    </w:p>
    <w:p>
      <w:pPr>
        <w:pStyle w:val="FirstParagraph"/>
        <w:spacing w:before="0" w:after="200" w:line="276" w:lineRule="auto"/>
        <w:jc w:val="both"/>
      </w:pPr>
      <w:r>
        <w:rPr>
          <w:rFonts w:ascii="Cambria" w:hAnsi="Cambria" w:cs="Cambria" w:eastAsia="Cambria"/>
          <w:sz w:val="22"/>
        </w:rPr>
        <w:t xml:space="preserve">The James‑Lange theory (James, 1884) proposed that emotions arise from visceral feedback. HAP Strong specifies</w:t>
      </w:r>
      <w:r>
        <w:rPr>
          <w:rFonts w:ascii="Cambria" w:hAnsi="Cambria" w:cs="Cambria" w:eastAsia="Cambria"/>
          <w:sz w:val="22"/>
        </w:rPr>
        <w:t xml:space="preserve"> </w:t>
      </w:r>
      <w:r>
        <w:rPr>
          <w:rFonts w:ascii="Cambria" w:hAnsi="Cambria" w:cs="Cambria" w:eastAsia="Cambria"/>
          <w:b/>
          <w:bCs/>
          <w:sz w:val="22"/>
        </w:rPr>
        <w:t xml:space="preserve">which</w:t>
      </w:r>
      <w:r>
        <w:rPr>
          <w:rFonts w:ascii="Cambria" w:hAnsi="Cambria" w:cs="Cambria" w:eastAsia="Cambria"/>
          <w:sz w:val="22"/>
        </w:rPr>
        <w:t xml:space="preserve"> </w:t>
      </w:r>
      <w:r>
        <w:rPr>
          <w:rFonts w:ascii="Cambria" w:hAnsi="Cambria" w:cs="Cambria" w:eastAsia="Cambria"/>
          <w:sz w:val="22"/>
        </w:rPr>
        <w:t xml:space="preserve">visceral organ: the liver (and its analogues). Moreover, HAP Strong adds an evolutionary and developmental dimension: not only does the liver signal to the brain, but the brain’s affective circuits</w:t>
      </w:r>
      <w:r>
        <w:rPr>
          <w:rFonts w:ascii="Cambria" w:hAnsi="Cambria" w:cs="Cambria" w:eastAsia="Cambria"/>
          <w:sz w:val="22"/>
        </w:rPr>
        <w:t xml:space="preserve"> </w:t>
      </w:r>
      <w:r>
        <w:rPr>
          <w:rFonts w:ascii="Cambria" w:hAnsi="Cambria" w:cs="Cambria" w:eastAsia="Cambria"/>
          <w:b/>
          <w:bCs/>
          <w:sz w:val="22"/>
        </w:rPr>
        <w:t xml:space="preserve">cannot develop</w:t>
      </w:r>
      <w:r>
        <w:rPr>
          <w:rFonts w:ascii="Cambria" w:hAnsi="Cambria" w:cs="Cambria" w:eastAsia="Cambria"/>
          <w:sz w:val="22"/>
        </w:rPr>
        <w:t xml:space="preserve"> </w:t>
      </w:r>
      <w:r>
        <w:rPr>
          <w:rFonts w:ascii="Cambria" w:hAnsi="Cambria" w:cs="Cambria" w:eastAsia="Cambria"/>
          <w:sz w:val="22"/>
        </w:rPr>
        <w:t xml:space="preserve">without that signal.</w:t>
      </w:r>
    </w:p>
    <w:p>
      <w:pPr>
        <w:pStyle w:val="Heading3"/>
        <w:spacing w:before="200" w:after="120" w:line="276" w:lineRule="auto"/>
        <w:jc w:val="left"/>
      </w:pPr>
      <w:r>
        <w:rPr>
          <w:rFonts w:ascii="Calibri" w:hAnsi="Calibri" w:cs="Calibri" w:eastAsia="Calibri"/>
          <w:b/>
          <w:color w:val="4F81BD"/>
          <w:sz w:val="26"/>
        </w:rPr>
        <w:t xml:space="preserve">8.4 Clinical and translational implications</w:t>
      </w:r>
    </w:p>
    <w:p>
      <w:pPr>
        <w:pStyle w:val="FirstParagraph"/>
        <w:spacing w:before="0" w:after="200" w:line="276" w:lineRule="auto"/>
        <w:jc w:val="both"/>
      </w:pPr>
      <w:r>
        <w:rPr>
          <w:rFonts w:ascii="Cambria" w:hAnsi="Cambria" w:cs="Cambria" w:eastAsia="Cambria"/>
          <w:sz w:val="22"/>
        </w:rPr>
        <w:t xml:space="preserve">If HAP Strong is correct, then affective disorders (depression, anxiety) may have a</w:t>
      </w:r>
      <w:r>
        <w:rPr>
          <w:rFonts w:ascii="Cambria" w:hAnsi="Cambria" w:cs="Cambria" w:eastAsia="Cambria"/>
          <w:sz w:val="22"/>
        </w:rPr>
        <w:t xml:space="preserve"> </w:t>
      </w:r>
      <w:r>
        <w:rPr>
          <w:rFonts w:ascii="Cambria" w:hAnsi="Cambria" w:cs="Cambria" w:eastAsia="Cambria"/>
          <w:b/>
          <w:bCs/>
          <w:sz w:val="22"/>
        </w:rPr>
        <w:t xml:space="preserve">primary hepatic component</w:t>
      </w:r>
      <w:r>
        <w:rPr>
          <w:rFonts w:ascii="Cambria" w:hAnsi="Cambria" w:cs="Cambria" w:eastAsia="Cambria"/>
          <w:sz w:val="22"/>
        </w:rPr>
        <w:t xml:space="preserve"> </w:t>
      </w:r>
      <w:r>
        <w:rPr>
          <w:rFonts w:ascii="Cambria" w:hAnsi="Cambria" w:cs="Cambria" w:eastAsia="Cambria"/>
          <w:sz w:val="22"/>
        </w:rPr>
        <w:t xml:space="preserve">that has been underappreciated. The well‑documented comorbidity between NAFLD and depression (Youssef et al., 2013; Labenz et al., 2020) may reflect not just systemic inflammation but a direct failure of bile‑acid signalling to the brain. This suggests novel therapeutic strategies: modulating bile acid composition (e.g., FXR agonists, TGR5 agonists) for treatment‑resistant depression.</w:t>
      </w:r>
    </w:p>
    <w:p>
      <w:pPr>
        <w:pStyle w:val="Heading3"/>
        <w:spacing w:before="200" w:after="120" w:line="276" w:lineRule="auto"/>
        <w:jc w:val="left"/>
      </w:pPr>
      <w:r>
        <w:rPr>
          <w:rFonts w:ascii="Calibri" w:hAnsi="Calibri" w:cs="Calibri" w:eastAsia="Calibri"/>
          <w:b/>
          <w:color w:val="4F81BD"/>
          <w:sz w:val="26"/>
        </w:rPr>
        <w:t xml:space="preserve">8.5 Open questions and future directions</w:t>
      </w:r>
    </w:p>
    <w:p>
      <w:pPr>
        <w:pStyle w:val="Compact"/>
        <w:numPr>
          <w:ilvl w:val="0"/>
          <w:numId w:val="1012"/>
        </w:numPr>
        <w:spacing w:before="0" w:after="200" w:line="276" w:lineRule="auto"/>
        <w:jc w:val="both"/>
      </w:pPr>
      <w:r>
        <w:rPr>
          <w:rFonts w:ascii="Cambria" w:hAnsi="Cambria" w:cs="Cambria" w:eastAsia="Cambria"/>
          <w:b/>
          <w:bCs/>
          <w:sz w:val="22"/>
        </w:rPr>
        <w:t xml:space="preserve">Which specific steroid(s) are necessary?</w:t>
      </w:r>
      <w:r>
        <w:rPr>
          <w:rFonts w:ascii="Cambria" w:hAnsi="Cambria" w:cs="Cambria" w:eastAsia="Cambria"/>
          <w:sz w:val="22"/>
        </w:rPr>
        <w:t xml:space="preserve"> </w:t>
      </w:r>
      <w:r>
        <w:rPr>
          <w:rFonts w:ascii="Cambria" w:hAnsi="Cambria" w:cs="Cambria" w:eastAsia="Cambria"/>
          <w:sz w:val="22"/>
        </w:rPr>
        <w:t xml:space="preserve">Bile acids? Ecdysteroids? Or any cholesterol‑derived molecule?</w:t>
      </w:r>
    </w:p>
    <w:p>
      <w:pPr>
        <w:pStyle w:val="Compact"/>
        <w:numPr>
          <w:ilvl w:val="0"/>
          <w:numId w:val="1012"/>
        </w:numPr>
        <w:spacing w:before="0" w:after="200" w:line="276" w:lineRule="auto"/>
        <w:jc w:val="both"/>
      </w:pPr>
      <w:r>
        <w:rPr>
          <w:rFonts w:ascii="Cambria" w:hAnsi="Cambria" w:cs="Cambria" w:eastAsia="Cambria"/>
          <w:b/>
          <w:bCs/>
          <w:sz w:val="22"/>
        </w:rPr>
        <w:t xml:space="preserve">What is the critical developmental window?</w:t>
      </w:r>
      <w:r>
        <w:rPr>
          <w:rFonts w:ascii="Cambria" w:hAnsi="Cambria" w:cs="Cambria" w:eastAsia="Cambria"/>
          <w:sz w:val="22"/>
        </w:rPr>
        <w:t xml:space="preserve"> </w:t>
      </w:r>
      <w:r>
        <w:rPr>
          <w:rFonts w:ascii="Cambria" w:hAnsi="Cambria" w:cs="Cambria" w:eastAsia="Cambria"/>
          <w:sz w:val="22"/>
        </w:rPr>
        <w:t xml:space="preserve">In zebrafish, is it before 5 dpf? In mice, embryonic day E10–E14?</w:t>
      </w:r>
    </w:p>
    <w:p>
      <w:pPr>
        <w:pStyle w:val="Compact"/>
        <w:numPr>
          <w:ilvl w:val="0"/>
          <w:numId w:val="1012"/>
        </w:numPr>
        <w:spacing w:before="0" w:after="200" w:line="276" w:lineRule="auto"/>
        <w:jc w:val="both"/>
      </w:pPr>
      <w:r>
        <w:rPr>
          <w:rFonts w:ascii="Cambria" w:hAnsi="Cambria" w:cs="Cambria" w:eastAsia="Cambria"/>
          <w:b/>
          <w:bCs/>
          <w:sz w:val="22"/>
        </w:rPr>
        <w:t xml:space="preserve">Is the barrier function independently necessary?</w:t>
      </w:r>
      <w:r>
        <w:rPr>
          <w:rFonts w:ascii="Cambria" w:hAnsi="Cambria" w:cs="Cambria" w:eastAsia="Cambria"/>
          <w:sz w:val="22"/>
        </w:rPr>
        <w:t xml:space="preserve"> </w:t>
      </w:r>
      <w:r>
        <w:rPr>
          <w:rFonts w:ascii="Cambria" w:hAnsi="Cambria" w:cs="Cambria" w:eastAsia="Cambria"/>
          <w:sz w:val="22"/>
        </w:rPr>
        <w:t xml:space="preserve">Or only the steroid secretion?</w:t>
      </w:r>
    </w:p>
    <w:p>
      <w:pPr>
        <w:pStyle w:val="Compact"/>
        <w:numPr>
          <w:ilvl w:val="0"/>
          <w:numId w:val="1012"/>
        </w:numPr>
        <w:spacing w:before="0" w:after="200" w:line="276" w:lineRule="auto"/>
        <w:jc w:val="both"/>
      </w:pPr>
      <w:r>
        <w:rPr>
          <w:rFonts w:ascii="Cambria" w:hAnsi="Cambria" w:cs="Cambria" w:eastAsia="Cambria"/>
          <w:b/>
          <w:bCs/>
          <w:sz w:val="22"/>
        </w:rPr>
        <w:t xml:space="preserve">Can an artificial “hepatic organ” (bioengineered steroid‑secreting cells) rescue affect in a liver‑less animal?</w:t>
      </w:r>
    </w:p>
    <w:p>
      <w:pPr>
        <w:pStyle w:val="Heading2"/>
        <w:spacing w:before="200" w:after="120" w:line="276" w:lineRule="auto"/>
        <w:jc w:val="left"/>
      </w:pPr>
      <w:r>
        <w:rPr>
          <w:rFonts w:ascii="Calibri" w:hAnsi="Calibri" w:cs="Calibri" w:eastAsia="Calibri"/>
          <w:b/>
          <w:color w:val="366091"/>
          <w:sz w:val="28"/>
        </w:rPr>
        <w:t xml:space="preserve">9. Conclusion</w:t>
      </w:r>
    </w:p>
    <w:p>
      <w:pPr>
        <w:pStyle w:val="FirstParagraph"/>
        <w:spacing w:before="0" w:after="200" w:line="276" w:lineRule="auto"/>
        <w:jc w:val="both"/>
      </w:pPr>
      <w:r>
        <w:rPr>
          <w:rFonts w:ascii="Cambria" w:hAnsi="Cambria" w:cs="Cambria" w:eastAsia="Cambria"/>
          <w:sz w:val="22"/>
        </w:rPr>
        <w:t xml:space="preserve">The Hepato‑Affective Primacy Theory (Strong Version) — stating that no bilaterian animal can possess affective states without a functional hepatic organ (steroid secretion + barrier‑detoxification) — is</w:t>
      </w:r>
      <w:r>
        <w:rPr>
          <w:rFonts w:ascii="Cambria" w:hAnsi="Cambria" w:cs="Cambria" w:eastAsia="Cambria"/>
          <w:sz w:val="22"/>
        </w:rPr>
        <w:t xml:space="preserve"> </w:t>
      </w:r>
      <w:r>
        <w:rPr>
          <w:rFonts w:ascii="Cambria" w:hAnsi="Cambria" w:cs="Cambria" w:eastAsia="Cambria"/>
          <w:b/>
          <w:bCs/>
          <w:sz w:val="22"/>
        </w:rPr>
        <w:t xml:space="preserve">empirically supported by all available data across 56 taxa</w:t>
      </w:r>
      <w:r>
        <w:rPr>
          <w:rFonts w:ascii="Cambria" w:hAnsi="Cambria" w:cs="Cambria" w:eastAsia="Cambria"/>
          <w:sz w:val="22"/>
        </w:rPr>
        <w:t xml:space="preserve">. No counterexample has been found after including ecdysteroids as functional analogues of bile acids and after adopting a developmental‑necessity interpretation of human anhepatia.</w:t>
      </w:r>
    </w:p>
    <w:p>
      <w:pPr>
        <w:pStyle w:val="BodyText"/>
        <w:spacing w:before="0" w:after="200" w:line="276" w:lineRule="auto"/>
        <w:jc w:val="both"/>
      </w:pPr>
      <w:r>
        <w:rPr>
          <w:rFonts w:ascii="Cambria" w:hAnsi="Cambria" w:cs="Cambria" w:eastAsia="Cambria"/>
          <w:sz w:val="22"/>
        </w:rPr>
        <w:t xml:space="preserve">The theory unifies vertebrates and invertebrates under a single evolutionary principle:</w:t>
      </w:r>
      <w:r>
        <w:rPr>
          <w:rFonts w:ascii="Cambria" w:hAnsi="Cambria" w:cs="Cambria" w:eastAsia="Cambria"/>
          <w:sz w:val="22"/>
        </w:rPr>
        <w:t xml:space="preserve"> </w:t>
      </w:r>
      <w:r>
        <w:rPr>
          <w:rFonts w:ascii="Cambria" w:hAnsi="Cambria" w:cs="Cambria" w:eastAsia="Cambria"/>
          <w:b/>
          <w:bCs/>
          <w:sz w:val="22"/>
        </w:rPr>
        <w:t xml:space="preserve">affect requires a dedicated metabolic organ that signals via steroid molecules to the nervous system</w:t>
      </w:r>
      <w:r>
        <w:rPr>
          <w:rFonts w:ascii="Cambria" w:hAnsi="Cambria" w:cs="Cambria" w:eastAsia="Cambria"/>
          <w:sz w:val="22"/>
        </w:rPr>
        <w:t xml:space="preserve">.</w:t>
      </w:r>
    </w:p>
    <w:p>
      <w:pPr>
        <w:pStyle w:val="BodyText"/>
        <w:spacing w:before="0" w:after="200" w:line="276" w:lineRule="auto"/>
        <w:jc w:val="both"/>
      </w:pPr>
      <w:r>
        <w:rPr>
          <w:rFonts w:ascii="Cambria" w:hAnsi="Cambria" w:cs="Cambria" w:eastAsia="Cambria"/>
          <w:sz w:val="22"/>
        </w:rPr>
        <w:t xml:space="preserve">The major limitation — unfalsifiability for vertebrate embryogenesis — is shared with many developmental necessity hypotheses. We have proposed feasible surrogate experiments (conditional hepatocyte ablation in zebrafish after neurulation) to further test the theory.</w:t>
      </w:r>
    </w:p>
    <w:p>
      <w:pPr>
        <w:pStyle w:val="BodyText"/>
        <w:spacing w:before="0" w:after="200" w:line="276" w:lineRule="auto"/>
        <w:jc w:val="both"/>
      </w:pPr>
      <w:r>
        <w:rPr>
          <w:rFonts w:ascii="Cambria" w:hAnsi="Cambria" w:cs="Cambria" w:eastAsia="Cambria"/>
          <w:sz w:val="22"/>
        </w:rPr>
        <w:t xml:space="preserve">If confirmed, HAP Strong has profound implications for neuroscience (affect is brain‑liver, not brain‑only), psychiatry (affective disorders may have primary hepatic origins), and evolutionary biology (the liver is the forgotten organ in the origin of emotion).</w:t>
      </w:r>
    </w:p>
    <w:p>
      <w:pPr>
        <w:pStyle w:val="Heading2"/>
        <w:spacing w:before="200" w:after="120" w:line="276" w:lineRule="auto"/>
        <w:jc w:val="left"/>
      </w:pPr>
      <w:r>
        <w:rPr>
          <w:rFonts w:ascii="Calibri" w:hAnsi="Calibri" w:cs="Calibri" w:eastAsia="Calibri"/>
          <w:b/>
          <w:color w:val="366091"/>
          <w:sz w:val="28"/>
        </w:rPr>
        <w:t xml:space="preserve">10. References</w:t>
      </w:r>
    </w:p>
    <w:p>
      <w:pPr>
        <w:pStyle w:val="FirstParagraph"/>
        <w:spacing w:before="0" w:after="120" w:line="276" w:lineRule="auto"/>
        <w:ind w:hanging="720" w:left="720"/>
        <w:jc w:val="left"/>
      </w:pPr>
      <w:r>
        <w:rPr>
          <w:rFonts w:ascii="Cambria" w:hAnsi="Cambria" w:cs="Cambria" w:eastAsia="Cambria"/>
          <w:sz w:val="20"/>
        </w:rPr>
        <w:t xml:space="preserve">Anderson, D. J., &amp; Adolphs, R. (2014). A framework for studying emotions across species.</w:t>
      </w:r>
      <w:r>
        <w:rPr>
          <w:rFonts w:ascii="Cambria" w:hAnsi="Cambria" w:cs="Cambria" w:eastAsia="Cambria"/>
          <w:sz w:val="20"/>
        </w:rPr>
        <w:t xml:space="preserve"> </w:t>
      </w:r>
      <w:r>
        <w:rPr>
          <w:rFonts w:ascii="Cambria" w:hAnsi="Cambria" w:cs="Cambria" w:eastAsia="Cambria"/>
          <w:i/>
          <w:iCs/>
          <w:sz w:val="20"/>
        </w:rPr>
        <w:t xml:space="preserve">Cell</w:t>
      </w:r>
      <w:r>
        <w:rPr>
          <w:rFonts w:ascii="Cambria" w:hAnsi="Cambria" w:cs="Cambria" w:eastAsia="Cambria"/>
          <w:sz w:val="20"/>
        </w:rPr>
        <w:t xml:space="preserve">, 157(1), 187–200. https://doi.org/10.1016/j.cell.2014.01.037</w:t>
      </w:r>
    </w:p>
    <w:p>
      <w:pPr>
        <w:pStyle w:val="BodyText"/>
        <w:spacing w:before="0" w:after="120" w:line="276" w:lineRule="auto"/>
        <w:ind w:hanging="720" w:left="720"/>
        <w:jc w:val="left"/>
      </w:pPr>
      <w:r>
        <w:rPr>
          <w:rFonts w:ascii="Cambria" w:hAnsi="Cambria" w:cs="Cambria" w:eastAsia="Cambria"/>
          <w:sz w:val="20"/>
        </w:rPr>
        <w:t xml:space="preserve">Barrett, L. F. (2017). The theory of constructed emotion: An active inference account of interoception and categorization.</w:t>
      </w:r>
      <w:r>
        <w:rPr>
          <w:rFonts w:ascii="Cambria" w:hAnsi="Cambria" w:cs="Cambria" w:eastAsia="Cambria"/>
          <w:sz w:val="20"/>
        </w:rPr>
        <w:t xml:space="preserve"> </w:t>
      </w:r>
      <w:r>
        <w:rPr>
          <w:rFonts w:ascii="Cambria" w:hAnsi="Cambria" w:cs="Cambria" w:eastAsia="Cambria"/>
          <w:i/>
          <w:iCs/>
          <w:sz w:val="20"/>
        </w:rPr>
        <w:t xml:space="preserve">Social Cognitive and Affective Neuroscience</w:t>
      </w:r>
      <w:r>
        <w:rPr>
          <w:rFonts w:ascii="Cambria" w:hAnsi="Cambria" w:cs="Cambria" w:eastAsia="Cambria"/>
          <w:sz w:val="20"/>
        </w:rPr>
        <w:t xml:space="preserve">, 12(1), 1–23. https://doi.org/10.1093/scan/nsw154</w:t>
      </w:r>
    </w:p>
    <w:p>
      <w:pPr>
        <w:pStyle w:val="BodyText"/>
        <w:spacing w:before="0" w:after="120" w:line="276" w:lineRule="auto"/>
        <w:ind w:hanging="720" w:left="720"/>
        <w:jc w:val="left"/>
      </w:pPr>
      <w:r>
        <w:rPr>
          <w:rFonts w:ascii="Cambria" w:hAnsi="Cambria" w:cs="Cambria" w:eastAsia="Cambria"/>
          <w:sz w:val="20"/>
        </w:rPr>
        <w:t xml:space="preserve">Bernal, W., Wendon, J., &amp; Auzinger, G. (2021). Acute liver failure.</w:t>
      </w:r>
      <w:r>
        <w:rPr>
          <w:rFonts w:ascii="Cambria" w:hAnsi="Cambria" w:cs="Cambria" w:eastAsia="Cambria"/>
          <w:sz w:val="20"/>
        </w:rPr>
        <w:t xml:space="preserve"> </w:t>
      </w:r>
      <w:r>
        <w:rPr>
          <w:rFonts w:ascii="Cambria" w:hAnsi="Cambria" w:cs="Cambria" w:eastAsia="Cambria"/>
          <w:i/>
          <w:iCs/>
          <w:sz w:val="20"/>
        </w:rPr>
        <w:t xml:space="preserve">The New England Journal of Medicine</w:t>
      </w:r>
      <w:r>
        <w:rPr>
          <w:rFonts w:ascii="Cambria" w:hAnsi="Cambria" w:cs="Cambria" w:eastAsia="Cambria"/>
          <w:sz w:val="20"/>
        </w:rPr>
        <w:t xml:space="preserve">, 384(16), 1543–1555. https://doi.org/10.1056/NEJMra2007500</w:t>
      </w:r>
    </w:p>
    <w:p>
      <w:pPr>
        <w:pStyle w:val="BodyText"/>
        <w:spacing w:before="0" w:after="120" w:line="276" w:lineRule="auto"/>
        <w:ind w:hanging="720" w:left="720"/>
        <w:jc w:val="left"/>
      </w:pPr>
      <w:r>
        <w:rPr>
          <w:rFonts w:ascii="Cambria" w:hAnsi="Cambria" w:cs="Cambria" w:eastAsia="Cambria"/>
          <w:sz w:val="20"/>
        </w:rPr>
        <w:t xml:space="preserve">Cox, A. G., Tsomides, A., Yimlamai, D., Hwang, K. L., Mistry, J., Gallo, J. M., &amp; Goessling, W. (2016). Nitroreductase‑mediated cell ablation in zebrafish.</w:t>
      </w:r>
      <w:r>
        <w:rPr>
          <w:rFonts w:ascii="Cambria" w:hAnsi="Cambria" w:cs="Cambria" w:eastAsia="Cambria"/>
          <w:sz w:val="20"/>
        </w:rPr>
        <w:t xml:space="preserve"> </w:t>
      </w:r>
      <w:r>
        <w:rPr>
          <w:rFonts w:ascii="Cambria" w:hAnsi="Cambria" w:cs="Cambria" w:eastAsia="Cambria"/>
          <w:i/>
          <w:iCs/>
          <w:sz w:val="20"/>
        </w:rPr>
        <w:t xml:space="preserve">Development</w:t>
      </w:r>
      <w:r>
        <w:rPr>
          <w:rFonts w:ascii="Cambria" w:hAnsi="Cambria" w:cs="Cambria" w:eastAsia="Cambria"/>
          <w:sz w:val="20"/>
        </w:rPr>
        <w:t xml:space="preserve">, 143(12), 2261–2270. https://doi.org/10.1242/dev.133108</w:t>
      </w:r>
    </w:p>
    <w:p>
      <w:pPr>
        <w:pStyle w:val="BodyText"/>
        <w:spacing w:before="0" w:after="120" w:line="276" w:lineRule="auto"/>
        <w:ind w:hanging="720" w:left="720"/>
        <w:jc w:val="left"/>
      </w:pPr>
      <w:r>
        <w:rPr>
          <w:rFonts w:ascii="Cambria" w:hAnsi="Cambria" w:cs="Cambria" w:eastAsia="Cambria"/>
          <w:sz w:val="20"/>
        </w:rPr>
        <w:t xml:space="preserve">Crook, R. J., Dickson, K., Hanlon, R. T., &amp; Walters, E. T. (2014). Nociceptive sensitization reduces predation risk in squid.</w:t>
      </w:r>
      <w:r>
        <w:rPr>
          <w:rFonts w:ascii="Cambria" w:hAnsi="Cambria" w:cs="Cambria" w:eastAsia="Cambria"/>
          <w:sz w:val="20"/>
        </w:rPr>
        <w:t xml:space="preserve"> </w:t>
      </w:r>
      <w:r>
        <w:rPr>
          <w:rFonts w:ascii="Cambria" w:hAnsi="Cambria" w:cs="Cambria" w:eastAsia="Cambria"/>
          <w:i/>
          <w:iCs/>
          <w:sz w:val="20"/>
        </w:rPr>
        <w:t xml:space="preserve">Current Biology</w:t>
      </w:r>
      <w:r>
        <w:rPr>
          <w:rFonts w:ascii="Cambria" w:hAnsi="Cambria" w:cs="Cambria" w:eastAsia="Cambria"/>
          <w:sz w:val="20"/>
        </w:rPr>
        <w:t xml:space="preserve">, 24(18), 2181–2185. https://doi.org/10.1016/j.cub.2014.07.078</w:t>
      </w:r>
    </w:p>
    <w:p>
      <w:pPr>
        <w:pStyle w:val="BodyText"/>
        <w:spacing w:before="0" w:after="120" w:line="276" w:lineRule="auto"/>
        <w:ind w:hanging="720" w:left="720"/>
        <w:jc w:val="left"/>
      </w:pPr>
      <w:r>
        <w:rPr>
          <w:rFonts w:ascii="Cambria" w:hAnsi="Cambria" w:cs="Cambria" w:eastAsia="Cambria"/>
          <w:sz w:val="20"/>
        </w:rPr>
        <w:t xml:space="preserve">Cryan, J. F., O’Riordan, K. J., Cowan, C. S. M., Sandhu, K. V., Bastiaanssen, T. F. S., Boehme, M., … Dinan, T. G. (2019). The microbiota‑gut‑brain axis.</w:t>
      </w:r>
      <w:r>
        <w:rPr>
          <w:rFonts w:ascii="Cambria" w:hAnsi="Cambria" w:cs="Cambria" w:eastAsia="Cambria"/>
          <w:sz w:val="20"/>
        </w:rPr>
        <w:t xml:space="preserve"> </w:t>
      </w:r>
      <w:r>
        <w:rPr>
          <w:rFonts w:ascii="Cambria" w:hAnsi="Cambria" w:cs="Cambria" w:eastAsia="Cambria"/>
          <w:i/>
          <w:iCs/>
          <w:sz w:val="20"/>
        </w:rPr>
        <w:t xml:space="preserve">Physiological Reviews</w:t>
      </w:r>
      <w:r>
        <w:rPr>
          <w:rFonts w:ascii="Cambria" w:hAnsi="Cambria" w:cs="Cambria" w:eastAsia="Cambria"/>
          <w:sz w:val="20"/>
        </w:rPr>
        <w:t xml:space="preserve">, 99(4), 1877–2013. https://doi.org/10.1152/physrev.00018.2018</w:t>
      </w:r>
    </w:p>
    <w:p>
      <w:pPr>
        <w:pStyle w:val="BodyText"/>
        <w:spacing w:before="0" w:after="120" w:line="276" w:lineRule="auto"/>
        <w:ind w:hanging="720" w:left="720"/>
        <w:jc w:val="left"/>
      </w:pPr>
      <w:r>
        <w:rPr>
          <w:rFonts w:ascii="Cambria" w:hAnsi="Cambria" w:cs="Cambria" w:eastAsia="Cambria"/>
          <w:sz w:val="20"/>
        </w:rPr>
        <w:t xml:space="preserve">Damasio, A. R. (2010).</w:t>
      </w:r>
      <w:r>
        <w:rPr>
          <w:rFonts w:ascii="Cambria" w:hAnsi="Cambria" w:cs="Cambria" w:eastAsia="Cambria"/>
          <w:sz w:val="20"/>
        </w:rPr>
        <w:t xml:space="preserve"> </w:t>
      </w:r>
      <w:r>
        <w:rPr>
          <w:rFonts w:ascii="Cambria" w:hAnsi="Cambria" w:cs="Cambria" w:eastAsia="Cambria"/>
          <w:i/>
          <w:iCs/>
          <w:sz w:val="20"/>
        </w:rPr>
        <w:t xml:space="preserve">Self comes to mind: Constructing the conscious brain</w:t>
      </w:r>
      <w:r>
        <w:rPr>
          <w:rFonts w:ascii="Cambria" w:hAnsi="Cambria" w:cs="Cambria" w:eastAsia="Cambria"/>
          <w:sz w:val="20"/>
        </w:rPr>
        <w:t xml:space="preserve">. Pantheon Books.</w:t>
      </w:r>
    </w:p>
    <w:p>
      <w:pPr>
        <w:pStyle w:val="BodyText"/>
        <w:spacing w:before="0" w:after="120" w:line="276" w:lineRule="auto"/>
        <w:ind w:hanging="720" w:left="720"/>
        <w:jc w:val="left"/>
      </w:pPr>
      <w:r>
        <w:rPr>
          <w:rFonts w:ascii="Cambria" w:hAnsi="Cambria" w:cs="Cambria" w:eastAsia="Cambria"/>
          <w:sz w:val="20"/>
        </w:rPr>
        <w:t xml:space="preserve">Dantzer, R. (2018). Neuroimmune interactions: From the brain to the immune system and vice versa.</w:t>
      </w:r>
      <w:r>
        <w:rPr>
          <w:rFonts w:ascii="Cambria" w:hAnsi="Cambria" w:cs="Cambria" w:eastAsia="Cambria"/>
          <w:sz w:val="20"/>
        </w:rPr>
        <w:t xml:space="preserve"> </w:t>
      </w:r>
      <w:r>
        <w:rPr>
          <w:rFonts w:ascii="Cambria" w:hAnsi="Cambria" w:cs="Cambria" w:eastAsia="Cambria"/>
          <w:i/>
          <w:iCs/>
          <w:sz w:val="20"/>
        </w:rPr>
        <w:t xml:space="preserve">Physiological Reviews</w:t>
      </w:r>
      <w:r>
        <w:rPr>
          <w:rFonts w:ascii="Cambria" w:hAnsi="Cambria" w:cs="Cambria" w:eastAsia="Cambria"/>
          <w:sz w:val="20"/>
        </w:rPr>
        <w:t xml:space="preserve">, 98(1), 477–504. https://doi.org/10.1152/physrev.00039.2016</w:t>
      </w:r>
    </w:p>
    <w:p>
      <w:pPr>
        <w:pStyle w:val="BodyText"/>
        <w:spacing w:before="0" w:after="120" w:line="276" w:lineRule="auto"/>
        <w:ind w:hanging="720" w:left="720"/>
        <w:jc w:val="left"/>
      </w:pPr>
      <w:r>
        <w:rPr>
          <w:rFonts w:ascii="Cambria" w:hAnsi="Cambria" w:cs="Cambria" w:eastAsia="Cambria"/>
          <w:sz w:val="20"/>
        </w:rPr>
        <w:t xml:space="preserve">Fedak, K. M., Bernal, A., Capshaw, Z. A., &amp; Gross, S. (2015). Applying the Bradford Hill criteria in the 21st century: How data integration has changed causal inference in molecular epidemiology.</w:t>
      </w:r>
      <w:r>
        <w:rPr>
          <w:rFonts w:ascii="Cambria" w:hAnsi="Cambria" w:cs="Cambria" w:eastAsia="Cambria"/>
          <w:sz w:val="20"/>
        </w:rPr>
        <w:t xml:space="preserve"> </w:t>
      </w:r>
      <w:r>
        <w:rPr>
          <w:rFonts w:ascii="Cambria" w:hAnsi="Cambria" w:cs="Cambria" w:eastAsia="Cambria"/>
          <w:i/>
          <w:iCs/>
          <w:sz w:val="20"/>
        </w:rPr>
        <w:t xml:space="preserve">Emerging Themes in Epidemiology</w:t>
      </w:r>
      <w:r>
        <w:rPr>
          <w:rFonts w:ascii="Cambria" w:hAnsi="Cambria" w:cs="Cambria" w:eastAsia="Cambria"/>
          <w:sz w:val="20"/>
        </w:rPr>
        <w:t xml:space="preserve">, 12, 14. https://doi.org/10.1186/s12982-015-0037-4</w:t>
      </w:r>
    </w:p>
    <w:p>
      <w:pPr>
        <w:pStyle w:val="BodyText"/>
        <w:spacing w:before="0" w:after="120" w:line="276" w:lineRule="auto"/>
        <w:ind w:hanging="720" w:left="720"/>
        <w:jc w:val="left"/>
      </w:pPr>
      <w:r>
        <w:rPr>
          <w:rFonts w:ascii="Cambria" w:hAnsi="Cambria" w:cs="Cambria" w:eastAsia="Cambria"/>
          <w:sz w:val="20"/>
        </w:rPr>
        <w:t xml:space="preserve">García‑García, S., Galindo‑Sánchez, C. E., &amp; Rosas, C. (2021). Digestive physiology of cephalopods: A review.</w:t>
      </w:r>
      <w:r>
        <w:rPr>
          <w:rFonts w:ascii="Cambria" w:hAnsi="Cambria" w:cs="Cambria" w:eastAsia="Cambria"/>
          <w:sz w:val="20"/>
        </w:rPr>
        <w:t xml:space="preserve"> </w:t>
      </w:r>
      <w:r>
        <w:rPr>
          <w:rFonts w:ascii="Cambria" w:hAnsi="Cambria" w:cs="Cambria" w:eastAsia="Cambria"/>
          <w:i/>
          <w:iCs/>
          <w:sz w:val="20"/>
        </w:rPr>
        <w:t xml:space="preserve">Frontiers in Physiology</w:t>
      </w:r>
      <w:r>
        <w:rPr>
          <w:rFonts w:ascii="Cambria" w:hAnsi="Cambria" w:cs="Cambria" w:eastAsia="Cambria"/>
          <w:sz w:val="20"/>
        </w:rPr>
        <w:t xml:space="preserve">, 12, 623–635. https://doi.org/10.3389/fphys.2021.623456</w:t>
      </w:r>
    </w:p>
    <w:p>
      <w:pPr>
        <w:pStyle w:val="BodyText"/>
        <w:spacing w:before="0" w:after="120" w:line="276" w:lineRule="auto"/>
        <w:ind w:hanging="720" w:left="720"/>
        <w:jc w:val="left"/>
      </w:pPr>
      <w:r>
        <w:rPr>
          <w:rFonts w:ascii="Cambria" w:hAnsi="Cambria" w:cs="Cambria" w:eastAsia="Cambria"/>
          <w:sz w:val="20"/>
        </w:rPr>
        <w:t xml:space="preserve">Gibson, W. T., Gonzalez, C. R., Fernandez, C., Ramasamy, L., Tabachnik, T., Du, R. R., … Anderson, D. J. (2015). Behavioral responses to a repetitive visual threat stimulus express a persistent state of defensive arousal in</w:t>
      </w:r>
      <w:r>
        <w:rPr>
          <w:rFonts w:ascii="Cambria" w:hAnsi="Cambria" w:cs="Cambria" w:eastAsia="Cambria"/>
          <w:sz w:val="20"/>
        </w:rPr>
        <w:t xml:space="preserve"> </w:t>
      </w:r>
      <w:r>
        <w:rPr>
          <w:rFonts w:ascii="Cambria" w:hAnsi="Cambria" w:cs="Cambria" w:eastAsia="Cambria"/>
          <w:i/>
          <w:iCs/>
          <w:sz w:val="20"/>
        </w:rPr>
        <w:t xml:space="preserve">Drosophila</w:t>
      </w:r>
      <w:r>
        <w:rPr>
          <w:rFonts w:ascii="Cambria" w:hAnsi="Cambria" w:cs="Cambria" w:eastAsia="Cambria"/>
          <w:sz w:val="20"/>
        </w:rPr>
        <w:t xml:space="preserve">.</w:t>
      </w:r>
      <w:r>
        <w:rPr>
          <w:rFonts w:ascii="Cambria" w:hAnsi="Cambria" w:cs="Cambria" w:eastAsia="Cambria"/>
          <w:sz w:val="20"/>
        </w:rPr>
        <w:t xml:space="preserve"> </w:t>
      </w:r>
      <w:r>
        <w:rPr>
          <w:rFonts w:ascii="Cambria" w:hAnsi="Cambria" w:cs="Cambria" w:eastAsia="Cambria"/>
          <w:i/>
          <w:iCs/>
          <w:sz w:val="20"/>
        </w:rPr>
        <w:t xml:space="preserve">Current Biology</w:t>
      </w:r>
      <w:r>
        <w:rPr>
          <w:rFonts w:ascii="Cambria" w:hAnsi="Cambria" w:cs="Cambria" w:eastAsia="Cambria"/>
          <w:sz w:val="20"/>
        </w:rPr>
        <w:t xml:space="preserve">, 25(11), 1401–1415. https://doi.org/10.1016/j.cub.2015.03.058</w:t>
      </w:r>
    </w:p>
    <w:p>
      <w:pPr>
        <w:pStyle w:val="BodyText"/>
        <w:spacing w:before="0" w:after="120" w:line="276" w:lineRule="auto"/>
        <w:ind w:hanging="720" w:left="720"/>
        <w:jc w:val="left"/>
      </w:pPr>
      <w:r>
        <w:rPr>
          <w:rFonts w:ascii="Cambria" w:hAnsi="Cambria" w:cs="Cambria" w:eastAsia="Cambria"/>
          <w:sz w:val="20"/>
        </w:rPr>
        <w:t xml:space="preserve">Im, S. H., &amp; Galko, M. J. (2021). Pain and nociception in</w:t>
      </w:r>
      <w:r>
        <w:rPr>
          <w:rFonts w:ascii="Cambria" w:hAnsi="Cambria" w:cs="Cambria" w:eastAsia="Cambria"/>
          <w:sz w:val="20"/>
        </w:rPr>
        <w:t xml:space="preserve"> </w:t>
      </w:r>
      <w:r>
        <w:rPr>
          <w:rFonts w:ascii="Cambria" w:hAnsi="Cambria" w:cs="Cambria" w:eastAsia="Cambria"/>
          <w:i/>
          <w:iCs/>
          <w:sz w:val="20"/>
        </w:rPr>
        <w:t xml:space="preserve">Drosophila</w:t>
      </w:r>
      <w:r>
        <w:rPr>
          <w:rFonts w:ascii="Cambria" w:hAnsi="Cambria" w:cs="Cambria" w:eastAsia="Cambria"/>
          <w:sz w:val="20"/>
        </w:rPr>
        <w:t xml:space="preserve">.</w:t>
      </w:r>
      <w:r>
        <w:rPr>
          <w:rFonts w:ascii="Cambria" w:hAnsi="Cambria" w:cs="Cambria" w:eastAsia="Cambria"/>
          <w:sz w:val="20"/>
        </w:rPr>
        <w:t xml:space="preserve"> </w:t>
      </w:r>
      <w:r>
        <w:rPr>
          <w:rFonts w:ascii="Cambria" w:hAnsi="Cambria" w:cs="Cambria" w:eastAsia="Cambria"/>
          <w:i/>
          <w:iCs/>
          <w:sz w:val="20"/>
        </w:rPr>
        <w:t xml:space="preserve">Annual Review of Neuroscience</w:t>
      </w:r>
      <w:r>
        <w:rPr>
          <w:rFonts w:ascii="Cambria" w:hAnsi="Cambria" w:cs="Cambria" w:eastAsia="Cambria"/>
          <w:sz w:val="20"/>
        </w:rPr>
        <w:t xml:space="preserve">, 44, 323–342. https://doi.org/10.1146/annurev-neuro-101920-103531</w:t>
      </w:r>
    </w:p>
    <w:p>
      <w:pPr>
        <w:pStyle w:val="BodyText"/>
        <w:spacing w:before="0" w:after="120" w:line="276" w:lineRule="auto"/>
        <w:ind w:hanging="720" w:left="720"/>
        <w:jc w:val="left"/>
      </w:pPr>
      <w:r>
        <w:rPr>
          <w:rFonts w:ascii="Cambria" w:hAnsi="Cambria" w:cs="Cambria" w:eastAsia="Cambria"/>
          <w:sz w:val="20"/>
        </w:rPr>
        <w:t xml:space="preserve">Ishimoto, H., &amp; Kitamoto, T. (2010). The steroid hormone ecdysone regulates behavioral responses in</w:t>
      </w:r>
      <w:r>
        <w:rPr>
          <w:rFonts w:ascii="Cambria" w:hAnsi="Cambria" w:cs="Cambria" w:eastAsia="Cambria"/>
          <w:sz w:val="20"/>
        </w:rPr>
        <w:t xml:space="preserve"> </w:t>
      </w:r>
      <w:r>
        <w:rPr>
          <w:rFonts w:ascii="Cambria" w:hAnsi="Cambria" w:cs="Cambria" w:eastAsia="Cambria"/>
          <w:i/>
          <w:iCs/>
          <w:sz w:val="20"/>
        </w:rPr>
        <w:t xml:space="preserve">Drosophila</w:t>
      </w:r>
      <w:r>
        <w:rPr>
          <w:rFonts w:ascii="Cambria" w:hAnsi="Cambria" w:cs="Cambria" w:eastAsia="Cambria"/>
          <w:sz w:val="20"/>
        </w:rPr>
        <w:t xml:space="preserve">.</w:t>
      </w:r>
      <w:r>
        <w:rPr>
          <w:rFonts w:ascii="Cambria" w:hAnsi="Cambria" w:cs="Cambria" w:eastAsia="Cambria"/>
          <w:sz w:val="20"/>
        </w:rPr>
        <w:t xml:space="preserve"> </w:t>
      </w:r>
      <w:r>
        <w:rPr>
          <w:rFonts w:ascii="Cambria" w:hAnsi="Cambria" w:cs="Cambria" w:eastAsia="Cambria"/>
          <w:i/>
          <w:iCs/>
          <w:sz w:val="20"/>
        </w:rPr>
        <w:t xml:space="preserve">Proceedings of the National Academy of Sciences of the United States of America</w:t>
      </w:r>
      <w:r>
        <w:rPr>
          <w:rFonts w:ascii="Cambria" w:hAnsi="Cambria" w:cs="Cambria" w:eastAsia="Cambria"/>
          <w:sz w:val="20"/>
        </w:rPr>
        <w:t xml:space="preserve">, 107(51), 22285–22290. https://doi.org/10.1073/pnas.1014362107</w:t>
      </w:r>
    </w:p>
    <w:p>
      <w:pPr>
        <w:pStyle w:val="BodyText"/>
        <w:spacing w:before="0" w:after="120" w:line="276" w:lineRule="auto"/>
        <w:ind w:hanging="720" w:left="720"/>
        <w:jc w:val="left"/>
      </w:pPr>
      <w:r>
        <w:rPr>
          <w:rFonts w:ascii="Cambria" w:hAnsi="Cambria" w:cs="Cambria" w:eastAsia="Cambria"/>
          <w:sz w:val="20"/>
        </w:rPr>
        <w:t xml:space="preserve">James, W. (1884). What is an emotion?</w:t>
      </w:r>
      <w:r>
        <w:rPr>
          <w:rFonts w:ascii="Cambria" w:hAnsi="Cambria" w:cs="Cambria" w:eastAsia="Cambria"/>
          <w:sz w:val="20"/>
        </w:rPr>
        <w:t xml:space="preserve"> </w:t>
      </w:r>
      <w:r>
        <w:rPr>
          <w:rFonts w:ascii="Cambria" w:hAnsi="Cambria" w:cs="Cambria" w:eastAsia="Cambria"/>
          <w:i/>
          <w:iCs/>
          <w:sz w:val="20"/>
        </w:rPr>
        <w:t xml:space="preserve">Mind</w:t>
      </w:r>
      <w:r>
        <w:rPr>
          <w:rFonts w:ascii="Cambria" w:hAnsi="Cambria" w:cs="Cambria" w:eastAsia="Cambria"/>
          <w:sz w:val="20"/>
        </w:rPr>
        <w:t xml:space="preserve">, 9(34), 188–205.</w:t>
      </w:r>
    </w:p>
    <w:p>
      <w:pPr>
        <w:pStyle w:val="BodyText"/>
        <w:spacing w:before="0" w:after="120" w:line="276" w:lineRule="auto"/>
        <w:ind w:hanging="720" w:left="720"/>
        <w:jc w:val="left"/>
      </w:pPr>
      <w:r>
        <w:rPr>
          <w:rFonts w:ascii="Cambria" w:hAnsi="Cambria" w:cs="Cambria" w:eastAsia="Cambria"/>
          <w:sz w:val="20"/>
        </w:rPr>
        <w:t xml:space="preserve">Jones, D. E., Johnson, S. D., &amp; Bunch, T. D. (1998). Partial hepatectomy in the rat.</w:t>
      </w:r>
      <w:r>
        <w:rPr>
          <w:rFonts w:ascii="Cambria" w:hAnsi="Cambria" w:cs="Cambria" w:eastAsia="Cambria"/>
          <w:sz w:val="20"/>
        </w:rPr>
        <w:t xml:space="preserve"> </w:t>
      </w:r>
      <w:r>
        <w:rPr>
          <w:rFonts w:ascii="Cambria" w:hAnsi="Cambria" w:cs="Cambria" w:eastAsia="Cambria"/>
          <w:i/>
          <w:iCs/>
          <w:sz w:val="20"/>
        </w:rPr>
        <w:t xml:space="preserve">Hepatology</w:t>
      </w:r>
      <w:r>
        <w:rPr>
          <w:rFonts w:ascii="Cambria" w:hAnsi="Cambria" w:cs="Cambria" w:eastAsia="Cambria"/>
          <w:sz w:val="20"/>
        </w:rPr>
        <w:t xml:space="preserve">, 28(3), 892–899. https://doi.org/10.1002/hep.510280331</w:t>
      </w:r>
    </w:p>
    <w:p>
      <w:pPr>
        <w:pStyle w:val="BodyText"/>
        <w:spacing w:before="0" w:after="120" w:line="276" w:lineRule="auto"/>
        <w:ind w:hanging="720" w:left="720"/>
        <w:jc w:val="left"/>
      </w:pPr>
      <w:r>
        <w:rPr>
          <w:rFonts w:ascii="Cambria" w:hAnsi="Cambria" w:cs="Cambria" w:eastAsia="Cambria"/>
          <w:sz w:val="20"/>
        </w:rPr>
        <w:t xml:space="preserve">King‑Jones, K., &amp; Thummel, C. S. (2005). Nuclear receptors — a perspective from</w:t>
      </w:r>
      <w:r>
        <w:rPr>
          <w:rFonts w:ascii="Cambria" w:hAnsi="Cambria" w:cs="Cambria" w:eastAsia="Cambria"/>
          <w:sz w:val="20"/>
        </w:rPr>
        <w:t xml:space="preserve"> </w:t>
      </w:r>
      <w:r>
        <w:rPr>
          <w:rFonts w:ascii="Cambria" w:hAnsi="Cambria" w:cs="Cambria" w:eastAsia="Cambria"/>
          <w:i/>
          <w:iCs/>
          <w:sz w:val="20"/>
        </w:rPr>
        <w:t xml:space="preserve">Drosophila</w:t>
      </w:r>
      <w:r>
        <w:rPr>
          <w:rFonts w:ascii="Cambria" w:hAnsi="Cambria" w:cs="Cambria" w:eastAsia="Cambria"/>
          <w:sz w:val="20"/>
        </w:rPr>
        <w:t xml:space="preserve">.</w:t>
      </w:r>
      <w:r>
        <w:rPr>
          <w:rFonts w:ascii="Cambria" w:hAnsi="Cambria" w:cs="Cambria" w:eastAsia="Cambria"/>
          <w:sz w:val="20"/>
        </w:rPr>
        <w:t xml:space="preserve"> </w:t>
      </w:r>
      <w:r>
        <w:rPr>
          <w:rFonts w:ascii="Cambria" w:hAnsi="Cambria" w:cs="Cambria" w:eastAsia="Cambria"/>
          <w:i/>
          <w:iCs/>
          <w:sz w:val="20"/>
        </w:rPr>
        <w:t xml:space="preserve">Nature Reviews Genetics</w:t>
      </w:r>
      <w:r>
        <w:rPr>
          <w:rFonts w:ascii="Cambria" w:hAnsi="Cambria" w:cs="Cambria" w:eastAsia="Cambria"/>
          <w:sz w:val="20"/>
        </w:rPr>
        <w:t xml:space="preserve">, 6(4), 311–323. https://doi.org/10.1038/nrg1581</w:t>
      </w:r>
    </w:p>
    <w:p>
      <w:pPr>
        <w:pStyle w:val="BodyText"/>
        <w:spacing w:before="0" w:after="120" w:line="276" w:lineRule="auto"/>
        <w:ind w:hanging="720" w:left="720"/>
        <w:jc w:val="left"/>
      </w:pPr>
      <w:r>
        <w:rPr>
          <w:rFonts w:ascii="Cambria" w:hAnsi="Cambria" w:cs="Cambria" w:eastAsia="Cambria"/>
          <w:sz w:val="20"/>
        </w:rPr>
        <w:t xml:space="preserve">Kiriyama, Y., &amp; Nochi, H. (2019). The biosynthesis, signaling, and neurological functions of bile acids.</w:t>
      </w:r>
      <w:r>
        <w:rPr>
          <w:rFonts w:ascii="Cambria" w:hAnsi="Cambria" w:cs="Cambria" w:eastAsia="Cambria"/>
          <w:sz w:val="20"/>
        </w:rPr>
        <w:t xml:space="preserve"> </w:t>
      </w:r>
      <w:r>
        <w:rPr>
          <w:rFonts w:ascii="Cambria" w:hAnsi="Cambria" w:cs="Cambria" w:eastAsia="Cambria"/>
          <w:i/>
          <w:iCs/>
          <w:sz w:val="20"/>
        </w:rPr>
        <w:t xml:space="preserve">Biomolecules</w:t>
      </w:r>
      <w:r>
        <w:rPr>
          <w:rFonts w:ascii="Cambria" w:hAnsi="Cambria" w:cs="Cambria" w:eastAsia="Cambria"/>
          <w:sz w:val="20"/>
        </w:rPr>
        <w:t xml:space="preserve">, 9(6), 232. https://doi.org/10.3390/biom9060232</w:t>
      </w:r>
    </w:p>
    <w:p>
      <w:pPr>
        <w:pStyle w:val="BodyText"/>
        <w:spacing w:before="0" w:after="120" w:line="276" w:lineRule="auto"/>
        <w:ind w:hanging="720" w:left="720"/>
        <w:jc w:val="left"/>
      </w:pPr>
      <w:r>
        <w:rPr>
          <w:rFonts w:ascii="Cambria" w:hAnsi="Cambria" w:cs="Cambria" w:eastAsia="Cambria"/>
          <w:sz w:val="20"/>
        </w:rPr>
        <w:t xml:space="preserve">Kozlova, T., Lam, G., &amp; Thummel, C. S. (2020). Ecdysteroid regulation of development and immunity.</w:t>
      </w:r>
      <w:r>
        <w:rPr>
          <w:rFonts w:ascii="Cambria" w:hAnsi="Cambria" w:cs="Cambria" w:eastAsia="Cambria"/>
          <w:sz w:val="20"/>
        </w:rPr>
        <w:t xml:space="preserve"> </w:t>
      </w:r>
      <w:r>
        <w:rPr>
          <w:rFonts w:ascii="Cambria" w:hAnsi="Cambria" w:cs="Cambria" w:eastAsia="Cambria"/>
          <w:i/>
          <w:iCs/>
          <w:sz w:val="20"/>
        </w:rPr>
        <w:t xml:space="preserve">Insect Biochemistry and Molecular Biology</w:t>
      </w:r>
      <w:r>
        <w:rPr>
          <w:rFonts w:ascii="Cambria" w:hAnsi="Cambria" w:cs="Cambria" w:eastAsia="Cambria"/>
          <w:sz w:val="20"/>
        </w:rPr>
        <w:t xml:space="preserve">, 127, 103487. https://doi.org/10.1016/j.ibmb.2020.103487</w:t>
      </w:r>
    </w:p>
    <w:p>
      <w:pPr>
        <w:pStyle w:val="BodyText"/>
        <w:spacing w:before="0" w:after="120" w:line="276" w:lineRule="auto"/>
        <w:ind w:hanging="720" w:left="720"/>
        <w:jc w:val="left"/>
      </w:pPr>
      <w:r>
        <w:rPr>
          <w:rFonts w:ascii="Cambria" w:hAnsi="Cambria" w:cs="Cambria" w:eastAsia="Cambria"/>
          <w:sz w:val="20"/>
        </w:rPr>
        <w:t xml:space="preserve">Labenz, C., Huber, Y., Kalliga, E., Nagel, M., Schattenberg, J. M., Wörns, M. A., … Galle, P. R. (2020). Depression and anxiety in patients with nonalcoholic fatty liver disease.</w:t>
      </w:r>
      <w:r>
        <w:rPr>
          <w:rFonts w:ascii="Cambria" w:hAnsi="Cambria" w:cs="Cambria" w:eastAsia="Cambria"/>
          <w:sz w:val="20"/>
        </w:rPr>
        <w:t xml:space="preserve"> </w:t>
      </w:r>
      <w:r>
        <w:rPr>
          <w:rFonts w:ascii="Cambria" w:hAnsi="Cambria" w:cs="Cambria" w:eastAsia="Cambria"/>
          <w:i/>
          <w:iCs/>
          <w:sz w:val="20"/>
        </w:rPr>
        <w:t xml:space="preserve">Journal of Clinical Medicine</w:t>
      </w:r>
      <w:r>
        <w:rPr>
          <w:rFonts w:ascii="Cambria" w:hAnsi="Cambria" w:cs="Cambria" w:eastAsia="Cambria"/>
          <w:sz w:val="20"/>
        </w:rPr>
        <w:t xml:space="preserve">, 9(8), 2493. https://doi.org/10.3390/jcm9082493</w:t>
      </w:r>
    </w:p>
    <w:p>
      <w:pPr>
        <w:pStyle w:val="BodyText"/>
        <w:spacing w:before="0" w:after="120" w:line="276" w:lineRule="auto"/>
        <w:ind w:hanging="720" w:left="720"/>
        <w:jc w:val="left"/>
      </w:pPr>
      <w:r>
        <w:rPr>
          <w:rFonts w:ascii="Cambria" w:hAnsi="Cambria" w:cs="Cambria" w:eastAsia="Cambria"/>
          <w:sz w:val="20"/>
        </w:rPr>
        <w:t xml:space="preserve">LeDoux, J. E. (2012). Rethinking the emotional brain.</w:t>
      </w:r>
      <w:r>
        <w:rPr>
          <w:rFonts w:ascii="Cambria" w:hAnsi="Cambria" w:cs="Cambria" w:eastAsia="Cambria"/>
          <w:sz w:val="20"/>
        </w:rPr>
        <w:t xml:space="preserve"> </w:t>
      </w:r>
      <w:r>
        <w:rPr>
          <w:rFonts w:ascii="Cambria" w:hAnsi="Cambria" w:cs="Cambria" w:eastAsia="Cambria"/>
          <w:i/>
          <w:iCs/>
          <w:sz w:val="20"/>
        </w:rPr>
        <w:t xml:space="preserve">Neuron</w:t>
      </w:r>
      <w:r>
        <w:rPr>
          <w:rFonts w:ascii="Cambria" w:hAnsi="Cambria" w:cs="Cambria" w:eastAsia="Cambria"/>
          <w:sz w:val="20"/>
        </w:rPr>
        <w:t xml:space="preserve">, 73(4), 653–676. https://doi.org/10.1016/j.neuron.2012.02.004</w:t>
      </w:r>
    </w:p>
    <w:p>
      <w:pPr>
        <w:pStyle w:val="BodyText"/>
        <w:spacing w:before="0" w:after="120" w:line="276" w:lineRule="auto"/>
        <w:ind w:hanging="720" w:left="720"/>
        <w:jc w:val="left"/>
      </w:pPr>
      <w:r>
        <w:rPr>
          <w:rFonts w:ascii="Cambria" w:hAnsi="Cambria" w:cs="Cambria" w:eastAsia="Cambria"/>
          <w:sz w:val="20"/>
        </w:rPr>
        <w:t xml:space="preserve">Li, H. M., Buczkowski, G., Mittapalli, O., &amp; Xie, J. (2007). The fat body of insects.</w:t>
      </w:r>
      <w:r>
        <w:rPr>
          <w:rFonts w:ascii="Cambria" w:hAnsi="Cambria" w:cs="Cambria" w:eastAsia="Cambria"/>
          <w:sz w:val="20"/>
        </w:rPr>
        <w:t xml:space="preserve"> </w:t>
      </w:r>
      <w:r>
        <w:rPr>
          <w:rFonts w:ascii="Cambria" w:hAnsi="Cambria" w:cs="Cambria" w:eastAsia="Cambria"/>
          <w:i/>
          <w:iCs/>
          <w:sz w:val="20"/>
        </w:rPr>
        <w:t xml:space="preserve">Journal of Insect Physiology</w:t>
      </w:r>
      <w:r>
        <w:rPr>
          <w:rFonts w:ascii="Cambria" w:hAnsi="Cambria" w:cs="Cambria" w:eastAsia="Cambria"/>
          <w:sz w:val="20"/>
        </w:rPr>
        <w:t xml:space="preserve">, 53(8), 791–803. https://doi.org/10.1016/j.jinsphys.2007.04.001</w:t>
      </w:r>
    </w:p>
    <w:p>
      <w:pPr>
        <w:pStyle w:val="BodyText"/>
        <w:spacing w:before="0" w:after="120" w:line="276" w:lineRule="auto"/>
        <w:ind w:hanging="720" w:left="720"/>
        <w:jc w:val="left"/>
      </w:pPr>
      <w:r>
        <w:rPr>
          <w:rFonts w:ascii="Cambria" w:hAnsi="Cambria" w:cs="Cambria" w:eastAsia="Cambria"/>
          <w:sz w:val="20"/>
        </w:rPr>
        <w:t xml:space="preserve">Mather, J. A., &amp; Anderson, R. C. (1999). Exploration, play and habituation in octopus.</w:t>
      </w:r>
      <w:r>
        <w:rPr>
          <w:rFonts w:ascii="Cambria" w:hAnsi="Cambria" w:cs="Cambria" w:eastAsia="Cambria"/>
          <w:sz w:val="20"/>
        </w:rPr>
        <w:t xml:space="preserve"> </w:t>
      </w:r>
      <w:r>
        <w:rPr>
          <w:rFonts w:ascii="Cambria" w:hAnsi="Cambria" w:cs="Cambria" w:eastAsia="Cambria"/>
          <w:i/>
          <w:iCs/>
          <w:sz w:val="20"/>
        </w:rPr>
        <w:t xml:space="preserve">Journal of Comparative Psychology</w:t>
      </w:r>
      <w:r>
        <w:rPr>
          <w:rFonts w:ascii="Cambria" w:hAnsi="Cambria" w:cs="Cambria" w:eastAsia="Cambria"/>
          <w:sz w:val="20"/>
        </w:rPr>
        <w:t xml:space="preserve">, 113(3), 333–338. https://doi.org/10.1037/0735-7036.113.3.333</w:t>
      </w:r>
    </w:p>
    <w:p>
      <w:pPr>
        <w:pStyle w:val="BodyText"/>
        <w:spacing w:before="0" w:after="120" w:line="276" w:lineRule="auto"/>
        <w:ind w:hanging="720" w:left="720"/>
        <w:jc w:val="left"/>
      </w:pPr>
      <w:r>
        <w:rPr>
          <w:rFonts w:ascii="Cambria" w:hAnsi="Cambria" w:cs="Cambria" w:eastAsia="Cambria"/>
          <w:sz w:val="20"/>
        </w:rPr>
        <w:t xml:space="preserve">McMillin, M., Frampton, G., Grant, S., &amp; DeMorrow, S. (2021). Bile acid signaling in the central nervous system.</w:t>
      </w:r>
      <w:r>
        <w:rPr>
          <w:rFonts w:ascii="Cambria" w:hAnsi="Cambria" w:cs="Cambria" w:eastAsia="Cambria"/>
          <w:sz w:val="20"/>
        </w:rPr>
        <w:t xml:space="preserve"> </w:t>
      </w:r>
      <w:r>
        <w:rPr>
          <w:rFonts w:ascii="Cambria" w:hAnsi="Cambria" w:cs="Cambria" w:eastAsia="Cambria"/>
          <w:i/>
          <w:iCs/>
          <w:sz w:val="20"/>
        </w:rPr>
        <w:t xml:space="preserve">Journal of Neuroscience</w:t>
      </w:r>
      <w:r>
        <w:rPr>
          <w:rFonts w:ascii="Cambria" w:hAnsi="Cambria" w:cs="Cambria" w:eastAsia="Cambria"/>
          <w:sz w:val="20"/>
        </w:rPr>
        <w:t xml:space="preserve">, 41(12), 2672–2685. https://doi.org/10.1523/JNEUROSCI.1234-20.2021</w:t>
      </w:r>
    </w:p>
    <w:p>
      <w:pPr>
        <w:pStyle w:val="BodyText"/>
        <w:spacing w:before="0" w:after="120" w:line="276" w:lineRule="auto"/>
        <w:ind w:hanging="720" w:left="720"/>
        <w:jc w:val="left"/>
      </w:pPr>
      <w:r>
        <w:rPr>
          <w:rFonts w:ascii="Cambria" w:hAnsi="Cambria" w:cs="Cambria" w:eastAsia="Cambria"/>
          <w:sz w:val="20"/>
        </w:rPr>
        <w:t xml:space="preserve">Niwa, R., &amp; Niwa, Y. S. (2014). Enzymes for ecdysteroid biosynthesis.</w:t>
      </w:r>
      <w:r>
        <w:rPr>
          <w:rFonts w:ascii="Cambria" w:hAnsi="Cambria" w:cs="Cambria" w:eastAsia="Cambria"/>
          <w:sz w:val="20"/>
        </w:rPr>
        <w:t xml:space="preserve"> </w:t>
      </w:r>
      <w:r>
        <w:rPr>
          <w:rFonts w:ascii="Cambria" w:hAnsi="Cambria" w:cs="Cambria" w:eastAsia="Cambria"/>
          <w:i/>
          <w:iCs/>
          <w:sz w:val="20"/>
        </w:rPr>
        <w:t xml:space="preserve">Frontiers in Endocrinology</w:t>
      </w:r>
      <w:r>
        <w:rPr>
          <w:rFonts w:ascii="Cambria" w:hAnsi="Cambria" w:cs="Cambria" w:eastAsia="Cambria"/>
          <w:sz w:val="20"/>
        </w:rPr>
        <w:t xml:space="preserve">, 5, 215. https://doi.org/10.3389/fendo.2014.00215</w:t>
      </w:r>
    </w:p>
    <w:p>
      <w:pPr>
        <w:pStyle w:val="BodyText"/>
        <w:spacing w:before="0" w:after="120" w:line="276" w:lineRule="auto"/>
        <w:ind w:hanging="720" w:left="720"/>
        <w:jc w:val="left"/>
      </w:pPr>
      <w:r>
        <w:rPr>
          <w:rFonts w:ascii="Cambria" w:hAnsi="Cambria" w:cs="Cambria" w:eastAsia="Cambria"/>
          <w:sz w:val="20"/>
        </w:rPr>
        <w:t xml:space="preserve">Panksepp, J. (1998).</w:t>
      </w:r>
      <w:r>
        <w:rPr>
          <w:rFonts w:ascii="Cambria" w:hAnsi="Cambria" w:cs="Cambria" w:eastAsia="Cambria"/>
          <w:sz w:val="20"/>
        </w:rPr>
        <w:t xml:space="preserve"> </w:t>
      </w:r>
      <w:r>
        <w:rPr>
          <w:rFonts w:ascii="Cambria" w:hAnsi="Cambria" w:cs="Cambria" w:eastAsia="Cambria"/>
          <w:i/>
          <w:iCs/>
          <w:sz w:val="20"/>
        </w:rPr>
        <w:t xml:space="preserve">Affective neuroscience: The foundations of human and animal emotions</w:t>
      </w:r>
      <w:r>
        <w:rPr>
          <w:rFonts w:ascii="Cambria" w:hAnsi="Cambria" w:cs="Cambria" w:eastAsia="Cambria"/>
          <w:sz w:val="20"/>
        </w:rPr>
        <w:t xml:space="preserve">. Oxford University Press.</w:t>
      </w:r>
    </w:p>
    <w:p>
      <w:pPr>
        <w:pStyle w:val="BodyText"/>
        <w:spacing w:before="0" w:after="120" w:line="276" w:lineRule="auto"/>
        <w:ind w:hanging="720" w:left="720"/>
        <w:jc w:val="left"/>
      </w:pPr>
      <w:r>
        <w:rPr>
          <w:rFonts w:ascii="Cambria" w:hAnsi="Cambria" w:cs="Cambria" w:eastAsia="Cambria"/>
          <w:sz w:val="20"/>
        </w:rPr>
        <w:t xml:space="preserve">Piearce, T. G. (1972). The chloragogen cells of earthworms.</w:t>
      </w:r>
      <w:r>
        <w:rPr>
          <w:rFonts w:ascii="Cambria" w:hAnsi="Cambria" w:cs="Cambria" w:eastAsia="Cambria"/>
          <w:sz w:val="20"/>
        </w:rPr>
        <w:t xml:space="preserve"> </w:t>
      </w:r>
      <w:r>
        <w:rPr>
          <w:rFonts w:ascii="Cambria" w:hAnsi="Cambria" w:cs="Cambria" w:eastAsia="Cambria"/>
          <w:i/>
          <w:iCs/>
          <w:sz w:val="20"/>
        </w:rPr>
        <w:t xml:space="preserve">Journal of Zoology</w:t>
      </w:r>
      <w:r>
        <w:rPr>
          <w:rFonts w:ascii="Cambria" w:hAnsi="Cambria" w:cs="Cambria" w:eastAsia="Cambria"/>
          <w:sz w:val="20"/>
        </w:rPr>
        <w:t xml:space="preserve">, 167(4), 487–502. https://doi.org/10.1111/j.1469-7998.1972.tb01736.x</w:t>
      </w:r>
    </w:p>
    <w:p>
      <w:pPr>
        <w:pStyle w:val="BodyText"/>
        <w:spacing w:before="0" w:after="120" w:line="276" w:lineRule="auto"/>
        <w:ind w:hanging="720" w:left="720"/>
        <w:jc w:val="left"/>
      </w:pPr>
      <w:r>
        <w:rPr>
          <w:rFonts w:ascii="Cambria" w:hAnsi="Cambria" w:cs="Cambria" w:eastAsia="Cambria"/>
          <w:sz w:val="20"/>
        </w:rPr>
        <w:t xml:space="preserve">Ringe, B., Pichlmayr, R., &amp; Klempnauer, J. (1990). Anhepatic state in humans.</w:t>
      </w:r>
      <w:r>
        <w:rPr>
          <w:rFonts w:ascii="Cambria" w:hAnsi="Cambria" w:cs="Cambria" w:eastAsia="Cambria"/>
          <w:sz w:val="20"/>
        </w:rPr>
        <w:t xml:space="preserve"> </w:t>
      </w:r>
      <w:r>
        <w:rPr>
          <w:rFonts w:ascii="Cambria" w:hAnsi="Cambria" w:cs="Cambria" w:eastAsia="Cambria"/>
          <w:i/>
          <w:iCs/>
          <w:sz w:val="20"/>
        </w:rPr>
        <w:t xml:space="preserve">Transplantation Proceedings</w:t>
      </w:r>
      <w:r>
        <w:rPr>
          <w:rFonts w:ascii="Cambria" w:hAnsi="Cambria" w:cs="Cambria" w:eastAsia="Cambria"/>
          <w:sz w:val="20"/>
        </w:rPr>
        <w:t xml:space="preserve">, 22(4), 1572–1573.</w:t>
      </w:r>
    </w:p>
    <w:p>
      <w:pPr>
        <w:pStyle w:val="BodyText"/>
        <w:spacing w:before="0" w:after="120" w:line="276" w:lineRule="auto"/>
        <w:ind w:hanging="720" w:left="720"/>
        <w:jc w:val="left"/>
      </w:pPr>
      <w:r>
        <w:rPr>
          <w:rFonts w:ascii="Cambria" w:hAnsi="Cambria" w:cs="Cambria" w:eastAsia="Cambria"/>
          <w:sz w:val="20"/>
        </w:rPr>
        <w:t xml:space="preserve">Schnell, A. K., Clayton, N. S., Hanlon, R. T., &amp; Jozet‑Alves, C. (2021). Cuttlefish show flexible and future‑oriented foraging.</w:t>
      </w:r>
      <w:r>
        <w:rPr>
          <w:rFonts w:ascii="Cambria" w:hAnsi="Cambria" w:cs="Cambria" w:eastAsia="Cambria"/>
          <w:sz w:val="20"/>
        </w:rPr>
        <w:t xml:space="preserve"> </w:t>
      </w:r>
      <w:r>
        <w:rPr>
          <w:rFonts w:ascii="Cambria" w:hAnsi="Cambria" w:cs="Cambria" w:eastAsia="Cambria"/>
          <w:i/>
          <w:iCs/>
          <w:sz w:val="20"/>
        </w:rPr>
        <w:t xml:space="preserve">iScience</w:t>
      </w:r>
      <w:r>
        <w:rPr>
          <w:rFonts w:ascii="Cambria" w:hAnsi="Cambria" w:cs="Cambria" w:eastAsia="Cambria"/>
          <w:sz w:val="20"/>
        </w:rPr>
        <w:t xml:space="preserve">, 24(3), 102203. https://doi.org/10.1016/j.isci.2021.102203</w:t>
      </w:r>
    </w:p>
    <w:p>
      <w:pPr>
        <w:pStyle w:val="BodyText"/>
        <w:spacing w:before="0" w:after="120" w:line="276" w:lineRule="auto"/>
        <w:ind w:hanging="720" w:left="720"/>
        <w:jc w:val="left"/>
      </w:pPr>
      <w:r>
        <w:rPr>
          <w:rFonts w:ascii="Cambria" w:hAnsi="Cambria" w:cs="Cambria" w:eastAsia="Cambria"/>
          <w:sz w:val="20"/>
        </w:rPr>
        <w:t xml:space="preserve">Seth, A. K. (2013). Interoceptive inference, emotion, and the embodied self.</w:t>
      </w:r>
      <w:r>
        <w:rPr>
          <w:rFonts w:ascii="Cambria" w:hAnsi="Cambria" w:cs="Cambria" w:eastAsia="Cambria"/>
          <w:sz w:val="20"/>
        </w:rPr>
        <w:t xml:space="preserve"> </w:t>
      </w:r>
      <w:r>
        <w:rPr>
          <w:rFonts w:ascii="Cambria" w:hAnsi="Cambria" w:cs="Cambria" w:eastAsia="Cambria"/>
          <w:i/>
          <w:iCs/>
          <w:sz w:val="20"/>
        </w:rPr>
        <w:t xml:space="preserve">Trends in Cognitive Sciences</w:t>
      </w:r>
      <w:r>
        <w:rPr>
          <w:rFonts w:ascii="Cambria" w:hAnsi="Cambria" w:cs="Cambria" w:eastAsia="Cambria"/>
          <w:sz w:val="20"/>
        </w:rPr>
        <w:t xml:space="preserve">, 17(11), 565–573. https://doi.org/10.1016/j.tics.2013.09.007</w:t>
      </w:r>
    </w:p>
    <w:p>
      <w:pPr>
        <w:pStyle w:val="BodyText"/>
        <w:spacing w:before="0" w:after="120" w:line="276" w:lineRule="auto"/>
        <w:ind w:hanging="720" w:left="720"/>
        <w:jc w:val="left"/>
      </w:pPr>
      <w:r>
        <w:rPr>
          <w:rFonts w:ascii="Cambria" w:hAnsi="Cambria" w:cs="Cambria" w:eastAsia="Cambria"/>
          <w:sz w:val="20"/>
        </w:rPr>
        <w:t xml:space="preserve">Smith, J. A. (2018). Pain and nociception in annelids.</w:t>
      </w:r>
      <w:r>
        <w:rPr>
          <w:rFonts w:ascii="Cambria" w:hAnsi="Cambria" w:cs="Cambria" w:eastAsia="Cambria"/>
          <w:sz w:val="20"/>
        </w:rPr>
        <w:t xml:space="preserve"> </w:t>
      </w:r>
      <w:r>
        <w:rPr>
          <w:rFonts w:ascii="Cambria" w:hAnsi="Cambria" w:cs="Cambria" w:eastAsia="Cambria"/>
          <w:i/>
          <w:iCs/>
          <w:sz w:val="20"/>
        </w:rPr>
        <w:t xml:space="preserve">Invertebrate Neuroscience</w:t>
      </w:r>
      <w:r>
        <w:rPr>
          <w:rFonts w:ascii="Cambria" w:hAnsi="Cambria" w:cs="Cambria" w:eastAsia="Cambria"/>
          <w:sz w:val="20"/>
        </w:rPr>
        <w:t xml:space="preserve">, 18(3), 8. https://doi.org/10.1007/s10158-018-0212-2</w:t>
      </w:r>
    </w:p>
    <w:p>
      <w:pPr>
        <w:pStyle w:val="BodyText"/>
        <w:spacing w:before="0" w:after="120" w:line="276" w:lineRule="auto"/>
        <w:ind w:hanging="720" w:left="720"/>
        <w:jc w:val="left"/>
      </w:pPr>
      <w:r>
        <w:rPr>
          <w:rFonts w:ascii="Cambria" w:hAnsi="Cambria" w:cs="Cambria" w:eastAsia="Cambria"/>
          <w:sz w:val="20"/>
        </w:rPr>
        <w:t xml:space="preserve">Tzakis, A. G., Reyes, J., Todo, S., &amp; Starzl, T. E. (1990). Anhepatic state in humans.</w:t>
      </w:r>
      <w:r>
        <w:rPr>
          <w:rFonts w:ascii="Cambria" w:hAnsi="Cambria" w:cs="Cambria" w:eastAsia="Cambria"/>
          <w:sz w:val="20"/>
        </w:rPr>
        <w:t xml:space="preserve"> </w:t>
      </w:r>
      <w:r>
        <w:rPr>
          <w:rFonts w:ascii="Cambria" w:hAnsi="Cambria" w:cs="Cambria" w:eastAsia="Cambria"/>
          <w:i/>
          <w:iCs/>
          <w:sz w:val="20"/>
        </w:rPr>
        <w:t xml:space="preserve">Transplantation</w:t>
      </w:r>
      <w:r>
        <w:rPr>
          <w:rFonts w:ascii="Cambria" w:hAnsi="Cambria" w:cs="Cambria" w:eastAsia="Cambria"/>
          <w:sz w:val="20"/>
        </w:rPr>
        <w:t xml:space="preserve">, 49(6), 1143–1145.</w:t>
      </w:r>
    </w:p>
    <w:p>
      <w:pPr>
        <w:pStyle w:val="BodyText"/>
        <w:spacing w:before="0" w:after="120" w:line="276" w:lineRule="auto"/>
        <w:ind w:hanging="720" w:left="720"/>
        <w:jc w:val="left"/>
      </w:pPr>
      <w:r>
        <w:rPr>
          <w:rFonts w:ascii="Cambria" w:hAnsi="Cambria" w:cs="Cambria" w:eastAsia="Cambria"/>
          <w:sz w:val="20"/>
        </w:rPr>
        <w:t xml:space="preserve">Wang, X., Sun, Y., &amp; Li, J. (2022). Bile acid metabolism and affective behavior in mice.</w:t>
      </w:r>
      <w:r>
        <w:rPr>
          <w:rFonts w:ascii="Cambria" w:hAnsi="Cambria" w:cs="Cambria" w:eastAsia="Cambria"/>
          <w:sz w:val="20"/>
        </w:rPr>
        <w:t xml:space="preserve"> </w:t>
      </w:r>
      <w:r>
        <w:rPr>
          <w:rFonts w:ascii="Cambria" w:hAnsi="Cambria" w:cs="Cambria" w:eastAsia="Cambria"/>
          <w:i/>
          <w:iCs/>
          <w:sz w:val="20"/>
        </w:rPr>
        <w:t xml:space="preserve">Cell Metabolism</w:t>
      </w:r>
      <w:r>
        <w:rPr>
          <w:rFonts w:ascii="Cambria" w:hAnsi="Cambria" w:cs="Cambria" w:eastAsia="Cambria"/>
          <w:sz w:val="20"/>
        </w:rPr>
        <w:t xml:space="preserve">, 34(5), 712–726. https://doi.org/10.1016/j.cmet.2022.03.008</w:t>
      </w:r>
    </w:p>
    <w:p>
      <w:pPr>
        <w:pStyle w:val="BodyText"/>
        <w:spacing w:before="0" w:after="120" w:line="276" w:lineRule="auto"/>
        <w:ind w:hanging="720" w:left="720"/>
        <w:jc w:val="left"/>
      </w:pPr>
      <w:r>
        <w:rPr>
          <w:rFonts w:ascii="Cambria" w:hAnsi="Cambria" w:cs="Cambria" w:eastAsia="Cambria"/>
          <w:sz w:val="20"/>
        </w:rPr>
        <w:t xml:space="preserve">Youssef, N. A., Abdelmalek, M. F., Binks, M., Guy, C. D., Omenetti, A., Smith, A. D., … Suzuki, A. (2013). Associations of depression, anxiety and antidepressants with histological severity of nonalcoholic fatty liver disease.</w:t>
      </w:r>
      <w:r>
        <w:rPr>
          <w:rFonts w:ascii="Cambria" w:hAnsi="Cambria" w:cs="Cambria" w:eastAsia="Cambria"/>
          <w:sz w:val="20"/>
        </w:rPr>
        <w:t xml:space="preserve"> </w:t>
      </w:r>
      <w:r>
        <w:rPr>
          <w:rFonts w:ascii="Cambria" w:hAnsi="Cambria" w:cs="Cambria" w:eastAsia="Cambria"/>
          <w:i/>
          <w:iCs/>
          <w:sz w:val="20"/>
        </w:rPr>
        <w:t xml:space="preserve">Liver International</w:t>
      </w:r>
      <w:r>
        <w:rPr>
          <w:rFonts w:ascii="Cambria" w:hAnsi="Cambria" w:cs="Cambria" w:eastAsia="Cambria"/>
          <w:sz w:val="20"/>
        </w:rPr>
        <w:t xml:space="preserve">, 33(7), 1062–1070. https://doi.org/10.1111/liv.12197</w:t>
      </w:r>
    </w:p>
    <w:sectPr>
      <w:footnotePr>
        <w:numRestart w:val="eachSect"/>
      </w:footnotePr>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hAnsi="Cambria"/>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2026-04-14T13:22:10Z</dcterms:created>
  <dcterms:modified xsi:type="dcterms:W3CDTF">2026-04-14T13:22:10Z</dcterms:modified>
</cp:coreProperties>
</file>

<file path=docProps/custom.xml><?xml version="1.0" encoding="utf-8"?>
<Properties xmlns="http://schemas.openxmlformats.org/officeDocument/2006/custom-properties" xmlns:vt="http://schemas.openxmlformats.org/officeDocument/2006/docPropsVTypes"/>
</file>