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vertAlign w:val="baseline"/>
        </w:rPr>
      </w:pPr>
      <w:bookmarkStart w:colFirst="0" w:colLast="0" w:name="_heading=h.8j5re3emdoj" w:id="0"/>
      <w:bookmarkEnd w:id="0"/>
      <w:r w:rsidDel="00000000" w:rsidR="00000000" w:rsidRPr="00000000">
        <w:rPr>
          <w:vertAlign w:val="baseline"/>
          <w:rtl w:val="0"/>
        </w:rPr>
        <w:t xml:space="preserve">The Opportunities of the Solution of the Conflict of Interests over the Caucasus</w:t>
      </w:r>
    </w:p>
    <w:p w:rsidR="00000000" w:rsidDel="00000000" w:rsidP="00000000" w:rsidRDefault="00000000" w:rsidRPr="00000000" w14:paraId="00000002">
      <w:pPr>
        <w:jc w:val="both"/>
        <w:rPr>
          <w:vertAlign w:val="baseline"/>
        </w:rPr>
      </w:pPr>
      <w:r w:rsidDel="00000000" w:rsidR="00000000" w:rsidRPr="00000000">
        <w:rPr>
          <w:rtl w:val="0"/>
        </w:rPr>
      </w:r>
    </w:p>
    <w:p w:rsidR="00000000" w:rsidDel="00000000" w:rsidP="00000000" w:rsidRDefault="00000000" w:rsidRPr="00000000" w14:paraId="00000003">
      <w:pPr>
        <w:jc w:val="both"/>
        <w:rPr>
          <w:vertAlign w:val="baseline"/>
        </w:rPr>
      </w:pPr>
      <w:hyperlink r:id="rId7">
        <w:r w:rsidDel="00000000" w:rsidR="00000000" w:rsidRPr="00000000">
          <w:rPr>
            <w:color w:val="1155cc"/>
            <w:u w:val="single"/>
            <w:vertAlign w:val="baseline"/>
            <w:rtl w:val="0"/>
          </w:rPr>
          <w:t xml:space="preserve">A.Tsurtsumia</w:t>
        </w:r>
      </w:hyperlink>
      <w:r w:rsidDel="00000000" w:rsidR="00000000" w:rsidRPr="00000000">
        <w:rPr>
          <w:vertAlign w:val="superscript"/>
          <w:rtl w:val="0"/>
        </w:rPr>
        <w:t xml:space="preserve">1</w:t>
      </w:r>
      <w:r w:rsidDel="00000000" w:rsidR="00000000" w:rsidRPr="00000000">
        <w:rPr>
          <w:vertAlign w:val="baseline"/>
          <w:rtl w:val="0"/>
        </w:rPr>
        <w:t xml:space="preserve">, </w:t>
      </w:r>
      <w:hyperlink r:id="rId8">
        <w:r w:rsidDel="00000000" w:rsidR="00000000" w:rsidRPr="00000000">
          <w:rPr>
            <w:color w:val="1155cc"/>
            <w:u w:val="single"/>
            <w:vertAlign w:val="baseline"/>
            <w:rtl w:val="0"/>
          </w:rPr>
          <w:t xml:space="preserve">J.Tqemaladze</w:t>
        </w:r>
      </w:hyperlink>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04">
      <w:pPr>
        <w:jc w:val="both"/>
        <w:rPr>
          <w:rFonts w:ascii="Arial" w:cs="Arial" w:eastAsia="Arial" w:hAnsi="Arial"/>
          <w:sz w:val="22"/>
          <w:szCs w:val="22"/>
        </w:rPr>
      </w:pPr>
      <w:r w:rsidDel="00000000" w:rsidR="00000000" w:rsidRPr="00000000">
        <w:rPr>
          <w:vertAlign w:val="superscript"/>
          <w:rtl w:val="0"/>
        </w:rPr>
        <w:t xml:space="preserve">1</w:t>
      </w:r>
      <w:r w:rsidDel="00000000" w:rsidR="00000000" w:rsidRPr="00000000">
        <w:rPr>
          <w:vertAlign w:val="baseline"/>
          <w:rtl w:val="0"/>
        </w:rPr>
        <w:t xml:space="preserve">Tbilisi State University, Political Science Department, Associate Professor</w:t>
        <w:br w:type="textWrapping"/>
      </w:r>
      <w:r w:rsidDel="00000000" w:rsidR="00000000" w:rsidRPr="00000000">
        <w:rPr>
          <w:vertAlign w:val="superscript"/>
          <w:rtl w:val="0"/>
        </w:rPr>
        <w:t xml:space="preserve">2</w:t>
      </w:r>
      <w:r w:rsidDel="00000000" w:rsidR="00000000" w:rsidRPr="00000000">
        <w:rPr>
          <w:rFonts w:ascii="Arial" w:cs="Arial" w:eastAsia="Arial" w:hAnsi="Arial"/>
          <w:sz w:val="22"/>
          <w:szCs w:val="22"/>
          <w:vertAlign w:val="superscript"/>
          <w:rtl w:val="0"/>
        </w:rPr>
        <w:t xml:space="preserve">1</w:t>
      </w:r>
      <w:r w:rsidDel="00000000" w:rsidR="00000000" w:rsidRPr="00000000">
        <w:rPr>
          <w:rFonts w:ascii="Arial" w:cs="Arial" w:eastAsia="Arial" w:hAnsi="Arial"/>
          <w:sz w:val="22"/>
          <w:szCs w:val="22"/>
          <w:rtl w:val="0"/>
        </w:rPr>
        <w:t xml:space="preserve"> Free University of Tbilisi, 240 David Aghmashenebeli Alley, 0159, Tbilisi, Georgia</w:t>
      </w:r>
    </w:p>
    <w:p w:rsidR="00000000" w:rsidDel="00000000" w:rsidP="00000000" w:rsidRDefault="00000000" w:rsidRPr="00000000" w14:paraId="00000005">
      <w:pPr>
        <w:spacing w:line="276" w:lineRule="auto"/>
        <w:jc w:val="both"/>
        <w:rPr>
          <w:rFonts w:ascii="Arial" w:cs="Arial" w:eastAsia="Arial" w:hAnsi="Arial"/>
          <w:sz w:val="22"/>
          <w:szCs w:val="22"/>
        </w:rPr>
      </w:pPr>
      <w:hyperlink r:id="rId9">
        <w:r w:rsidDel="00000000" w:rsidR="00000000" w:rsidRPr="00000000">
          <w:rPr>
            <w:rFonts w:ascii="Arial" w:cs="Arial" w:eastAsia="Arial" w:hAnsi="Arial"/>
            <w:color w:val="1155cc"/>
            <w:sz w:val="22"/>
            <w:szCs w:val="22"/>
            <w:u w:val="single"/>
            <w:rtl w:val="0"/>
          </w:rPr>
          <w:t xml:space="preserve">https://orcid.org/0000-0001-8651-7243</w:t>
        </w:r>
      </w:hyperlink>
      <w:r w:rsidDel="00000000" w:rsidR="00000000" w:rsidRPr="00000000">
        <w:rPr>
          <w:rtl w:val="0"/>
        </w:rPr>
      </w:r>
    </w:p>
    <w:p w:rsidR="00000000" w:rsidDel="00000000" w:rsidP="00000000" w:rsidRDefault="00000000" w:rsidRPr="00000000" w14:paraId="00000006">
      <w:pPr>
        <w:spacing w:line="276" w:lineRule="auto"/>
        <w:jc w:val="both"/>
        <w:rPr>
          <w:rFonts w:ascii="Arial" w:cs="Arial" w:eastAsia="Arial" w:hAnsi="Arial"/>
          <w:sz w:val="22"/>
          <w:szCs w:val="22"/>
        </w:rPr>
      </w:pPr>
      <w:hyperlink r:id="rId10">
        <w:r w:rsidDel="00000000" w:rsidR="00000000" w:rsidRPr="00000000">
          <w:rPr>
            <w:rFonts w:ascii="Arial" w:cs="Arial" w:eastAsia="Arial" w:hAnsi="Arial"/>
            <w:color w:val="1155cc"/>
            <w:sz w:val="22"/>
            <w:szCs w:val="22"/>
            <w:u w:val="single"/>
            <w:rtl w:val="0"/>
          </w:rPr>
          <w:t xml:space="preserve">jtkemaladze@longevity.ge</w:t>
        </w:r>
      </w:hyperlink>
      <w:r w:rsidDel="00000000" w:rsidR="00000000" w:rsidRPr="00000000">
        <w:rPr>
          <w:rtl w:val="0"/>
        </w:rPr>
      </w:r>
    </w:p>
    <w:p w:rsidR="00000000" w:rsidDel="00000000" w:rsidP="00000000" w:rsidRDefault="00000000" w:rsidRPr="00000000" w14:paraId="00000007">
      <w:pPr>
        <w:jc w:val="both"/>
        <w:rPr>
          <w:vertAlign w:val="baseline"/>
        </w:rPr>
      </w:pPr>
      <w:r w:rsidDel="00000000" w:rsidR="00000000" w:rsidRPr="00000000">
        <w:rPr>
          <w:rtl w:val="0"/>
        </w:rPr>
      </w:r>
    </w:p>
    <w:p w:rsidR="00000000" w:rsidDel="00000000" w:rsidP="00000000" w:rsidRDefault="00000000" w:rsidRPr="00000000" w14:paraId="00000008">
      <w:pPr>
        <w:jc w:val="both"/>
        <w:rPr>
          <w:vertAlign w:val="baseline"/>
        </w:rPr>
      </w:pPr>
      <w:r w:rsidDel="00000000" w:rsidR="00000000" w:rsidRPr="00000000">
        <w:rPr>
          <w:vertAlign w:val="baseline"/>
          <w:rtl w:val="0"/>
        </w:rPr>
        <w:t xml:space="preserve">The region of “Eurasian Balkans” [ </w:t>
      </w:r>
      <w:hyperlink r:id="rId11">
        <w:r w:rsidDel="00000000" w:rsidR="00000000" w:rsidRPr="00000000">
          <w:rPr>
            <w:color w:val="1155cc"/>
            <w:u w:val="single"/>
            <w:vertAlign w:val="baseline"/>
            <w:rtl w:val="0"/>
          </w:rPr>
          <w:t xml:space="preserve">1</w:t>
        </w:r>
      </w:hyperlink>
      <w:r w:rsidDel="00000000" w:rsidR="00000000" w:rsidRPr="00000000">
        <w:rPr>
          <w:vertAlign w:val="baseline"/>
          <w:rtl w:val="0"/>
        </w:rPr>
        <w:t xml:space="preserve"> ] still remains the arena of global political collisions, taking start even before the First World War. The League of Nations failed to form the parity coexistence of Nations within the frames of colonial states, nor did the United Nation Organization (UN) founded after WWII could eradicate the “obscene” practice of the domination of interests of certain states over the values common to all mankind: the right to live, self-identification, freedom of an individual as well as a nation. The developments in Iraq in 2003 eventually confirmed: the transformation of the UN structure – the requirement of time. The new stage begins in the history of human development – the Optimization of Global Management.</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vertAlign w:val="baseline"/>
        </w:rPr>
      </w:pPr>
      <w:r w:rsidDel="00000000" w:rsidR="00000000" w:rsidRPr="00000000">
        <w:rPr>
          <w:vertAlign w:val="baseline"/>
          <w:rtl w:val="0"/>
        </w:rPr>
        <w:t xml:space="preserve">In terms of World System transformation, while planning foreign and internal policy, states and private individuals Chief executive officers of Trans National Corporations (CEO of TNC) rely on geopolitical theories, working out new doctrines on their basis, implementing certain projects.</w:t>
      </w:r>
    </w:p>
    <w:p w:rsidR="00000000" w:rsidDel="00000000" w:rsidP="00000000" w:rsidRDefault="00000000" w:rsidRPr="00000000" w14:paraId="0000000B">
      <w:pPr>
        <w:jc w:val="both"/>
        <w:rPr>
          <w:vertAlign w:val="baseline"/>
        </w:rPr>
      </w:pPr>
      <w:r w:rsidDel="00000000" w:rsidR="00000000" w:rsidRPr="00000000">
        <w:rPr>
          <w:vertAlign w:val="baseline"/>
          <w:rtl w:val="0"/>
        </w:rPr>
        <w:t xml:space="preserve">Helford Mackinder’s theory of Heartland is the fundamental basis in geopolitical discipline. He noted that the geopolitical position is the most important thing. In his book published in 1919 “Democratic Ideals and Reality”, Mackinder wrote: “he who controls East Europe, dominates over Heartland ( </w:t>
      </w:r>
      <w:hyperlink r:id="rId12">
        <w:r w:rsidDel="00000000" w:rsidR="00000000" w:rsidRPr="00000000">
          <w:rPr>
            <w:color w:val="1155cc"/>
            <w:u w:val="single"/>
            <w:vertAlign w:val="baseline"/>
            <w:rtl w:val="0"/>
          </w:rPr>
          <w:t xml:space="preserve">pic 1</w:t>
        </w:r>
      </w:hyperlink>
      <w:r w:rsidDel="00000000" w:rsidR="00000000" w:rsidRPr="00000000">
        <w:rPr>
          <w:vertAlign w:val="baseline"/>
          <w:rtl w:val="0"/>
        </w:rPr>
        <w:t xml:space="preserve"> ). He who dominates over Heartland, dominates over the World Island. He who dominates over the World Island, dominates over the World”[ </w:t>
      </w:r>
      <w:hyperlink r:id="rId13">
        <w:r w:rsidDel="00000000" w:rsidR="00000000" w:rsidRPr="00000000">
          <w:rPr>
            <w:color w:val="1155cc"/>
            <w:u w:val="single"/>
            <w:vertAlign w:val="baseline"/>
            <w:rtl w:val="0"/>
          </w:rPr>
          <w:t xml:space="preserve">2</w:t>
        </w:r>
      </w:hyperlink>
      <w:r w:rsidDel="00000000" w:rsidR="00000000" w:rsidRPr="00000000">
        <w:rPr>
          <w:vertAlign w:val="baseline"/>
          <w:rtl w:val="0"/>
        </w:rPr>
        <w:t xml:space="preserve">, </w:t>
      </w:r>
      <w:hyperlink r:id="rId14">
        <w:r w:rsidDel="00000000" w:rsidR="00000000" w:rsidRPr="00000000">
          <w:rPr>
            <w:color w:val="1155cc"/>
            <w:u w:val="single"/>
            <w:vertAlign w:val="baseline"/>
            <w:rtl w:val="0"/>
          </w:rPr>
          <w:t xml:space="preserve">3</w:t>
        </w:r>
      </w:hyperlink>
      <w:r w:rsidDel="00000000" w:rsidR="00000000" w:rsidRPr="00000000">
        <w:rPr>
          <w:vertAlign w:val="baseline"/>
          <w:rtl w:val="0"/>
        </w:rPr>
        <w:t xml:space="preserve"> ].</w:t>
      </w:r>
    </w:p>
    <w:bookmarkStart w:colFirst="0" w:colLast="0" w:name="bookmark=id.gjdgxs" w:id="1"/>
    <w:bookmarkEnd w:id="1"/>
    <w:p w:rsidR="00000000" w:rsidDel="00000000" w:rsidP="00000000" w:rsidRDefault="00000000" w:rsidRPr="00000000" w14:paraId="0000000C">
      <w:pPr>
        <w:jc w:val="both"/>
        <w:rPr>
          <w:vertAlign w:val="baseline"/>
        </w:rPr>
      </w:pPr>
      <w:r w:rsidDel="00000000" w:rsidR="00000000" w:rsidRPr="00000000">
        <w:rPr>
          <w:rtl w:val="0"/>
        </w:rPr>
      </w:r>
    </w:p>
    <w:p w:rsidR="00000000" w:rsidDel="00000000" w:rsidP="00000000" w:rsidRDefault="00000000" w:rsidRPr="00000000" w14:paraId="0000000D">
      <w:pPr>
        <w:jc w:val="both"/>
        <w:rPr>
          <w:vertAlign w:val="baseline"/>
        </w:rPr>
      </w:pPr>
      <w:r w:rsidDel="00000000" w:rsidR="00000000" w:rsidRPr="00000000">
        <w:rPr>
          <w:vertAlign w:val="baseline"/>
          <w:rtl w:val="0"/>
        </w:rPr>
        <w:t xml:space="preserve">Pic 1</w:t>
      </w:r>
    </w:p>
    <w:p w:rsidR="00000000" w:rsidDel="00000000" w:rsidP="00000000" w:rsidRDefault="00000000" w:rsidRPr="00000000" w14:paraId="0000000E">
      <w:pPr>
        <w:jc w:val="both"/>
        <w:rPr>
          <w:vertAlign w:val="baseline"/>
        </w:rPr>
      </w:pPr>
      <w:hyperlink r:id="rId15">
        <w:r w:rsidDel="00000000" w:rsidR="00000000" w:rsidRPr="00000000">
          <w:rPr>
            <w:color w:val="1155cc"/>
            <w:u w:val="single"/>
            <w:vertAlign w:val="baseline"/>
          </w:rPr>
          <w:drawing>
            <wp:inline distB="0" distT="0" distL="114300" distR="114300">
              <wp:extent cx="1429385" cy="875030"/>
              <wp:effectExtent b="0" l="0" r="0" t="0"/>
              <wp:docPr descr="030929_01_mackinder_min.jpg (9922 bytes)" id="4" name="image1.jpg"/>
              <a:graphic>
                <a:graphicData uri="http://schemas.openxmlformats.org/drawingml/2006/picture">
                  <pic:pic>
                    <pic:nvPicPr>
                      <pic:cNvPr descr="030929_01_mackinder_min.jpg (9922 bytes)" id="0" name="image1.jpg"/>
                      <pic:cNvPicPr preferRelativeResize="0"/>
                    </pic:nvPicPr>
                    <pic:blipFill>
                      <a:blip r:embed="rId16"/>
                      <a:srcRect b="0" l="0" r="0" t="0"/>
                      <a:stretch>
                        <a:fillRect/>
                      </a:stretch>
                    </pic:blipFill>
                    <pic:spPr>
                      <a:xfrm>
                        <a:off x="0" y="0"/>
                        <a:ext cx="1429385" cy="87503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F">
      <w:pPr>
        <w:jc w:val="both"/>
        <w:rPr>
          <w:vertAlign w:val="baseline"/>
        </w:rPr>
      </w:pPr>
      <w:r w:rsidDel="00000000" w:rsidR="00000000" w:rsidRPr="00000000">
        <w:rPr>
          <w:rtl w:val="0"/>
        </w:rPr>
      </w:r>
    </w:p>
    <w:p w:rsidR="00000000" w:rsidDel="00000000" w:rsidP="00000000" w:rsidRDefault="00000000" w:rsidRPr="00000000" w14:paraId="00000010">
      <w:pPr>
        <w:jc w:val="both"/>
        <w:rPr>
          <w:vertAlign w:val="baseline"/>
        </w:rPr>
      </w:pPr>
      <w:r w:rsidDel="00000000" w:rsidR="00000000" w:rsidRPr="00000000">
        <w:rPr>
          <w:rtl w:val="0"/>
        </w:rPr>
      </w:r>
    </w:p>
    <w:p w:rsidR="00000000" w:rsidDel="00000000" w:rsidP="00000000" w:rsidRDefault="00000000" w:rsidRPr="00000000" w14:paraId="00000011">
      <w:pPr>
        <w:jc w:val="both"/>
        <w:rPr>
          <w:vertAlign w:val="baseline"/>
        </w:rPr>
      </w:pPr>
      <w:r w:rsidDel="00000000" w:rsidR="00000000" w:rsidRPr="00000000">
        <w:rPr>
          <w:vertAlign w:val="baseline"/>
          <w:rtl w:val="0"/>
        </w:rPr>
        <w:t xml:space="preserve">Despite Spikesman’s “revision” - that Rimland is the most significant geopolitical area the development of events proves the inexhaustible functional importance of Heartland. For states involved in global political and economic processes, one of the key problems is to control Heartland, its strategic centers: East Europe, Caucasus and Central Asia. In spite of their low level of economic development, countries of “Eurasian Balkans” have an important geo-economic potential.</w:t>
      </w:r>
    </w:p>
    <w:p w:rsidR="00000000" w:rsidDel="00000000" w:rsidP="00000000" w:rsidRDefault="00000000" w:rsidRPr="00000000" w14:paraId="00000012">
      <w:pPr>
        <w:jc w:val="both"/>
        <w:rPr>
          <w:vertAlign w:val="baseline"/>
        </w:rPr>
      </w:pPr>
      <w:r w:rsidDel="00000000" w:rsidR="00000000" w:rsidRPr="00000000">
        <w:rPr>
          <w:rtl w:val="0"/>
        </w:rPr>
      </w:r>
    </w:p>
    <w:p w:rsidR="00000000" w:rsidDel="00000000" w:rsidP="00000000" w:rsidRDefault="00000000" w:rsidRPr="00000000" w14:paraId="00000013">
      <w:pPr>
        <w:jc w:val="both"/>
        <w:rPr>
          <w:vertAlign w:val="baseline"/>
        </w:rPr>
      </w:pPr>
      <w:r w:rsidDel="00000000" w:rsidR="00000000" w:rsidRPr="00000000">
        <w:rPr>
          <w:vertAlign w:val="baseline"/>
          <w:rtl w:val="0"/>
        </w:rPr>
        <w:t xml:space="preserve">South Caucasus (Iberia) forms an important geopolitical center – axis. It is noticeable if we take for the crossing of zero meridians ( </w:t>
      </w:r>
      <w:hyperlink r:id="rId17">
        <w:r w:rsidDel="00000000" w:rsidR="00000000" w:rsidRPr="00000000">
          <w:rPr>
            <w:color w:val="1155cc"/>
            <w:u w:val="single"/>
            <w:vertAlign w:val="baseline"/>
            <w:rtl w:val="0"/>
          </w:rPr>
          <w:t xml:space="preserve">pic 2</w:t>
        </w:r>
      </w:hyperlink>
      <w:r w:rsidDel="00000000" w:rsidR="00000000" w:rsidRPr="00000000">
        <w:rPr>
          <w:vertAlign w:val="baseline"/>
          <w:rtl w:val="0"/>
        </w:rPr>
        <w:t xml:space="preserve"> ) the area of Highland Imereti (Georgia) geodynamic anomaly (impact). This is a bridge placed over the abyss between Europe and Asia. Throughout the epoch of “Clashes of Civilizations” this bridge bears the similar function of an outlet, like Switzerland represented in the past century.</w:t>
      </w:r>
    </w:p>
    <w:bookmarkStart w:colFirst="0" w:colLast="0" w:name="bookmark=id.30j0zll" w:id="2"/>
    <w:bookmarkEnd w:id="2"/>
    <w:p w:rsidR="00000000" w:rsidDel="00000000" w:rsidP="00000000" w:rsidRDefault="00000000" w:rsidRPr="00000000" w14:paraId="00000014">
      <w:pPr>
        <w:jc w:val="both"/>
        <w:rPr>
          <w:vertAlign w:val="baseline"/>
        </w:rPr>
      </w:pPr>
      <w:r w:rsidDel="00000000" w:rsidR="00000000" w:rsidRPr="00000000">
        <w:rPr>
          <w:rtl w:val="0"/>
        </w:rPr>
      </w:r>
    </w:p>
    <w:p w:rsidR="00000000" w:rsidDel="00000000" w:rsidP="00000000" w:rsidRDefault="00000000" w:rsidRPr="00000000" w14:paraId="00000015">
      <w:pPr>
        <w:jc w:val="both"/>
        <w:rPr>
          <w:vertAlign w:val="baseline"/>
        </w:rPr>
      </w:pPr>
      <w:r w:rsidDel="00000000" w:rsidR="00000000" w:rsidRPr="00000000">
        <w:rPr>
          <w:vertAlign w:val="baseline"/>
          <w:rtl w:val="0"/>
        </w:rPr>
        <w:t xml:space="preserve">Pic 2</w:t>
      </w:r>
    </w:p>
    <w:p w:rsidR="00000000" w:rsidDel="00000000" w:rsidP="00000000" w:rsidRDefault="00000000" w:rsidRPr="00000000" w14:paraId="00000016">
      <w:pPr>
        <w:jc w:val="both"/>
        <w:rPr>
          <w:vertAlign w:val="baseline"/>
        </w:rPr>
      </w:pPr>
      <w:hyperlink r:id="rId18">
        <w:r w:rsidDel="00000000" w:rsidR="00000000" w:rsidRPr="00000000">
          <w:rPr>
            <w:color w:val="1155cc"/>
            <w:u w:val="single"/>
            <w:vertAlign w:val="baseline"/>
          </w:rPr>
          <w:drawing>
            <wp:inline distB="0" distT="0" distL="114300" distR="114300">
              <wp:extent cx="1429385" cy="1000760"/>
              <wp:effectExtent b="0" l="0" r="0" t="0"/>
              <wp:docPr descr="georgia_center(13022 bytes)" id="6" name="image3.jpg"/>
              <a:graphic>
                <a:graphicData uri="http://schemas.openxmlformats.org/drawingml/2006/picture">
                  <pic:pic>
                    <pic:nvPicPr>
                      <pic:cNvPr descr="georgia_center(13022 bytes)" id="0" name="image3.jpg"/>
                      <pic:cNvPicPr preferRelativeResize="0"/>
                    </pic:nvPicPr>
                    <pic:blipFill>
                      <a:blip r:embed="rId19"/>
                      <a:srcRect b="0" l="0" r="0" t="0"/>
                      <a:stretch>
                        <a:fillRect/>
                      </a:stretch>
                    </pic:blipFill>
                    <pic:spPr>
                      <a:xfrm>
                        <a:off x="0" y="0"/>
                        <a:ext cx="1429385" cy="100076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7">
      <w:pPr>
        <w:jc w:val="both"/>
        <w:rPr>
          <w:vertAlign w:val="baseline"/>
        </w:rPr>
      </w:pPr>
      <w:r w:rsidDel="00000000" w:rsidR="00000000" w:rsidRPr="00000000">
        <w:rPr>
          <w:vertAlign w:val="baseline"/>
          <w:rtl w:val="0"/>
        </w:rPr>
        <w:t xml:space="preserve">Map was comosed by GIS&amp;RS Conslting Center "</w:t>
      </w:r>
      <w:hyperlink r:id="rId20">
        <w:r w:rsidDel="00000000" w:rsidR="00000000" w:rsidRPr="00000000">
          <w:rPr>
            <w:color w:val="1155cc"/>
            <w:u w:val="single"/>
            <w:vertAlign w:val="baseline"/>
            <w:rtl w:val="0"/>
          </w:rPr>
          <w:t xml:space="preserve">GeoGraphic</w:t>
        </w:r>
      </w:hyperlink>
      <w:r w:rsidDel="00000000" w:rsidR="00000000" w:rsidRPr="00000000">
        <w:rPr>
          <w:vertAlign w:val="baseline"/>
          <w:rtl w:val="0"/>
        </w:rPr>
        <w:t xml:space="preserve">", 2003</w:t>
      </w:r>
    </w:p>
    <w:p w:rsidR="00000000" w:rsidDel="00000000" w:rsidP="00000000" w:rsidRDefault="00000000" w:rsidRPr="00000000" w14:paraId="00000018">
      <w:pPr>
        <w:jc w:val="both"/>
        <w:rPr>
          <w:vertAlign w:val="baseline"/>
        </w:rPr>
      </w:pPr>
      <w:r w:rsidDel="00000000" w:rsidR="00000000" w:rsidRPr="00000000">
        <w:rPr>
          <w:rtl w:val="0"/>
        </w:rPr>
      </w:r>
    </w:p>
    <w:p w:rsidR="00000000" w:rsidDel="00000000" w:rsidP="00000000" w:rsidRDefault="00000000" w:rsidRPr="00000000" w14:paraId="00000019">
      <w:pPr>
        <w:jc w:val="both"/>
        <w:rPr>
          <w:vertAlign w:val="baseline"/>
        </w:rPr>
      </w:pPr>
      <w:r w:rsidDel="00000000" w:rsidR="00000000" w:rsidRPr="00000000">
        <w:rPr>
          <w:vertAlign w:val="baseline"/>
          <w:rtl w:val="0"/>
        </w:rPr>
        <w:t xml:space="preserve">Nowadays Europe does not conduct fights on its own territory anymore. The process of expansion of the spheres of influence in the East, the South and the South-East is going on. In the given situation, it is important to manage the clash - of interests among: Russia, European Union (Germany-France), U.S.A. and China. It should be mentioned, that Chinese factor is significant not only due to economic and demographic reasons, but rather from the geopolitical perspective. In case of Chinese integration with the region of Central Asia, South Caucasia may function as the sustaining dam (buffer). From the above mention geopolitically active figures is observed activization with the objective to establish control over the “Iberian Bridge”. If the interests of one of the sides “are not considered” then it is reasonable to expect: the side that was “unfairly shared with” will attempt to distroy “Iberian Bridge”. In the globalization conditions it could throw us back to the epoch of the “Iron Curtain” and will initiate a new phase of political grate power isolation.</w:t>
      </w:r>
    </w:p>
    <w:p w:rsidR="00000000" w:rsidDel="00000000" w:rsidP="00000000" w:rsidRDefault="00000000" w:rsidRPr="00000000" w14:paraId="0000001A">
      <w:pPr>
        <w:jc w:val="both"/>
        <w:rPr>
          <w:vertAlign w:val="baseline"/>
        </w:rPr>
      </w:pPr>
      <w:r w:rsidDel="00000000" w:rsidR="00000000" w:rsidRPr="00000000">
        <w:rPr>
          <w:rtl w:val="0"/>
        </w:rPr>
      </w:r>
    </w:p>
    <w:p w:rsidR="00000000" w:rsidDel="00000000" w:rsidP="00000000" w:rsidRDefault="00000000" w:rsidRPr="00000000" w14:paraId="0000001B">
      <w:pPr>
        <w:jc w:val="both"/>
        <w:rPr>
          <w:vertAlign w:val="baseline"/>
        </w:rPr>
      </w:pPr>
      <w:r w:rsidDel="00000000" w:rsidR="00000000" w:rsidRPr="00000000">
        <w:rPr>
          <w:vertAlign w:val="baseline"/>
          <w:rtl w:val="0"/>
        </w:rPr>
        <w:t xml:space="preserve">Based on the above, through the merger of the theories of Mackinder and Spikesman, we deemed reasonable to consider the Caucasus area as a separate geopolitocal unite Caucasusland( </w:t>
      </w:r>
      <w:hyperlink r:id="rId21">
        <w:r w:rsidDel="00000000" w:rsidR="00000000" w:rsidRPr="00000000">
          <w:rPr>
            <w:color w:val="1155cc"/>
            <w:u w:val="single"/>
            <w:vertAlign w:val="baseline"/>
            <w:rtl w:val="0"/>
          </w:rPr>
          <w:t xml:space="preserve">pic 3</w:t>
        </w:r>
      </w:hyperlink>
      <w:r w:rsidDel="00000000" w:rsidR="00000000" w:rsidRPr="00000000">
        <w:rPr>
          <w:vertAlign w:val="baseline"/>
          <w:rtl w:val="0"/>
        </w:rPr>
        <w:t xml:space="preserve"> ). </w:t>
      </w:r>
      <w:bookmarkStart w:colFirst="0" w:colLast="0" w:name="bookmark=id.1fob9te" w:id="3"/>
      <w:bookmarkEnd w:id="3"/>
      <w:r w:rsidDel="00000000" w:rsidR="00000000" w:rsidRPr="00000000">
        <w:rPr>
          <w:vertAlign w:val="baseline"/>
          <w:rtl w:val="0"/>
        </w:rPr>
        <w:t xml:space="preserve">“Iberian Bridge” is the pivot of Caucasusland.</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vertAlign w:val="baseline"/>
        </w:rPr>
      </w:pPr>
      <w:r w:rsidDel="00000000" w:rsidR="00000000" w:rsidRPr="00000000">
        <w:rPr>
          <w:vertAlign w:val="baseline"/>
          <w:rtl w:val="0"/>
        </w:rPr>
        <w:t xml:space="preserve">Pic 3</w:t>
      </w:r>
    </w:p>
    <w:p w:rsidR="00000000" w:rsidDel="00000000" w:rsidP="00000000" w:rsidRDefault="00000000" w:rsidRPr="00000000" w14:paraId="0000001E">
      <w:pPr>
        <w:jc w:val="both"/>
        <w:rPr>
          <w:vertAlign w:val="baseline"/>
        </w:rPr>
      </w:pPr>
      <w:hyperlink r:id="rId22">
        <w:r w:rsidDel="00000000" w:rsidR="00000000" w:rsidRPr="00000000">
          <w:rPr>
            <w:color w:val="1155cc"/>
            <w:u w:val="single"/>
            <w:vertAlign w:val="baseline"/>
          </w:rPr>
          <w:drawing>
            <wp:inline distB="0" distT="0" distL="114300" distR="114300">
              <wp:extent cx="1429385" cy="875030"/>
              <wp:effectExtent b="0" l="0" r="0" t="0"/>
              <wp:docPr descr="030929_03_mackinder_min.jpg (9971 bytes)" id="5" name="image2.jpg"/>
              <a:graphic>
                <a:graphicData uri="http://schemas.openxmlformats.org/drawingml/2006/picture">
                  <pic:pic>
                    <pic:nvPicPr>
                      <pic:cNvPr descr="030929_03_mackinder_min.jpg (9971 bytes)" id="0" name="image2.jpg"/>
                      <pic:cNvPicPr preferRelativeResize="0"/>
                    </pic:nvPicPr>
                    <pic:blipFill>
                      <a:blip r:embed="rId23"/>
                      <a:srcRect b="0" l="0" r="0" t="0"/>
                      <a:stretch>
                        <a:fillRect/>
                      </a:stretch>
                    </pic:blipFill>
                    <pic:spPr>
                      <a:xfrm>
                        <a:off x="0" y="0"/>
                        <a:ext cx="1429385" cy="87503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F">
      <w:pPr>
        <w:jc w:val="both"/>
        <w:rPr>
          <w:vertAlign w:val="baseline"/>
        </w:rPr>
      </w:pPr>
      <w:r w:rsidDel="00000000" w:rsidR="00000000" w:rsidRPr="00000000">
        <w:rPr>
          <w:rtl w:val="0"/>
        </w:rPr>
      </w:r>
    </w:p>
    <w:p w:rsidR="00000000" w:rsidDel="00000000" w:rsidP="00000000" w:rsidRDefault="00000000" w:rsidRPr="00000000" w14:paraId="00000020">
      <w:pPr>
        <w:jc w:val="both"/>
        <w:rPr>
          <w:vertAlign w:val="baseline"/>
        </w:rPr>
      </w:pPr>
      <w:r w:rsidDel="00000000" w:rsidR="00000000" w:rsidRPr="00000000">
        <w:rPr>
          <w:rtl w:val="0"/>
        </w:rPr>
      </w:r>
    </w:p>
    <w:p w:rsidR="00000000" w:rsidDel="00000000" w:rsidP="00000000" w:rsidRDefault="00000000" w:rsidRPr="00000000" w14:paraId="00000021">
      <w:pPr>
        <w:jc w:val="both"/>
        <w:rPr>
          <w:vertAlign w:val="baseline"/>
        </w:rPr>
      </w:pPr>
      <w:r w:rsidDel="00000000" w:rsidR="00000000" w:rsidRPr="00000000">
        <w:rPr>
          <w:vertAlign w:val="baseline"/>
          <w:rtl w:val="0"/>
        </w:rPr>
        <w:t xml:space="preserve">The most profitable and advantageous to take over the “Iberian Bridge” is bringing in the region forces and leaders in the head of the government, “controlled” by the interested people (states): Russsia, Europe, U.S.A. and China.</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vertAlign w:val="baseline"/>
        </w:rPr>
      </w:pPr>
      <w:r w:rsidDel="00000000" w:rsidR="00000000" w:rsidRPr="00000000">
        <w:rPr>
          <w:vertAlign w:val="baseline"/>
          <w:rtl w:val="0"/>
        </w:rPr>
        <w:t xml:space="preserve">Among all above mentioned super powers involved in the international political games, each has support from the “controling forces”. The created situation may reveal alliances: Europe-China? and the U.S.A.-Russia?</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vertAlign w:val="baseline"/>
        </w:rPr>
      </w:pPr>
      <w:r w:rsidDel="00000000" w:rsidR="00000000" w:rsidRPr="00000000">
        <w:rPr>
          <w:vertAlign w:val="baseline"/>
          <w:rtl w:val="0"/>
        </w:rPr>
        <w:t xml:space="preserve">At the same time, ensuing from the significance of “Iberian Bridge”, opposing forces are likely to balance their interests and to shift the epicenter of tension in different plane. Interested powers might create a zone of security around “Iberian Bridge”.</w:t>
      </w:r>
    </w:p>
    <w:bookmarkStart w:colFirst="0" w:colLast="0" w:name="bookmark=id.3znysh7" w:id="4"/>
    <w:bookmarkEnd w:id="4"/>
    <w:p w:rsidR="00000000" w:rsidDel="00000000" w:rsidP="00000000" w:rsidRDefault="00000000" w:rsidRPr="00000000" w14:paraId="00000026">
      <w:pPr>
        <w:jc w:val="both"/>
        <w:rPr>
          <w:vertAlign w:val="baseline"/>
        </w:rPr>
      </w:pPr>
      <w:r w:rsidDel="00000000" w:rsidR="00000000" w:rsidRPr="00000000">
        <w:rPr>
          <w:vertAlign w:val="baseline"/>
          <w:rtl w:val="0"/>
        </w:rPr>
        <w:t xml:space="preserve">Against the background of the ongoing changes, some “aliances” look more and more artificial. Their integrity is doubtful. Under the condition of militaty-political crisis the braking up of such alliances may be followed by serious consequences. The creation of the alliances is not always a positive step and strategy. </w:t>
      </w:r>
    </w:p>
    <w:p w:rsidR="00000000" w:rsidDel="00000000" w:rsidP="00000000" w:rsidRDefault="00000000" w:rsidRPr="00000000" w14:paraId="00000027">
      <w:pPr>
        <w:jc w:val="both"/>
        <w:rPr>
          <w:vertAlign w:val="baseline"/>
        </w:rPr>
      </w:pPr>
      <w:r w:rsidDel="00000000" w:rsidR="00000000" w:rsidRPr="00000000">
        <w:rPr>
          <w:rtl w:val="0"/>
        </w:rPr>
      </w:r>
    </w:p>
    <w:p w:rsidR="00000000" w:rsidDel="00000000" w:rsidP="00000000" w:rsidRDefault="00000000" w:rsidRPr="00000000" w14:paraId="00000028">
      <w:pPr>
        <w:pStyle w:val="Heading1"/>
        <w:jc w:val="both"/>
        <w:rPr>
          <w:vertAlign w:val="baseline"/>
        </w:rPr>
      </w:pPr>
      <w:bookmarkStart w:colFirst="0" w:colLast="0" w:name="_heading=h.k6tj042gzugo" w:id="5"/>
      <w:bookmarkEnd w:id="5"/>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29">
      <w:pPr>
        <w:jc w:val="both"/>
        <w:rPr>
          <w:vertAlign w:val="baseline"/>
        </w:rPr>
      </w:pPr>
      <w:r w:rsidDel="00000000" w:rsidR="00000000" w:rsidRPr="00000000">
        <w:rPr>
          <w:rtl w:val="0"/>
        </w:rPr>
      </w:r>
    </w:p>
    <w:p w:rsidR="00000000" w:rsidDel="00000000" w:rsidP="00000000" w:rsidRDefault="00000000" w:rsidRPr="00000000" w14:paraId="0000002A">
      <w:pPr>
        <w:jc w:val="both"/>
        <w:rPr>
          <w:vertAlign w:val="baseline"/>
        </w:rPr>
      </w:pPr>
      <w:r w:rsidDel="00000000" w:rsidR="00000000" w:rsidRPr="00000000">
        <w:rPr>
          <w:vertAlign w:val="baseline"/>
          <w:rtl w:val="0"/>
        </w:rPr>
        <w:t xml:space="preserve">Z. BrzezinskiI. The grand chessboard, Basic Books, A Division of Harper Collins Publishers, 1997. </w:t>
      </w:r>
    </w:p>
    <w:p w:rsidR="00000000" w:rsidDel="00000000" w:rsidP="00000000" w:rsidRDefault="00000000" w:rsidRPr="00000000" w14:paraId="0000002B">
      <w:pPr>
        <w:numPr>
          <w:ilvl w:val="0"/>
          <w:numId w:val="1"/>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2C">
      <w:pPr>
        <w:numPr>
          <w:ilvl w:val="0"/>
          <w:numId w:val="1"/>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2D">
      <w:pPr>
        <w:numPr>
          <w:ilvl w:val="0"/>
          <w:numId w:val="1"/>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2E">
      <w:pPr>
        <w:numPr>
          <w:ilvl w:val="0"/>
          <w:numId w:val="1"/>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2F">
      <w:pPr>
        <w:numPr>
          <w:ilvl w:val="0"/>
          <w:numId w:val="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30">
      <w:pPr>
        <w:numPr>
          <w:ilvl w:val="0"/>
          <w:numId w:val="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31">
      <w:pPr>
        <w:numPr>
          <w:ilvl w:val="0"/>
          <w:numId w:val="1"/>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32">
      <w:pPr>
        <w:numPr>
          <w:ilvl w:val="0"/>
          <w:numId w:val="1"/>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33">
      <w:pPr>
        <w:numPr>
          <w:ilvl w:val="0"/>
          <w:numId w:val="1"/>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24">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34">
      <w:pPr>
        <w:numPr>
          <w:ilvl w:val="0"/>
          <w:numId w:val="1"/>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25">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35">
      <w:pPr>
        <w:numPr>
          <w:ilvl w:val="0"/>
          <w:numId w:val="1"/>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36">
      <w:pPr>
        <w:numPr>
          <w:ilvl w:val="0"/>
          <w:numId w:val="1"/>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bookmarkStart w:colFirst="0" w:colLast="0" w:name="bookmark=kix.nrfw513elxt9" w:id="6"/>
    <w:bookmarkEnd w:id="6"/>
    <w:p w:rsidR="00000000" w:rsidDel="00000000" w:rsidP="00000000" w:rsidRDefault="00000000" w:rsidRPr="00000000" w14:paraId="00000037">
      <w:pPr>
        <w:numPr>
          <w:ilvl w:val="0"/>
          <w:numId w:val="1"/>
        </w:numPr>
        <w:ind w:left="720" w:hanging="360"/>
        <w:jc w:val="both"/>
      </w:pPr>
      <w:r w:rsidDel="00000000" w:rsidR="00000000" w:rsidRPr="00000000">
        <w:rPr>
          <w:rtl w:val="0"/>
        </w:rPr>
        <w:t xml:space="preserve">H. Mackinder. Democratic ideals and reality, Pelican Books, N.Y., 1944.</w:t>
      </w:r>
    </w:p>
    <w:p w:rsidR="00000000" w:rsidDel="00000000" w:rsidP="00000000" w:rsidRDefault="00000000" w:rsidRPr="00000000" w14:paraId="00000038">
      <w:pPr>
        <w:numPr>
          <w:ilvl w:val="0"/>
          <w:numId w:val="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39">
      <w:pPr>
        <w:numPr>
          <w:ilvl w:val="0"/>
          <w:numId w:val="1"/>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3A">
      <w:pPr>
        <w:numPr>
          <w:ilvl w:val="0"/>
          <w:numId w:val="1"/>
        </w:numPr>
        <w:ind w:left="720" w:hanging="360"/>
        <w:jc w:val="both"/>
      </w:pPr>
      <w:r w:rsidDel="00000000" w:rsidR="00000000" w:rsidRPr="00000000">
        <w:rPr>
          <w:rtl w:val="0"/>
        </w:rPr>
        <w:t xml:space="preserve">Tkemaladze, J. (2025). Concept to the Living Space. Longevity Horizons. </w:t>
      </w:r>
      <w:hyperlink r:id="rId26">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03B">
      <w:pPr>
        <w:numPr>
          <w:ilvl w:val="0"/>
          <w:numId w:val="1"/>
        </w:numPr>
        <w:ind w:left="720" w:hanging="360"/>
        <w:jc w:val="both"/>
      </w:pPr>
      <w:r w:rsidDel="00000000" w:rsidR="00000000" w:rsidRPr="00000000">
        <w:rPr>
          <w:rtl w:val="0"/>
        </w:rPr>
        <w:t xml:space="preserve">Tkemaladze, J. (2025). Solutions to the Living Space Problem to Overcome the Fear of Resurrection from the Dead. DOI: </w:t>
      </w:r>
      <w:hyperlink r:id="rId27">
        <w:r w:rsidDel="00000000" w:rsidR="00000000" w:rsidRPr="00000000">
          <w:rPr>
            <w:color w:val="1155cc"/>
            <w:u w:val="single"/>
            <w:rtl w:val="0"/>
          </w:rPr>
          <w:t xml:space="preserve">10.13140/RG.2.2.34655.57768</w:t>
        </w:r>
      </w:hyperlink>
      <w:r w:rsidDel="00000000" w:rsidR="00000000" w:rsidRPr="00000000">
        <w:rPr>
          <w:rtl w:val="0"/>
        </w:rPr>
      </w:r>
    </w:p>
    <w:p w:rsidR="00000000" w:rsidDel="00000000" w:rsidP="00000000" w:rsidRDefault="00000000" w:rsidRPr="00000000" w14:paraId="0000003C">
      <w:pPr>
        <w:numPr>
          <w:ilvl w:val="0"/>
          <w:numId w:val="1"/>
        </w:numPr>
        <w:ind w:left="720" w:hanging="360"/>
        <w:jc w:val="both"/>
      </w:pPr>
      <w:r w:rsidDel="00000000" w:rsidR="00000000" w:rsidRPr="00000000">
        <w:rPr>
          <w:rtl w:val="0"/>
        </w:rPr>
        <w:t xml:space="preserve">Tkemaladze, J. (2025). The Concept of Data-Driven Automated Governance. Georgian Scientists, 6(4), 399–410. doi: </w:t>
      </w:r>
      <w:hyperlink r:id="rId28">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03D">
      <w:pPr>
        <w:numPr>
          <w:ilvl w:val="0"/>
          <w:numId w:val="1"/>
        </w:numPr>
        <w:ind w:left="720" w:hanging="360"/>
        <w:jc w:val="both"/>
      </w:pPr>
      <w:r w:rsidDel="00000000" w:rsidR="00000000" w:rsidRPr="00000000">
        <w:rPr>
          <w:rtl w:val="0"/>
        </w:rPr>
        <w:t xml:space="preserve">Tkemaladze, J. (2024). Elimination of centrioles. Georgian Scientists, 6(4), 291–307. doi: </w:t>
      </w:r>
      <w:hyperlink r:id="rId29">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03E">
      <w:pPr>
        <w:numPr>
          <w:ilvl w:val="0"/>
          <w:numId w:val="1"/>
        </w:numPr>
        <w:ind w:left="720" w:hanging="360"/>
        <w:jc w:val="both"/>
      </w:pPr>
      <w:r w:rsidDel="00000000" w:rsidR="00000000" w:rsidRPr="00000000">
        <w:rPr>
          <w:rtl w:val="0"/>
        </w:rPr>
        <w:t xml:space="preserve">Tkemaladze, J. (2024). The rate of stem cell division decreases with age. Georgian Scientists, 6(4), 228–242. doi: </w:t>
      </w:r>
      <w:hyperlink r:id="rId30">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03F">
      <w:pPr>
        <w:numPr>
          <w:ilvl w:val="0"/>
          <w:numId w:val="1"/>
        </w:numPr>
        <w:ind w:left="720" w:hanging="360"/>
        <w:jc w:val="both"/>
      </w:pPr>
      <w:r w:rsidDel="00000000" w:rsidR="00000000" w:rsidRPr="00000000">
        <w:rPr>
          <w:rtl w:val="0"/>
        </w:rPr>
        <w:t xml:space="preserve">Tkemaladze, J. (2024). Absence of centrioles and regenerative potential of planaria. Georgian Scientists, 6(4), 59–75. doi: </w:t>
      </w:r>
      <w:hyperlink r:id="rId31">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040">
      <w:pPr>
        <w:numPr>
          <w:ilvl w:val="0"/>
          <w:numId w:val="1"/>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32">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041">
      <w:pPr>
        <w:numPr>
          <w:ilvl w:val="0"/>
          <w:numId w:val="1"/>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33">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042">
      <w:pPr>
        <w:numPr>
          <w:ilvl w:val="0"/>
          <w:numId w:val="1"/>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34">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43">
      <w:pPr>
        <w:numPr>
          <w:ilvl w:val="0"/>
          <w:numId w:val="1"/>
        </w:numPr>
        <w:ind w:left="720" w:hanging="360"/>
        <w:jc w:val="both"/>
      </w:pPr>
      <w:r w:rsidDel="00000000" w:rsidR="00000000" w:rsidRPr="00000000">
        <w:rPr>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44">
      <w:pPr>
        <w:numPr>
          <w:ilvl w:val="0"/>
          <w:numId w:val="1"/>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35">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36">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045">
      <w:pPr>
        <w:numPr>
          <w:ilvl w:val="0"/>
          <w:numId w:val="1"/>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37">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046">
      <w:pPr>
        <w:numPr>
          <w:ilvl w:val="0"/>
          <w:numId w:val="1"/>
        </w:numPr>
        <w:ind w:left="720" w:hanging="360"/>
        <w:jc w:val="both"/>
      </w:pPr>
      <w:r w:rsidDel="00000000" w:rsidR="00000000" w:rsidRPr="00000000">
        <w:rPr>
          <w:rtl w:val="0"/>
        </w:rPr>
        <w:t xml:space="preserve">Tkemaladze, J. (2023). Cross-senolytic effects of dasatinib and quercetin in humans. Georgian Scientists, 5(3), 138–152. doi: </w:t>
      </w:r>
      <w:hyperlink r:id="rId38">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047">
      <w:pPr>
        <w:numPr>
          <w:ilvl w:val="0"/>
          <w:numId w:val="1"/>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39">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048">
      <w:pPr>
        <w:numPr>
          <w:ilvl w:val="0"/>
          <w:numId w:val="1"/>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40">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049">
      <w:pPr>
        <w:numPr>
          <w:ilvl w:val="0"/>
          <w:numId w:val="1"/>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4A">
      <w:pPr>
        <w:numPr>
          <w:ilvl w:val="0"/>
          <w:numId w:val="1"/>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4B">
      <w:pPr>
        <w:numPr>
          <w:ilvl w:val="0"/>
          <w:numId w:val="1"/>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4C">
      <w:pPr>
        <w:numPr>
          <w:ilvl w:val="0"/>
          <w:numId w:val="1"/>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04D">
      <w:pPr>
        <w:numPr>
          <w:ilvl w:val="0"/>
          <w:numId w:val="1"/>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04E">
      <w:pPr>
        <w:numPr>
          <w:ilvl w:val="0"/>
          <w:numId w:val="1"/>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4F">
      <w:pPr>
        <w:numPr>
          <w:ilvl w:val="0"/>
          <w:numId w:val="1"/>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50">
      <w:pPr>
        <w:numPr>
          <w:ilvl w:val="0"/>
          <w:numId w:val="1"/>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51">
      <w:pPr>
        <w:numPr>
          <w:ilvl w:val="0"/>
          <w:numId w:val="1"/>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Ткемаладзе, Д. В., ... &amp; Азмайпарашвили, З. А. СИСТЕМНЫЕ СОСТАВЛЯЮЩИЕ ЗДРАВООХРАНЕНИЯ И ИННОВАЦИЙ ДЛЯ ОРГАНИЗАЦИИ ЕВРОПЕЙСКОЙ НАНО-БИОМЕДИЦИНСКОЙ ЕКОСИСТЕМНОЙ ТЕХНОЛОГИЧЕСКОЙ ПЛАТФОРМЫ.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365.</w:t>
      </w:r>
    </w:p>
    <w:p w:rsidR="00000000" w:rsidDel="00000000" w:rsidP="00000000" w:rsidRDefault="00000000" w:rsidRPr="00000000" w14:paraId="00000052">
      <w:pPr>
        <w:numPr>
          <w:ilvl w:val="0"/>
          <w:numId w:val="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053">
      <w:pPr>
        <w:numPr>
          <w:ilvl w:val="0"/>
          <w:numId w:val="1"/>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54">
      <w:pPr>
        <w:numPr>
          <w:ilvl w:val="0"/>
          <w:numId w:val="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055">
      <w:pPr>
        <w:numPr>
          <w:ilvl w:val="0"/>
          <w:numId w:val="1"/>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bookmarkStart w:colFirst="0" w:colLast="0" w:name="bookmark=id.tyjcwt" w:id="7"/>
    <w:bookmarkEnd w:id="7"/>
    <w:p w:rsidR="00000000" w:rsidDel="00000000" w:rsidP="00000000" w:rsidRDefault="00000000" w:rsidRPr="00000000" w14:paraId="00000056">
      <w:pPr>
        <w:numPr>
          <w:ilvl w:val="0"/>
          <w:numId w:val="1"/>
        </w:numPr>
        <w:ind w:left="720" w:hanging="360"/>
        <w:jc w:val="both"/>
      </w:pPr>
      <w:r w:rsidDel="00000000" w:rsidR="00000000" w:rsidRPr="00000000">
        <w:rPr>
          <w:vertAlign w:val="baseline"/>
          <w:rtl w:val="0"/>
        </w:rPr>
        <w:t xml:space="preserve">А. Дугин. Основы геополитики, Арктогеа - центр, М., 1999. </w:t>
      </w:r>
    </w:p>
    <w:p w:rsidR="00000000" w:rsidDel="00000000" w:rsidP="00000000" w:rsidRDefault="00000000" w:rsidRPr="00000000" w14:paraId="00000057">
      <w:pPr>
        <w:jc w:val="both"/>
        <w:rPr>
          <w:vertAlign w:val="baseline"/>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340/2023.01.01.15" TargetMode="External"/><Relationship Id="rId20" Type="http://schemas.openxmlformats.org/officeDocument/2006/relationships/hyperlink" Target="http://www.geographic.ge/" TargetMode="External"/><Relationship Id="rId22" Type="http://schemas.openxmlformats.org/officeDocument/2006/relationships/hyperlink" Target="http://www.jabat.narod.ru/008/gpl/image/0001_03max.jpg" TargetMode="External"/><Relationship Id="rId21" Type="http://schemas.openxmlformats.org/officeDocument/2006/relationships/hyperlink" Target="http://www.global.ge/jgr/2004/031114.htm#Pic%203" TargetMode="External"/><Relationship Id="rId24" Type="http://schemas.openxmlformats.org/officeDocument/2006/relationships/hyperlink" Target="https://doi.org/10.52340/2023.01.01.20" TargetMode="External"/><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id.org/0000-0001-8651-7243" TargetMode="External"/><Relationship Id="rId26" Type="http://schemas.openxmlformats.org/officeDocument/2006/relationships/hyperlink" Target="https://doi.org/10.5281/zenodo.14635991" TargetMode="External"/><Relationship Id="rId25" Type="http://schemas.openxmlformats.org/officeDocument/2006/relationships/hyperlink" Target="https://doi.org/10.52340/2023.01.01.19" TargetMode="External"/><Relationship Id="rId28" Type="http://schemas.openxmlformats.org/officeDocument/2006/relationships/hyperlink" Target="https://doi.org/10.52340/gs.2024.06.04.38" TargetMode="External"/><Relationship Id="rId27" Type="http://schemas.openxmlformats.org/officeDocument/2006/relationships/hyperlink" Target="http://dx.doi.org/10.13140/RG.2.2.34655.57768"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52340/gs.2024.06.04.25" TargetMode="External"/><Relationship Id="rId7" Type="http://schemas.openxmlformats.org/officeDocument/2006/relationships/hyperlink" Target="mailto:Al-3-Ts@yandex.ru" TargetMode="External"/><Relationship Id="rId8" Type="http://schemas.openxmlformats.org/officeDocument/2006/relationships/hyperlink" Target="mailto:djabbat@yahoo.com" TargetMode="External"/><Relationship Id="rId31" Type="http://schemas.openxmlformats.org/officeDocument/2006/relationships/hyperlink" Target="https://doi.org/10.52340/gs.2024.06.04.08" TargetMode="External"/><Relationship Id="rId30" Type="http://schemas.openxmlformats.org/officeDocument/2006/relationships/hyperlink" Target="https://doi.org/10.52340/gs.2024.06.04.21" TargetMode="External"/><Relationship Id="rId11" Type="http://schemas.openxmlformats.org/officeDocument/2006/relationships/hyperlink" Target="http://www.global.ge/jgr/2004/031114.htm#1" TargetMode="External"/><Relationship Id="rId33" Type="http://schemas.openxmlformats.org/officeDocument/2006/relationships/hyperlink" Target="https://doi.org/10.52340/gs.2024.06.02.32" TargetMode="External"/><Relationship Id="rId10" Type="http://schemas.openxmlformats.org/officeDocument/2006/relationships/hyperlink" Target="mailto:jtkemaladze@longevity.ge" TargetMode="External"/><Relationship Id="rId32" Type="http://schemas.openxmlformats.org/officeDocument/2006/relationships/hyperlink" Target="https://doi.org/10.52340/gs.2024.06.02.44" TargetMode="External"/><Relationship Id="rId13" Type="http://schemas.openxmlformats.org/officeDocument/2006/relationships/hyperlink" Target="http://www.global.ge/jgr/2004/031114.htm#2" TargetMode="External"/><Relationship Id="rId35" Type="http://schemas.openxmlformats.org/officeDocument/2006/relationships/hyperlink" Target="https://ssrn.com/abstract=4633202" TargetMode="External"/><Relationship Id="rId12" Type="http://schemas.openxmlformats.org/officeDocument/2006/relationships/hyperlink" Target="http://www.global.ge/jgr/2004/031114.htm#Pic%201" TargetMode="External"/><Relationship Id="rId34" Type="http://schemas.openxmlformats.org/officeDocument/2006/relationships/hyperlink" Target="https://doi.org/10.52340/gs.2024.06.02.04" TargetMode="External"/><Relationship Id="rId15" Type="http://schemas.openxmlformats.org/officeDocument/2006/relationships/hyperlink" Target="http://www.jabat.narod.ru/008/gpl/image/0001_01max.jpg" TargetMode="External"/><Relationship Id="rId37" Type="http://schemas.openxmlformats.org/officeDocument/2006/relationships/hyperlink" Target="https://doi.org/10.52340/2023.05.03.22" TargetMode="External"/><Relationship Id="rId14" Type="http://schemas.openxmlformats.org/officeDocument/2006/relationships/hyperlink" Target="http://www.global.ge/jgr/2004/031114.htm#3" TargetMode="External"/><Relationship Id="rId36" Type="http://schemas.openxmlformats.org/officeDocument/2006/relationships/hyperlink" Target="https://dx.doi.org/10.2139/ssrn.4633202" TargetMode="External"/><Relationship Id="rId17" Type="http://schemas.openxmlformats.org/officeDocument/2006/relationships/hyperlink" Target="http://www.global.ge/jgr/2004/031114.htm#Pic%202" TargetMode="External"/><Relationship Id="rId39" Type="http://schemas.openxmlformats.org/officeDocument/2006/relationships/hyperlink" Target="https://doi.org/10.52340/2023.01.01.17" TargetMode="External"/><Relationship Id="rId16" Type="http://schemas.openxmlformats.org/officeDocument/2006/relationships/image" Target="media/image1.jpg"/><Relationship Id="rId38" Type="http://schemas.openxmlformats.org/officeDocument/2006/relationships/hyperlink" Target="https://doi.org/10.52340/2023.05.03.15" TargetMode="External"/><Relationship Id="rId19" Type="http://schemas.openxmlformats.org/officeDocument/2006/relationships/image" Target="media/image3.jpg"/><Relationship Id="rId18" Type="http://schemas.openxmlformats.org/officeDocument/2006/relationships/hyperlink" Target="http://www.jabat.narod.ru/008/gpl/image/0001_02max_georgia_center.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lc+8pAtGwRGOiH7hFFSMBLLQCA==">CgMxLjAyDWguOGo1cmUzZW1kb2oyCWlkLmdqZGd4czIKaWQuMzBqMHpsbDIKaWQuMWZvYjl0ZTIKaWQuM3pueXNoNzIOaC5rNnRqMDQyZ3p1Z28yEGtpeC5ucmZ3NTEzZWx4dDkyCWlkLnR5amN3dDgAciExeUFsOUNKVXBLbWk2WHRxM3lmb1drdTl4SERxR1JxOS0=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