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ind w:left="0" w:right="0" w:firstLine="0"/>
        <w:jc w:val="center"/>
        <w:rPr>
          <w:rFonts w:ascii="Arial" w:cs="Arial" w:eastAsia="Arial" w:hAnsi="Arial"/>
          <w:b w:val="1"/>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02">
      <w:pPr>
        <w:spacing w:after="0" w:before="0" w:line="276" w:lineRule="auto"/>
        <w:ind w:left="0" w:right="0" w:firstLine="0"/>
        <w:jc w:val="center"/>
        <w:rPr>
          <w:rFonts w:ascii="Arial" w:cs="Arial" w:eastAsia="Arial" w:hAnsi="Arial"/>
          <w:b w:val="1"/>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1. When re-submitting, please choose 'Review' for the article type.</w:t>
      </w:r>
    </w:p>
    <w:p w:rsidR="00000000" w:rsidDel="00000000" w:rsidP="00000000" w:rsidRDefault="00000000" w:rsidRPr="00000000" w14:paraId="00000004">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2. Please make sure that you include the most recent literature available.</w:t>
      </w:r>
    </w:p>
    <w:p w:rsidR="00000000" w:rsidDel="00000000" w:rsidP="00000000" w:rsidRDefault="00000000" w:rsidRPr="00000000" w14:paraId="00000006">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3. If you have embedded your figures in the text, please also submit each Figure separately in the correct format and at high resolution. Please make sure that any text is large, crisp and easily read.</w:t>
      </w:r>
    </w:p>
    <w:p w:rsidR="00000000" w:rsidDel="00000000" w:rsidP="00000000" w:rsidRDefault="00000000" w:rsidRPr="00000000" w14:paraId="00000008">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Comments to the author (if any):</w:t>
      </w:r>
    </w:p>
    <w:p w:rsidR="00000000" w:rsidDel="00000000" w:rsidP="00000000" w:rsidRDefault="00000000" w:rsidRPr="00000000" w14:paraId="0000000A">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Reviewer #1: This is a very nice review on the field, which somewhat suffers from the razor-focus on the intrinsic mechanisms of stem cell aging, e.g., accumulation of centrioles in stem cells, as the key factor. The work would benefit from reviewing the extrinsic rejuvenation of old stem cells in all three germ layers tissues by not only heterochronic parabiosis, but also by a single dilution of old systemic milieu. Such approaches are important as they demonstrate extrinsic rapid and robust improvement of stem cells - regenerative responses. On the opposite side of the same paradigm, rapid aging and even senescence of young cells in muscle (stem / satellite cells), liver, kidney and brain takes place from a single exposure to old blood, before time-dependent intrinsic changes could accumulate. My suggestion is to incorporate these recent relevant publications (Aging, Gerosciecne, Nature Metabolism 2020 - 2022) into this review.</w:t>
      </w:r>
    </w:p>
    <w:p w:rsidR="00000000" w:rsidDel="00000000" w:rsidP="00000000" w:rsidRDefault="00000000" w:rsidRPr="00000000" w14:paraId="0000000B">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It would be also good to provide a general schematic of the stem cell - niche aging before the deeper dive into the centriole figures.</w:t>
      </w:r>
    </w:p>
    <w:p w:rsidR="00000000" w:rsidDel="00000000" w:rsidP="00000000" w:rsidRDefault="00000000" w:rsidRPr="00000000" w14:paraId="0000000D">
      <w:pPr>
        <w:spacing w:after="0" w:before="0" w:line="276" w:lineRule="auto"/>
        <w:ind w:left="0" w:right="0" w:firstLine="0"/>
        <w:jc w:val="left"/>
        <w:rPr>
          <w:rFonts w:ascii="Arial" w:cs="Arial" w:eastAsia="Arial" w:hAnsi="Arial"/>
          <w:color w:val="111111"/>
          <w:sz w:val="22"/>
          <w:szCs w:val="22"/>
        </w:rPr>
      </w:pPr>
      <w:r w:rsidDel="00000000" w:rsidR="00000000" w:rsidRPr="00000000">
        <w:rPr>
          <w:rtl w:val="0"/>
        </w:rPr>
      </w:r>
    </w:p>
    <w:p w:rsidR="00000000" w:rsidDel="00000000" w:rsidP="00000000" w:rsidRDefault="00000000" w:rsidRPr="00000000" w14:paraId="0000000E">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Reduction, </w:t>
      </w:r>
      <w:r w:rsidDel="00000000" w:rsidR="00000000" w:rsidRPr="00000000">
        <w:rPr>
          <w:rFonts w:ascii="Arial" w:cs="Arial" w:eastAsia="Arial" w:hAnsi="Arial"/>
          <w:color w:val="222222"/>
          <w:sz w:val="22"/>
          <w:szCs w:val="22"/>
          <w:highlight w:val="white"/>
          <w:vertAlign w:val="baseline"/>
          <w:rtl w:val="0"/>
        </w:rPr>
        <w:t xml:space="preserve">proliferation, and differentiation defects</w:t>
      </w:r>
      <w:r w:rsidDel="00000000" w:rsidR="00000000" w:rsidRPr="00000000">
        <w:rPr>
          <w:rFonts w:ascii="Arial" w:cs="Arial" w:eastAsia="Arial" w:hAnsi="Arial"/>
          <w:color w:val="111111"/>
          <w:sz w:val="22"/>
          <w:szCs w:val="22"/>
          <w:shd w:fill="auto" w:val="clear"/>
          <w:vertAlign w:val="baseline"/>
          <w:rtl w:val="0"/>
        </w:rPr>
        <w:t xml:space="preserve"> of stem cells over time – a consequence of selective accumulation of old centrioles in the stem cells?</w:t>
      </w:r>
    </w:p>
    <w:p w:rsidR="00000000" w:rsidDel="00000000" w:rsidP="00000000" w:rsidRDefault="00000000" w:rsidRPr="00000000" w14:paraId="0000000F">
      <w:pPr>
        <w:spacing w:after="0" w:before="0" w:line="276" w:lineRule="auto"/>
        <w:ind w:left="0" w:right="0" w:firstLine="0"/>
        <w:jc w:val="left"/>
        <w:rPr>
          <w:rFonts w:ascii="Arial" w:cs="Arial" w:eastAsia="Arial" w:hAnsi="Arial"/>
          <w:color w:val="111111"/>
          <w:sz w:val="22"/>
          <w:szCs w:val="22"/>
        </w:rPr>
      </w:pPr>
      <w:r w:rsidDel="00000000" w:rsidR="00000000" w:rsidRPr="00000000">
        <w:rPr>
          <w:rtl w:val="0"/>
        </w:rPr>
      </w:r>
    </w:p>
    <w:p w:rsidR="00000000" w:rsidDel="00000000" w:rsidP="00000000" w:rsidRDefault="00000000" w:rsidRPr="00000000" w14:paraId="00000010">
      <w:pPr>
        <w:keepNext w:val="0"/>
        <w:keepLines w:val="0"/>
        <w:shd w:fill="ffffff" w:val="clear"/>
        <w:spacing w:line="335.99999999999994" w:lineRule="auto"/>
        <w:rPr>
          <w:b w:val="1"/>
        </w:rPr>
      </w:pPr>
      <w:r w:rsidDel="00000000" w:rsidR="00000000" w:rsidRPr="00000000">
        <w:rPr>
          <w:b w:val="1"/>
          <w:rtl w:val="0"/>
        </w:rPr>
        <w:t xml:space="preserve">Reduction, proliferation, and differentiation defects of stem cells over time: a consequence of selective accumulation of old centrioles in the stem cells?</w:t>
      </w:r>
    </w:p>
    <w:p w:rsidR="00000000" w:rsidDel="00000000" w:rsidP="00000000" w:rsidRDefault="00000000" w:rsidRPr="00000000" w14:paraId="00000011">
      <w:pPr>
        <w:spacing w:after="0" w:before="0" w:line="276" w:lineRule="auto"/>
        <w:ind w:left="0" w:right="0" w:firstLine="0"/>
        <w:jc w:val="left"/>
        <w:rPr>
          <w:rFonts w:ascii="Arial" w:cs="Arial" w:eastAsia="Arial" w:hAnsi="Arial"/>
          <w:color w:val="111111"/>
          <w:sz w:val="22"/>
          <w:szCs w:val="22"/>
        </w:rPr>
      </w:pPr>
      <w:r w:rsidDel="00000000" w:rsidR="00000000" w:rsidRPr="00000000">
        <w:rPr>
          <w:rtl w:val="0"/>
        </w:rPr>
      </w:r>
    </w:p>
    <w:p w:rsidR="00000000" w:rsidDel="00000000" w:rsidP="00000000" w:rsidRDefault="00000000" w:rsidRPr="00000000" w14:paraId="00000012">
      <w:pPr>
        <w:spacing w:after="0" w:before="0" w:line="276" w:lineRule="auto"/>
        <w:ind w:left="0" w:right="0" w:firstLine="0"/>
        <w:jc w:val="center"/>
        <w:rPr>
          <w:rFonts w:ascii="Arial" w:cs="Arial" w:eastAsia="Arial" w:hAnsi="Arial"/>
          <w:b w:val="1"/>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13">
      <w:pPr>
        <w:spacing w:after="0" w:before="0" w:line="276" w:lineRule="auto"/>
        <w:ind w:left="0" w:right="0" w:firstLine="0"/>
        <w:jc w:val="right"/>
        <w:rPr>
          <w:rFonts w:ascii="Arial" w:cs="Arial" w:eastAsia="Arial" w:hAnsi="Arial"/>
          <w:i w:val="1"/>
          <w:color w:val="111111"/>
          <w:sz w:val="22"/>
          <w:szCs w:val="22"/>
          <w:shd w:fill="auto" w:val="clear"/>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Jaba Tkemaladze*</w:t>
      </w:r>
    </w:p>
    <w:p w:rsidR="00000000" w:rsidDel="00000000" w:rsidP="00000000" w:rsidRDefault="00000000" w:rsidRPr="00000000" w14:paraId="00000014">
      <w:pPr>
        <w:spacing w:after="0" w:before="240" w:line="240" w:lineRule="auto"/>
        <w:ind w:left="0" w:right="0" w:firstLine="0"/>
        <w:jc w:val="right"/>
        <w:rPr>
          <w:rFonts w:ascii="Arial" w:cs="Arial" w:eastAsia="Arial" w:hAnsi="Arial"/>
          <w:i w:val="1"/>
          <w:color w:val="111111"/>
          <w:sz w:val="22"/>
          <w:szCs w:val="22"/>
          <w:highlight w:val="white"/>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Free University of Tbilisi. </w:t>
      </w:r>
      <w:r w:rsidDel="00000000" w:rsidR="00000000" w:rsidRPr="00000000">
        <w:rPr>
          <w:rFonts w:ascii="Arial" w:cs="Arial" w:eastAsia="Arial" w:hAnsi="Arial"/>
          <w:i w:val="1"/>
          <w:color w:val="000000"/>
          <w:sz w:val="22"/>
          <w:szCs w:val="22"/>
          <w:shd w:fill="auto" w:val="clear"/>
          <w:vertAlign w:val="baseline"/>
          <w:rtl w:val="0"/>
        </w:rPr>
        <w:t xml:space="preserve">240 David Aghmashenebeli Alley, 0159, Tbilisi, Georgia</w:t>
      </w:r>
      <w:r w:rsidDel="00000000" w:rsidR="00000000" w:rsidRPr="00000000">
        <w:rPr>
          <w:rtl w:val="0"/>
        </w:rPr>
      </w:r>
    </w:p>
    <w:p w:rsidR="00000000" w:rsidDel="00000000" w:rsidP="00000000" w:rsidRDefault="00000000" w:rsidRPr="00000000" w14:paraId="00000015">
      <w:pPr>
        <w:spacing w:after="0" w:before="0" w:line="276" w:lineRule="auto"/>
        <w:ind w:left="0" w:right="0" w:firstLine="0"/>
        <w:jc w:val="right"/>
        <w:rPr>
          <w:rFonts w:ascii="Arial" w:cs="Arial" w:eastAsia="Arial" w:hAnsi="Arial"/>
          <w:i w:val="1"/>
          <w:color w:val="212121"/>
          <w:sz w:val="22"/>
          <w:szCs w:val="22"/>
          <w:highlight w:val="white"/>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 </w:t>
      </w:r>
      <w:hyperlink r:id="rId7">
        <w:r w:rsidDel="00000000" w:rsidR="00000000" w:rsidRPr="00000000">
          <w:rPr>
            <w:rFonts w:ascii="Arial" w:cs="Arial" w:eastAsia="Arial" w:hAnsi="Arial"/>
            <w:i w:val="1"/>
            <w:color w:val="1155cc"/>
            <w:sz w:val="22"/>
            <w:szCs w:val="22"/>
            <w:u w:val="single"/>
            <w:shd w:fill="auto" w:val="clear"/>
            <w:vertAlign w:val="baseline"/>
            <w:rtl w:val="0"/>
          </w:rPr>
          <w:t xml:space="preserve">jtkemaladze@longevity.ge</w:t>
        </w:r>
      </w:hyperlink>
      <w:r w:rsidDel="00000000" w:rsidR="00000000" w:rsidRPr="00000000">
        <w:rPr>
          <w:rFonts w:ascii="Arial" w:cs="Arial" w:eastAsia="Arial" w:hAnsi="Arial"/>
          <w:i w:val="1"/>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1"/>
        <w:keepLines w:val="1"/>
        <w:spacing w:after="80" w:before="240" w:line="240" w:lineRule="auto"/>
        <w:ind w:left="0" w:right="0" w:firstLine="0"/>
        <w:jc w:val="both"/>
        <w:rPr>
          <w:rFonts w:ascii="Arial" w:cs="Arial" w:eastAsia="Arial" w:hAnsi="Arial"/>
          <w:i w:val="1"/>
          <w:color w:val="666666"/>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7">
      <w:pPr>
        <w:keepNext w:val="1"/>
        <w:keepLines w:val="1"/>
        <w:spacing w:after="80" w:before="240" w:line="240"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All molecules, structures, cells in organisms are subjected to destruction during the process of vital activities. In the organisms of most multicellular animals and humans, the regeneration process always takes place: destruction of old cells and their replacement with the new. The replacement of cells happens even if the cells are in perfect condition. The sooner the organism destroys the cells that emerged a certain time ago and replaces them with the new (i.e., the higher is the regeneration tempo), the younger the organism is.</w:t>
      </w:r>
    </w:p>
    <w:p w:rsidR="00000000" w:rsidDel="00000000" w:rsidP="00000000" w:rsidRDefault="00000000" w:rsidRPr="00000000" w14:paraId="00000018">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9">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Stem cells are progenitor cells of the substituting young cells. Asymmetric division of a mother stem cell gives rise to one, analogous to the mother, daughter cell, and to a second daughter cell that takes the path of further differentiation. Despite such asymmetric divisions, the pool of stem cells diminishes in its quantity over time. Moreover, intervals between stem cell divisions increase. The combination of these two processes causes the decline of regeneration tempo and aging of the organism. </w:t>
      </w:r>
    </w:p>
    <w:p w:rsidR="00000000" w:rsidDel="00000000" w:rsidP="00000000" w:rsidRDefault="00000000" w:rsidRPr="00000000" w14:paraId="0000001A">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1B">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During asymmetric stem cell divisions daughter cells, with preserved potency of the stem cell, selectively conserve mother (old) centrioles. In contrast with molecules of nuclear DNA, reparations do not take place in centrioles. Hypothetically, old centrioles are more subjected to destruction than other structures of a cell – which makes centrioles potentially the main structure of aging. </w:t>
      </w:r>
      <w:r w:rsidDel="00000000" w:rsidR="00000000" w:rsidRPr="00000000">
        <w:rPr>
          <w:rtl w:val="0"/>
        </w:rPr>
      </w:r>
    </w:p>
    <w:p w:rsidR="00000000" w:rsidDel="00000000" w:rsidP="00000000" w:rsidRDefault="00000000" w:rsidRPr="00000000" w14:paraId="0000001C">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Keywords: </w:t>
      </w:r>
      <w:r w:rsidDel="00000000" w:rsidR="00000000" w:rsidRPr="00000000">
        <w:rPr>
          <w:rFonts w:ascii="Arial" w:cs="Arial" w:eastAsia="Arial" w:hAnsi="Arial"/>
          <w:color w:val="111111"/>
          <w:sz w:val="22"/>
          <w:szCs w:val="22"/>
          <w:highlight w:val="white"/>
          <w:vertAlign w:val="baseline"/>
          <w:rtl w:val="0"/>
        </w:rPr>
        <w:t xml:space="preserve">centriole; differentiation; regeneration; aging; senescence; stem cells</w:t>
      </w:r>
      <w:r w:rsidDel="00000000" w:rsidR="00000000" w:rsidRPr="00000000">
        <w:rPr>
          <w:rtl w:val="0"/>
        </w:rPr>
      </w:r>
    </w:p>
    <w:p w:rsidR="00000000" w:rsidDel="00000000" w:rsidP="00000000" w:rsidRDefault="00000000" w:rsidRPr="00000000" w14:paraId="0000001E">
      <w:pPr>
        <w:keepNext w:val="1"/>
        <w:keepLines w:val="1"/>
        <w:spacing w:after="2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1. Introduction</w:t>
      </w:r>
    </w:p>
    <w:p w:rsidR="00000000" w:rsidDel="00000000" w:rsidP="00000000" w:rsidRDefault="00000000" w:rsidRPr="00000000" w14:paraId="0000001F">
      <w:pPr>
        <w:spacing w:after="280" w:before="0" w:line="240"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rFonts w:ascii="Arial" w:cs="Arial" w:eastAsia="Arial" w:hAnsi="Arial"/>
          <w:color w:val="111111"/>
          <w:sz w:val="22"/>
          <w:szCs w:val="22"/>
          <w:highlight w:val="white"/>
          <w:vertAlign w:val="baseline"/>
          <w:rtl w:val="0"/>
        </w:rPr>
        <w:t xml:space="preserve">&gt;</w:t>
      </w:r>
      <w:r w:rsidDel="00000000" w:rsidR="00000000" w:rsidRPr="00000000">
        <w:rPr>
          <w:rFonts w:ascii="Arial" w:cs="Arial" w:eastAsia="Arial" w:hAnsi="Arial"/>
          <w:color w:val="111111"/>
          <w:sz w:val="22"/>
          <w:szCs w:val="22"/>
          <w:shd w:fill="auto" w:val="clear"/>
          <w:vertAlign w:val="baseline"/>
          <w:rtl w:val="0"/>
        </w:rPr>
        <w:t xml:space="preserve">3,72 × 10 </w:t>
      </w:r>
      <w:r w:rsidDel="00000000" w:rsidR="00000000" w:rsidRPr="00000000">
        <w:rPr>
          <w:rFonts w:ascii="Arial" w:cs="Arial" w:eastAsia="Arial" w:hAnsi="Arial"/>
          <w:color w:val="111111"/>
          <w:sz w:val="22"/>
          <w:szCs w:val="22"/>
          <w:shd w:fill="auto" w:val="clear"/>
          <w:vertAlign w:val="superscript"/>
          <w:rtl w:val="0"/>
        </w:rPr>
        <w:t xml:space="preserve">13</w:t>
      </w:r>
      <w:r w:rsidDel="00000000" w:rsidR="00000000" w:rsidRPr="00000000">
        <w:rPr>
          <w:rFonts w:ascii="Arial" w:cs="Arial" w:eastAsia="Arial" w:hAnsi="Arial"/>
          <w:color w:val="111111"/>
          <w:sz w:val="22"/>
          <w:szCs w:val="22"/>
          <w:shd w:fill="auto" w:val="clear"/>
          <w:vertAlign w:val="baseline"/>
          <w:rtl w:val="0"/>
        </w:rPr>
        <w:t xml:space="preserve">(</w:t>
      </w:r>
      <w:r w:rsidDel="00000000" w:rsidR="00000000" w:rsidRPr="00000000">
        <w:rPr>
          <w:rFonts w:ascii="Arial" w:cs="Arial" w:eastAsia="Arial" w:hAnsi="Arial"/>
          <w:color w:val="111111"/>
          <w:sz w:val="22"/>
          <w:szCs w:val="22"/>
          <w:highlight w:val="white"/>
          <w:vertAlign w:val="baseline"/>
          <w:rtl w:val="0"/>
        </w:rPr>
        <w:t xml:space="preserve">Bianconi, 2013</w:t>
      </w:r>
      <w:r w:rsidDel="00000000" w:rsidR="00000000" w:rsidRPr="00000000">
        <w:rPr>
          <w:rFonts w:ascii="Arial" w:cs="Arial" w:eastAsia="Arial" w:hAnsi="Arial"/>
          <w:color w:val="111111"/>
          <w:sz w:val="22"/>
          <w:szCs w:val="22"/>
          <w:shd w:fill="auto" w:val="clear"/>
          <w:vertAlign w:val="baseline"/>
          <w:rtl w:val="0"/>
        </w:rPr>
        <w:t xml:space="preserve">) cells of a fully grown human stem from a single cell – fertilized egg (</w:t>
      </w:r>
      <w:r w:rsidDel="00000000" w:rsidR="00000000" w:rsidRPr="00000000">
        <w:rPr>
          <w:rFonts w:ascii="Arial" w:cs="Arial" w:eastAsia="Arial" w:hAnsi="Arial"/>
          <w:color w:val="111111"/>
          <w:sz w:val="22"/>
          <w:szCs w:val="22"/>
          <w:highlight w:val="white"/>
          <w:vertAlign w:val="baseline"/>
          <w:rtl w:val="0"/>
        </w:rPr>
        <w:t xml:space="preserve">Vaillancourt, 2009)</w:t>
      </w:r>
      <w:r w:rsidDel="00000000" w:rsidR="00000000" w:rsidRPr="00000000">
        <w:rPr>
          <w:rFonts w:ascii="Arial" w:cs="Arial" w:eastAsia="Arial" w:hAnsi="Arial"/>
          <w:color w:val="111111"/>
          <w:sz w:val="22"/>
          <w:szCs w:val="22"/>
          <w:shd w:fill="auto" w:val="clear"/>
          <w:vertAlign w:val="baseline"/>
          <w:rtl w:val="0"/>
        </w:rPr>
        <w:t xml:space="preserve">. Among tens of trillions of cells, there are under 200 types of them (</w:t>
      </w:r>
      <w:r w:rsidDel="00000000" w:rsidR="00000000" w:rsidRPr="00000000">
        <w:rPr>
          <w:rFonts w:ascii="Arial" w:cs="Arial" w:eastAsia="Arial" w:hAnsi="Arial"/>
          <w:color w:val="111111"/>
          <w:sz w:val="22"/>
          <w:szCs w:val="22"/>
          <w:highlight w:val="white"/>
          <w:vertAlign w:val="baseline"/>
          <w:rtl w:val="0"/>
        </w:rPr>
        <w:t xml:space="preserve">Khan, 2022</w:t>
      </w:r>
      <w:r w:rsidDel="00000000" w:rsidR="00000000" w:rsidRPr="00000000">
        <w:rPr>
          <w:rFonts w:ascii="Arial" w:cs="Arial" w:eastAsia="Arial" w:hAnsi="Arial"/>
          <w:color w:val="111111"/>
          <w:sz w:val="22"/>
          <w:szCs w:val="22"/>
          <w:shd w:fill="auto" w:val="clear"/>
          <w:vertAlign w:val="baseline"/>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rFonts w:ascii="Arial" w:cs="Arial" w:eastAsia="Arial" w:hAnsi="Arial"/>
          <w:color w:val="111111"/>
          <w:sz w:val="22"/>
          <w:szCs w:val="22"/>
          <w:highlight w:val="white"/>
          <w:vertAlign w:val="baseline"/>
          <w:rtl w:val="0"/>
        </w:rPr>
        <w:t xml:space="preserve">Boulan, 2021</w:t>
      </w:r>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20">
      <w:pPr>
        <w:spacing w:after="280" w:before="0" w:line="240"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There is a constant replacement of old cells with the new – regeneration process goes on unceasingly. In theory, regeneration tempo should remain steady as stem cells – source of cell and tissue regeneration – must not decrease in quantity. The stem cells divide asymmetrically: as the mother stem cell divides, one of its daughter cells takes the path of differentiation. While the other daughter cell preserves a potency of a stem cell, thus remaining identical to the mother stem cell. Thus, the ‘depleted’ mother stem cell is replaced by the daughter cell with preserved stemness potency – the stem cells quantity is kept intact, accordingly. On that basis, organisms of animals and humans must not age. But prevailing conditions are reversed, one generation of people after another ages and so far not a single mutation has taken place that might turn things around and put a halt to aging. Our current understanding of stem cells, their potency, and cell differentiation are still insufficient to understand the aging mechanisms. </w:t>
      </w:r>
    </w:p>
    <w:p w:rsidR="00000000" w:rsidDel="00000000" w:rsidP="00000000" w:rsidRDefault="00000000" w:rsidRPr="00000000" w14:paraId="00000021">
      <w:pPr>
        <w:spacing w:after="280" w:before="0" w:line="240"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1.1. Potency and differentiation</w:t>
      </w:r>
    </w:p>
    <w:p w:rsidR="00000000" w:rsidDel="00000000" w:rsidP="00000000" w:rsidRDefault="00000000" w:rsidRPr="00000000" w14:paraId="00000022">
      <w:pPr>
        <w:spacing w:after="0" w:before="0" w:line="276" w:lineRule="auto"/>
        <w:ind w:left="0" w:right="0" w:firstLine="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The word ‘potency’ usually defines the</w:t>
      </w:r>
      <w:r w:rsidDel="00000000" w:rsidR="00000000" w:rsidRPr="00000000">
        <w:rPr>
          <w:rFonts w:ascii="Arial" w:cs="Arial" w:eastAsia="Arial" w:hAnsi="Arial"/>
          <w:color w:val="111111"/>
          <w:sz w:val="22"/>
          <w:szCs w:val="22"/>
          <w:highlight w:val="white"/>
          <w:vertAlign w:val="baseline"/>
          <w:rtl w:val="0"/>
        </w:rPr>
        <w:t xml:space="preserve"> ability or capacity, however not necessarily realized; in its reference to a cell, </w:t>
      </w:r>
      <w:r w:rsidDel="00000000" w:rsidR="00000000" w:rsidRPr="00000000">
        <w:rPr>
          <w:rFonts w:ascii="Arial" w:cs="Arial" w:eastAsia="Arial" w:hAnsi="Arial"/>
          <w:color w:val="111111"/>
          <w:sz w:val="22"/>
          <w:szCs w:val="22"/>
          <w:shd w:fill="auto" w:val="clear"/>
          <w:vertAlign w:val="baseline"/>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rFonts w:ascii="Arial" w:cs="Arial" w:eastAsia="Arial" w:hAnsi="Arial"/>
          <w:color w:val="111111"/>
          <w:sz w:val="22"/>
          <w:szCs w:val="22"/>
          <w:highlight w:val="white"/>
          <w:vertAlign w:val="baseline"/>
          <w:rtl w:val="0"/>
        </w:rPr>
        <w:t xml:space="preserve">(</w:t>
      </w:r>
      <w:hyperlink r:id="rId8">
        <w:r w:rsidDel="00000000" w:rsidR="00000000" w:rsidRPr="00000000">
          <w:rPr>
            <w:rFonts w:ascii="Arial" w:cs="Arial" w:eastAsia="Arial" w:hAnsi="Arial"/>
            <w:color w:val="111111"/>
            <w:sz w:val="22"/>
            <w:szCs w:val="22"/>
            <w:u w:val="single"/>
            <w:shd w:fill="auto" w:val="clear"/>
            <w:vertAlign w:val="baseline"/>
            <w:rtl w:val="0"/>
          </w:rPr>
          <w:t xml:space="preserve">Binder, 2009</w:t>
        </w:r>
      </w:hyperlink>
      <w:r w:rsidDel="00000000" w:rsidR="00000000" w:rsidRPr="00000000">
        <w:rPr>
          <w:rFonts w:ascii="Arial" w:cs="Arial" w:eastAsia="Arial" w:hAnsi="Arial"/>
          <w:color w:val="111111"/>
          <w:sz w:val="22"/>
          <w:szCs w:val="22"/>
          <w:highlight w:val="white"/>
          <w:vertAlign w:val="baseline"/>
          <w:rtl w:val="0"/>
        </w:rPr>
        <w:t xml:space="preserve">)</w:t>
      </w:r>
      <w:r w:rsidDel="00000000" w:rsidR="00000000" w:rsidRPr="00000000">
        <w:rPr>
          <w:rFonts w:ascii="Arial" w:cs="Arial" w:eastAsia="Arial" w:hAnsi="Arial"/>
          <w:color w:val="111111"/>
          <w:sz w:val="22"/>
          <w:szCs w:val="22"/>
          <w:shd w:fill="auto" w:val="clear"/>
          <w:vertAlign w:val="baseline"/>
          <w:rtl w:val="0"/>
        </w:rPr>
        <w:t xml:space="preserve">. As a fertilized egg serves as an ancestral cell to all the cell types in the organism, it is called a totipotent cell (</w:t>
      </w:r>
      <w:r w:rsidDel="00000000" w:rsidR="00000000" w:rsidRPr="00000000">
        <w:rPr>
          <w:rFonts w:ascii="Arial" w:cs="Arial" w:eastAsia="Arial" w:hAnsi="Arial"/>
          <w:color w:val="111111"/>
          <w:sz w:val="22"/>
          <w:szCs w:val="22"/>
          <w:highlight w:val="white"/>
          <w:vertAlign w:val="baseline"/>
          <w:rtl w:val="0"/>
        </w:rPr>
        <w:t xml:space="preserve">Hansis, 2006</w:t>
      </w:r>
      <w:r w:rsidDel="00000000" w:rsidR="00000000" w:rsidRPr="00000000">
        <w:rPr>
          <w:rFonts w:ascii="Arial" w:cs="Arial" w:eastAsia="Arial" w:hAnsi="Arial"/>
          <w:color w:val="111111"/>
          <w:sz w:val="22"/>
          <w:szCs w:val="22"/>
          <w:shd w:fill="auto" w:val="clear"/>
          <w:vertAlign w:val="baseline"/>
          <w:rtl w:val="0"/>
        </w:rPr>
        <w:t xml:space="preserve">). For how many generations is totipotency preserved in progeny cells? Ordinarily when a fertilized egg (zygote) divides as a result of first mitosis it leads to the formation of the daughter cells of an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rFonts w:ascii="Arial" w:cs="Arial" w:eastAsia="Arial" w:hAnsi="Arial"/>
          <w:color w:val="111111"/>
          <w:sz w:val="22"/>
          <w:szCs w:val="22"/>
          <w:highlight w:val="white"/>
          <w:vertAlign w:val="baseline"/>
          <w:rtl w:val="0"/>
        </w:rPr>
        <w:t xml:space="preserve">Silva</w:t>
      </w:r>
      <w:r w:rsidDel="00000000" w:rsidR="00000000" w:rsidRPr="00000000">
        <w:rPr>
          <w:rFonts w:ascii="Arial" w:cs="Arial" w:eastAsia="Arial" w:hAnsi="Arial"/>
          <w:color w:val="111111"/>
          <w:sz w:val="22"/>
          <w:szCs w:val="22"/>
          <w:shd w:fill="auto" w:val="clear"/>
          <w:vertAlign w:val="baseline"/>
          <w:rtl w:val="0"/>
        </w:rPr>
        <w:t xml:space="preserve">,</w:t>
      </w:r>
      <w:r w:rsidDel="00000000" w:rsidR="00000000" w:rsidRPr="00000000">
        <w:rPr>
          <w:rFonts w:ascii="Arial" w:cs="Arial" w:eastAsia="Arial" w:hAnsi="Arial"/>
          <w:color w:val="111111"/>
          <w:sz w:val="22"/>
          <w:szCs w:val="22"/>
          <w:highlight w:val="white"/>
          <w:vertAlign w:val="baseline"/>
          <w:rtl w:val="0"/>
        </w:rPr>
        <w:t xml:space="preserve"> 2011</w:t>
      </w:r>
      <w:r w:rsidDel="00000000" w:rsidR="00000000" w:rsidRPr="00000000">
        <w:rPr>
          <w:rFonts w:ascii="Arial" w:cs="Arial" w:eastAsia="Arial" w:hAnsi="Arial"/>
          <w:color w:val="111111"/>
          <w:sz w:val="22"/>
          <w:szCs w:val="22"/>
          <w:shd w:fill="auto" w:val="clear"/>
          <w:vertAlign w:val="baseline"/>
          <w:rtl w:val="0"/>
        </w:rPr>
        <w:t xml:space="preserve">). Thus, it proves that after the first (and possibly after second and even third) division, both daughter cells maintain totipotency (</w:t>
      </w:r>
      <w:r w:rsidDel="00000000" w:rsidR="00000000" w:rsidRPr="00000000">
        <w:rPr>
          <w:rFonts w:ascii="Arial" w:cs="Arial" w:eastAsia="Arial" w:hAnsi="Arial"/>
          <w:color w:val="111111"/>
          <w:sz w:val="22"/>
          <w:szCs w:val="22"/>
          <w:highlight w:val="white"/>
          <w:vertAlign w:val="baseline"/>
          <w:rtl w:val="0"/>
        </w:rPr>
        <w:t xml:space="preserve">Galan</w:t>
      </w:r>
      <w:r w:rsidDel="00000000" w:rsidR="00000000" w:rsidRPr="00000000">
        <w:rPr>
          <w:rFonts w:ascii="Arial" w:cs="Arial" w:eastAsia="Arial" w:hAnsi="Arial"/>
          <w:color w:val="111111"/>
          <w:sz w:val="22"/>
          <w:szCs w:val="22"/>
          <w:shd w:fill="auto" w:val="clear"/>
          <w:vertAlign w:val="baseline"/>
          <w:rtl w:val="0"/>
        </w:rPr>
        <w:t xml:space="preserve">,</w:t>
      </w:r>
      <w:r w:rsidDel="00000000" w:rsidR="00000000" w:rsidRPr="00000000">
        <w:rPr>
          <w:rFonts w:ascii="Arial" w:cs="Arial" w:eastAsia="Arial" w:hAnsi="Arial"/>
          <w:color w:val="111111"/>
          <w:sz w:val="22"/>
          <w:szCs w:val="22"/>
          <w:highlight w:val="white"/>
          <w:vertAlign w:val="baseline"/>
          <w:rtl w:val="0"/>
        </w:rPr>
        <w:t xml:space="preserve"> 2013)</w:t>
      </w:r>
      <w:r w:rsidDel="00000000" w:rsidR="00000000" w:rsidRPr="00000000">
        <w:rPr>
          <w:rFonts w:ascii="Arial" w:cs="Arial" w:eastAsia="Arial" w:hAnsi="Arial"/>
          <w:color w:val="111111"/>
          <w:sz w:val="22"/>
          <w:szCs w:val="22"/>
          <w:shd w:fill="auto" w:val="clear"/>
          <w:vertAlign w:val="baseline"/>
          <w:rtl w:val="0"/>
        </w:rPr>
        <w:t xml:space="preserve">. Interestingly, MZ twinning is closely associated with </w:t>
      </w:r>
      <w:r w:rsidDel="00000000" w:rsidR="00000000" w:rsidRPr="00000000">
        <w:rPr>
          <w:rFonts w:ascii="Arial" w:cs="Arial" w:eastAsia="Arial" w:hAnsi="Arial"/>
          <w:color w:val="111111"/>
          <w:sz w:val="22"/>
          <w:szCs w:val="22"/>
          <w:highlight w:val="white"/>
          <w:vertAlign w:val="baseline"/>
          <w:rtl w:val="0"/>
        </w:rPr>
        <w:t xml:space="preserve">a stable DNA methylation signature in adult somatic tissues. This signature spans regions near telomeres and centromeres, Polycomb-repressed regions and heterochromatin, genes involved in cell-adhesion, WNT signaling and cell fate. </w:t>
      </w:r>
    </w:p>
    <w:p w:rsidR="00000000" w:rsidDel="00000000" w:rsidP="00000000" w:rsidRDefault="00000000" w:rsidRPr="00000000" w14:paraId="00000023">
      <w:pPr>
        <w:keepNext w:val="1"/>
        <w:keepLines w:val="1"/>
        <w:spacing w:after="80" w:before="240" w:line="240" w:lineRule="auto"/>
        <w:ind w:left="0" w:right="0" w:firstLine="0"/>
        <w:jc w:val="left"/>
        <w:rPr>
          <w:rFonts w:ascii="Arial" w:cs="Arial" w:eastAsia="Arial" w:hAnsi="Arial"/>
          <w:i w:val="1"/>
          <w:color w:val="111111"/>
          <w:sz w:val="22"/>
          <w:szCs w:val="22"/>
          <w:shd w:fill="auto" w:val="clear"/>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1.2 Differentiation and modulation</w:t>
      </w:r>
    </w:p>
    <w:p w:rsidR="00000000" w:rsidDel="00000000" w:rsidP="00000000" w:rsidRDefault="00000000" w:rsidRPr="00000000" w14:paraId="00000024">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There are many somatic cells similar to further differentiated cells of other types. When these cells find themselves in different mediums, without division (an indispensable condition for differentiation) they revert to the early stage of differentiation. As they start to proliferate they are able, for instance, to regenerate a lost limb with the help of a wearable bioreactor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25">
      <w:pPr>
        <w:keepNext w:val="1"/>
        <w:keepLines w:val="1"/>
        <w:spacing w:after="80" w:before="240" w:line="240" w:lineRule="auto"/>
        <w:ind w:left="0" w:right="0" w:firstLine="0"/>
        <w:jc w:val="both"/>
        <w:rPr>
          <w:rFonts w:ascii="Arial" w:cs="Arial" w:eastAsia="Arial" w:hAnsi="Arial"/>
          <w:i w:val="1"/>
          <w:color w:val="111111"/>
          <w:sz w:val="22"/>
          <w:szCs w:val="22"/>
          <w:shd w:fill="auto" w:val="clear"/>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1.3. Cells’ classifications according to the level of differentiation (morphogenetic status).</w:t>
      </w:r>
    </w:p>
    <w:p w:rsidR="00000000" w:rsidDel="00000000" w:rsidP="00000000" w:rsidRDefault="00000000" w:rsidRPr="00000000" w14:paraId="00000026">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In a developing embryo, the differentiation usually takes place gradually, and it is related to formation of various cell lines</w:t>
      </w:r>
      <w:r w:rsidDel="00000000" w:rsidR="00000000" w:rsidRPr="00000000">
        <w:rPr>
          <w:rFonts w:ascii="Arial" w:cs="Arial" w:eastAsia="Arial" w:hAnsi="Arial"/>
          <w:i w:val="1"/>
          <w:color w:val="111111"/>
          <w:sz w:val="22"/>
          <w:szCs w:val="22"/>
          <w:shd w:fill="auto" w:val="clear"/>
          <w:vertAlign w:val="baseline"/>
          <w:rtl w:val="0"/>
        </w:rPr>
        <w:t xml:space="preserve"> </w:t>
      </w:r>
      <w:r w:rsidDel="00000000" w:rsidR="00000000" w:rsidRPr="00000000">
        <w:rPr>
          <w:rFonts w:ascii="Arial" w:cs="Arial" w:eastAsia="Arial" w:hAnsi="Arial"/>
          <w:color w:val="111111"/>
          <w:sz w:val="22"/>
          <w:szCs w:val="22"/>
          <w:shd w:fill="auto" w:val="clear"/>
          <w:vertAlign w:val="baseline"/>
          <w:rtl w:val="0"/>
        </w:rPr>
        <w:t xml:space="preserve">(Shankar, 2021). Due to the gradualness of differentiation in generations, cells of embryo/adult organisms may be of different lines and different generations – namely to be at various levels of differentiation with different morphogenetic status (Tkemaladze </w:t>
      </w:r>
      <w:r w:rsidDel="00000000" w:rsidR="00000000" w:rsidRPr="00000000">
        <w:rPr>
          <w:rFonts w:ascii="Arial" w:cs="Arial" w:eastAsia="Arial" w:hAnsi="Arial"/>
          <w:color w:val="111111"/>
          <w:sz w:val="22"/>
          <w:szCs w:val="22"/>
          <w:highlight w:val="white"/>
          <w:vertAlign w:val="baseline"/>
          <w:rtl w:val="0"/>
        </w:rPr>
        <w:t xml:space="preserve">J., 2022</w:t>
      </w:r>
      <w:r w:rsidDel="00000000" w:rsidR="00000000" w:rsidRPr="00000000">
        <w:rPr>
          <w:rFonts w:ascii="Arial" w:cs="Arial" w:eastAsia="Arial" w:hAnsi="Arial"/>
          <w:color w:val="111111"/>
          <w:sz w:val="22"/>
          <w:szCs w:val="22"/>
          <w:shd w:fill="auto" w:val="clear"/>
          <w:vertAlign w:val="baseline"/>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27">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28">
      <w:pPr>
        <w:numPr>
          <w:ilvl w:val="0"/>
          <w:numId w:val="3"/>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Totipotent cells of the first 2 (possibly more) divisions of a zygote.</w:t>
      </w:r>
    </w:p>
    <w:p w:rsidR="00000000" w:rsidDel="00000000" w:rsidP="00000000" w:rsidRDefault="00000000" w:rsidRPr="00000000" w14:paraId="00000029">
      <w:pPr>
        <w:numPr>
          <w:ilvl w:val="0"/>
          <w:numId w:val="3"/>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rFonts w:ascii="Arial" w:cs="Arial" w:eastAsia="Arial" w:hAnsi="Arial"/>
          <w:color w:val="111111"/>
          <w:sz w:val="22"/>
          <w:szCs w:val="22"/>
          <w:highlight w:val="white"/>
          <w:vertAlign w:val="baseline"/>
          <w:rtl w:val="0"/>
        </w:rPr>
        <w:t xml:space="preserve">Gönczy, 2005</w:t>
      </w:r>
      <w:r w:rsidDel="00000000" w:rsidR="00000000" w:rsidRPr="00000000">
        <w:rPr>
          <w:rFonts w:ascii="Arial" w:cs="Arial" w:eastAsia="Arial" w:hAnsi="Arial"/>
          <w:color w:val="111111"/>
          <w:sz w:val="22"/>
          <w:szCs w:val="22"/>
          <w:shd w:fill="auto" w:val="clear"/>
          <w:vertAlign w:val="baseline"/>
          <w:rtl w:val="0"/>
        </w:rPr>
        <w:t xml:space="preserve">). Differentiation-inducing division in the niche of stem cells (</w:t>
      </w:r>
      <w:r w:rsidDel="00000000" w:rsidR="00000000" w:rsidRPr="00000000">
        <w:rPr>
          <w:rFonts w:ascii="Arial" w:cs="Arial" w:eastAsia="Arial" w:hAnsi="Arial"/>
          <w:color w:val="111111"/>
          <w:sz w:val="22"/>
          <w:szCs w:val="22"/>
          <w:highlight w:val="white"/>
          <w:vertAlign w:val="baseline"/>
          <w:rtl w:val="0"/>
        </w:rPr>
        <w:t xml:space="preserve">Venkei, 2018</w:t>
      </w:r>
      <w:r w:rsidDel="00000000" w:rsidR="00000000" w:rsidRPr="00000000">
        <w:rPr>
          <w:rFonts w:ascii="Arial" w:cs="Arial" w:eastAsia="Arial" w:hAnsi="Arial"/>
          <w:color w:val="111111"/>
          <w:sz w:val="22"/>
          <w:szCs w:val="22"/>
          <w:shd w:fill="auto" w:val="clear"/>
          <w:vertAlign w:val="baseline"/>
          <w:rtl w:val="0"/>
        </w:rPr>
        <w:t xml:space="preserve">) – one of the daughter cells is no different from the mother cell (</w:t>
      </w:r>
      <w:r w:rsidDel="00000000" w:rsidR="00000000" w:rsidRPr="00000000">
        <w:rPr>
          <w:rFonts w:ascii="Arial" w:cs="Arial" w:eastAsia="Arial" w:hAnsi="Arial"/>
          <w:color w:val="212121"/>
          <w:sz w:val="22"/>
          <w:szCs w:val="22"/>
          <w:highlight w:val="white"/>
          <w:vertAlign w:val="baseline"/>
          <w:rtl w:val="0"/>
        </w:rPr>
        <w:t xml:space="preserve">Chen, 2016</w:t>
      </w:r>
      <w:r w:rsidDel="00000000" w:rsidR="00000000" w:rsidRPr="00000000">
        <w:rPr>
          <w:rFonts w:ascii="Arial" w:cs="Arial" w:eastAsia="Arial" w:hAnsi="Arial"/>
          <w:color w:val="111111"/>
          <w:sz w:val="22"/>
          <w:szCs w:val="22"/>
          <w:shd w:fill="auto" w:val="clear"/>
          <w:vertAlign w:val="baseline"/>
          <w:rtl w:val="0"/>
        </w:rPr>
        <w:t xml:space="preserve">) – is an individual case of the concerned category.</w:t>
      </w:r>
    </w:p>
    <w:p w:rsidR="00000000" w:rsidDel="00000000" w:rsidP="00000000" w:rsidRDefault="00000000" w:rsidRPr="00000000" w14:paraId="0000002A">
      <w:pPr>
        <w:numPr>
          <w:ilvl w:val="0"/>
          <w:numId w:val="3"/>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The end cells of the last generations are the end result of the differentiation, they possess no potency (Giehl, 2007). </w:t>
      </w:r>
    </w:p>
    <w:p w:rsidR="00000000" w:rsidDel="00000000" w:rsidP="00000000" w:rsidRDefault="00000000" w:rsidRPr="00000000" w14:paraId="0000002B">
      <w:pPr>
        <w:numPr>
          <w:ilvl w:val="0"/>
          <w:numId w:val="3"/>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Sex cells of humans and animals. Despite their radical differences from somatic cells, specification of germ line in the course of embryogenesis is </w:t>
      </w:r>
      <w:hyperlink r:id="rId9">
        <w:r w:rsidDel="00000000" w:rsidR="00000000" w:rsidRPr="00000000">
          <w:rPr>
            <w:rFonts w:ascii="Arial" w:cs="Arial" w:eastAsia="Arial" w:hAnsi="Arial"/>
            <w:color w:val="111111"/>
            <w:sz w:val="22"/>
            <w:szCs w:val="22"/>
            <w:u w:val="single"/>
            <w:shd w:fill="auto" w:val="clear"/>
            <w:vertAlign w:val="baseline"/>
            <w:rtl w:val="0"/>
          </w:rPr>
          <w:t xml:space="preserve">conceptually</w:t>
        </w:r>
      </w:hyperlink>
      <w:r w:rsidDel="00000000" w:rsidR="00000000" w:rsidRPr="00000000">
        <w:rPr>
          <w:rFonts w:ascii="Arial" w:cs="Arial" w:eastAsia="Arial" w:hAnsi="Arial"/>
          <w:color w:val="111111"/>
          <w:sz w:val="22"/>
          <w:szCs w:val="22"/>
          <w:shd w:fill="auto" w:val="clear"/>
          <w:vertAlign w:val="baseline"/>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2C">
      <w:pPr>
        <w:keepNext w:val="1"/>
        <w:keepLines w:val="1"/>
        <w:spacing w:after="80" w:before="240" w:line="240" w:lineRule="auto"/>
        <w:ind w:left="0" w:right="0" w:firstLine="0"/>
        <w:jc w:val="both"/>
        <w:rPr>
          <w:rFonts w:ascii="Arial" w:cs="Arial" w:eastAsia="Arial" w:hAnsi="Arial"/>
          <w:i w:val="1"/>
          <w:color w:val="666666"/>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1.4 Differentiation and proliferation rate decreases with aging alongside with the reduction of stem cells</w:t>
      </w: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rFonts w:ascii="Arial" w:cs="Arial" w:eastAsia="Arial" w:hAnsi="Arial"/>
          <w:color w:val="ff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rFonts w:ascii="Arial" w:cs="Arial" w:eastAsia="Arial" w:hAnsi="Arial"/>
          <w:color w:val="212121"/>
          <w:sz w:val="22"/>
          <w:szCs w:val="22"/>
          <w:highlight w:val="white"/>
          <w:vertAlign w:val="baseline"/>
          <w:rtl w:val="0"/>
        </w:rPr>
        <w:t xml:space="preserve">Spalding, 2005</w:t>
      </w:r>
      <w:r w:rsidDel="00000000" w:rsidR="00000000" w:rsidRPr="00000000">
        <w:rPr>
          <w:rFonts w:ascii="Arial" w:cs="Arial" w:eastAsia="Arial" w:hAnsi="Arial"/>
          <w:color w:val="000000"/>
          <w:sz w:val="22"/>
          <w:szCs w:val="22"/>
          <w:shd w:fill="auto" w:val="clear"/>
          <w:vertAlign w:val="baseline"/>
          <w:rtl w:val="0"/>
        </w:rPr>
        <w:t xml:space="preserve">). Even cells that were earlier considered to be unrestorable are subjected to replacement – neurons (</w:t>
      </w:r>
      <w:r w:rsidDel="00000000" w:rsidR="00000000" w:rsidRPr="00000000">
        <w:rPr>
          <w:rFonts w:ascii="Arial" w:cs="Arial" w:eastAsia="Arial" w:hAnsi="Arial"/>
          <w:color w:val="212121"/>
          <w:sz w:val="22"/>
          <w:szCs w:val="22"/>
          <w:highlight w:val="white"/>
          <w:vertAlign w:val="baseline"/>
          <w:rtl w:val="0"/>
        </w:rPr>
        <w:t xml:space="preserve">Boldrini, 2018</w:t>
      </w:r>
      <w:r w:rsidDel="00000000" w:rsidR="00000000" w:rsidRPr="00000000">
        <w:rPr>
          <w:rFonts w:ascii="Arial" w:cs="Arial" w:eastAsia="Arial" w:hAnsi="Arial"/>
          <w:color w:val="000000"/>
          <w:sz w:val="22"/>
          <w:szCs w:val="22"/>
          <w:shd w:fill="auto" w:val="clear"/>
          <w:vertAlign w:val="baseline"/>
          <w:rtl w:val="0"/>
        </w:rPr>
        <w:t xml:space="preserve">) If the regeneration process is constantly active and does not diminish, in theory the organism must not age—affected / mutated cells will be constantly substituted with healthy and new cells. But regeneration tempo declines with aging (</w:t>
      </w:r>
      <w:r w:rsidDel="00000000" w:rsidR="00000000" w:rsidRPr="00000000">
        <w:rPr>
          <w:rFonts w:ascii="Arial" w:cs="Arial" w:eastAsia="Arial" w:hAnsi="Arial"/>
          <w:color w:val="212121"/>
          <w:sz w:val="22"/>
          <w:szCs w:val="22"/>
          <w:highlight w:val="white"/>
          <w:vertAlign w:val="baseline"/>
          <w:rtl w:val="0"/>
        </w:rPr>
        <w:t xml:space="preserve">Pechersky, 2016</w:t>
      </w:r>
      <w:r w:rsidDel="00000000" w:rsidR="00000000" w:rsidRPr="00000000">
        <w:rPr>
          <w:rFonts w:ascii="Arial" w:cs="Arial" w:eastAsia="Arial" w:hAnsi="Arial"/>
          <w:color w:val="000000"/>
          <w:sz w:val="22"/>
          <w:szCs w:val="22"/>
          <w:shd w:fill="auto" w:val="clear"/>
          <w:vertAlign w:val="baseline"/>
          <w:rtl w:val="0"/>
        </w:rPr>
        <w:t xml:space="preserve">). Most probably, it is due to the fact that stem cell quantity decreases with geometric sequence that accelerates aging (</w:t>
      </w:r>
      <w:r w:rsidDel="00000000" w:rsidR="00000000" w:rsidRPr="00000000">
        <w:rPr>
          <w:rFonts w:ascii="Arial" w:cs="Arial" w:eastAsia="Arial" w:hAnsi="Arial"/>
          <w:color w:val="000000"/>
          <w:sz w:val="22"/>
          <w:szCs w:val="22"/>
          <w:highlight w:val="white"/>
          <w:vertAlign w:val="baseline"/>
          <w:rtl w:val="0"/>
        </w:rPr>
        <w:t xml:space="preserve">Encinas, 2012</w:t>
      </w:r>
      <w:r w:rsidDel="00000000" w:rsidR="00000000" w:rsidRPr="00000000">
        <w:rPr>
          <w:rFonts w:ascii="Arial" w:cs="Arial" w:eastAsia="Arial" w:hAnsi="Arial"/>
          <w:color w:val="000000"/>
          <w:sz w:val="22"/>
          <w:szCs w:val="22"/>
          <w:shd w:fill="auto" w:val="clear"/>
          <w:vertAlign w:val="baseline"/>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rFonts w:ascii="Arial" w:cs="Arial" w:eastAsia="Arial" w:hAnsi="Arial"/>
          <w:color w:val="212121"/>
          <w:sz w:val="22"/>
          <w:szCs w:val="22"/>
          <w:highlight w:val="white"/>
          <w:vertAlign w:val="baseline"/>
          <w:rtl w:val="0"/>
        </w:rPr>
        <w:t xml:space="preserve">Eckfeldt, 2005</w:t>
      </w:r>
      <w:r w:rsidDel="00000000" w:rsidR="00000000" w:rsidRPr="00000000">
        <w:rPr>
          <w:rFonts w:ascii="Arial" w:cs="Arial" w:eastAsia="Arial" w:hAnsi="Arial"/>
          <w:color w:val="000000"/>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2. Creation and improvement of differentiation mechanisms’ concepts</w:t>
      </w:r>
    </w:p>
    <w:p w:rsidR="00000000" w:rsidDel="00000000" w:rsidP="00000000" w:rsidRDefault="00000000" w:rsidRPr="00000000" w14:paraId="0000002F">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Since the concept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10">
        <w:r w:rsidDel="00000000" w:rsidR="00000000" w:rsidRPr="00000000">
          <w:rPr>
            <w:rFonts w:ascii="Arial" w:cs="Arial" w:eastAsia="Arial" w:hAnsi="Arial"/>
            <w:color w:val="111111"/>
            <w:sz w:val="22"/>
            <w:szCs w:val="22"/>
            <w:u w:val="single"/>
            <w:shd w:fill="auto" w:val="clear"/>
            <w:vertAlign w:val="baseline"/>
            <w:rtl w:val="0"/>
          </w:rPr>
          <w:t xml:space="preserve">Weisann, 1890</w:t>
        </w:r>
      </w:hyperlink>
      <w:r w:rsidDel="00000000" w:rsidR="00000000" w:rsidRPr="00000000">
        <w:rPr>
          <w:rFonts w:ascii="Arial" w:cs="Arial" w:eastAsia="Arial" w:hAnsi="Arial"/>
          <w:color w:val="111111"/>
          <w:sz w:val="22"/>
          <w:szCs w:val="22"/>
          <w:shd w:fill="auto" w:val="clear"/>
          <w:vertAlign w:val="baseline"/>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30">
      <w:pPr>
        <w:keepNext w:val="1"/>
        <w:keepLines w:val="1"/>
        <w:spacing w:after="80" w:before="240" w:line="240" w:lineRule="auto"/>
        <w:ind w:left="0" w:right="0" w:firstLine="0"/>
        <w:jc w:val="both"/>
        <w:rPr>
          <w:rFonts w:ascii="Arial" w:cs="Arial" w:eastAsia="Arial" w:hAnsi="Arial"/>
          <w:i w:val="1"/>
          <w:color w:val="111111"/>
          <w:sz w:val="22"/>
          <w:szCs w:val="22"/>
          <w:shd w:fill="auto" w:val="clear"/>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2.1. There are no differentiation inducers in the nucleus of somatic cells</w:t>
      </w:r>
    </w:p>
    <w:p w:rsidR="00000000" w:rsidDel="00000000" w:rsidP="00000000" w:rsidRDefault="00000000" w:rsidRPr="00000000" w14:paraId="00000031">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The differences of somatic cells with different morphogenetic statuses were supposed to be due to the fact that different genes were repressed in them, and also different genes were available for expression (</w:t>
      </w:r>
      <w:hyperlink r:id="rId11">
        <w:r w:rsidDel="00000000" w:rsidR="00000000" w:rsidRPr="00000000">
          <w:rPr>
            <w:rFonts w:ascii="Arial" w:cs="Arial" w:eastAsia="Arial" w:hAnsi="Arial"/>
            <w:color w:val="111111"/>
            <w:sz w:val="22"/>
            <w:szCs w:val="22"/>
            <w:u w:val="single"/>
            <w:shd w:fill="auto" w:val="clear"/>
            <w:vertAlign w:val="baseline"/>
            <w:rtl w:val="0"/>
          </w:rPr>
          <w:t xml:space="preserve">Brown, 2003</w:t>
        </w:r>
      </w:hyperlink>
      <w:r w:rsidDel="00000000" w:rsidR="00000000" w:rsidRPr="00000000">
        <w:rPr>
          <w:rFonts w:ascii="Arial" w:cs="Arial" w:eastAsia="Arial" w:hAnsi="Arial"/>
          <w:color w:val="111111"/>
          <w:sz w:val="22"/>
          <w:szCs w:val="22"/>
          <w:shd w:fill="auto" w:val="clear"/>
          <w:vertAlign w:val="baseline"/>
          <w:rtl w:val="0"/>
        </w:rPr>
        <w:t xml:space="preserve">).  The removal of the nucleus from the ovum and its replacement with the nucleus of a somatic cell that was subjected to certain differentiation (</w:t>
      </w:r>
      <w:r w:rsidDel="00000000" w:rsidR="00000000" w:rsidRPr="00000000">
        <w:rPr>
          <w:rFonts w:ascii="Arial" w:cs="Arial" w:eastAsia="Arial" w:hAnsi="Arial"/>
          <w:color w:val="111111"/>
          <w:sz w:val="22"/>
          <w:szCs w:val="22"/>
          <w:highlight w:val="white"/>
          <w:vertAlign w:val="baseline"/>
          <w:rtl w:val="0"/>
        </w:rPr>
        <w:t xml:space="preserve">Campbell, 2001</w:t>
      </w:r>
      <w:r w:rsidDel="00000000" w:rsidR="00000000" w:rsidRPr="00000000">
        <w:rPr>
          <w:rFonts w:ascii="Arial" w:cs="Arial" w:eastAsia="Arial" w:hAnsi="Arial"/>
          <w:color w:val="111111"/>
          <w:sz w:val="22"/>
          <w:szCs w:val="22"/>
          <w:shd w:fill="auto" w:val="clear"/>
          <w:vertAlign w:val="baseline"/>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32">
      <w:pPr>
        <w:keepNext w:val="1"/>
        <w:keepLines w:val="1"/>
        <w:spacing w:after="80" w:before="240" w:line="240" w:lineRule="auto"/>
        <w:ind w:left="0" w:right="0" w:firstLine="0"/>
        <w:jc w:val="both"/>
        <w:rPr>
          <w:rFonts w:ascii="Arial" w:cs="Arial" w:eastAsia="Arial" w:hAnsi="Arial"/>
          <w:i w:val="1"/>
          <w:color w:val="111111"/>
          <w:sz w:val="22"/>
          <w:szCs w:val="22"/>
          <w:shd w:fill="auto" w:val="clear"/>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2.2. Differentiation inducers in cytoplasm of somatic cells</w:t>
      </w:r>
    </w:p>
    <w:p w:rsidR="00000000" w:rsidDel="00000000" w:rsidP="00000000" w:rsidRDefault="00000000" w:rsidRPr="00000000" w14:paraId="00000033">
      <w:pPr>
        <w:spacing w:after="0" w:before="0" w:line="276" w:lineRule="auto"/>
        <w:ind w:left="0" w:right="0" w:firstLine="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If nuclear transplantation from somatic cell into enucleated zygote takes place within the same species, i.e., nuclear donor cells and oocytes belong to the same species, this is called interspecies nuclear transplantation (</w:t>
      </w:r>
      <w:r w:rsidDel="00000000" w:rsidR="00000000" w:rsidRPr="00000000">
        <w:rPr>
          <w:rFonts w:ascii="Arial" w:cs="Arial" w:eastAsia="Arial" w:hAnsi="Arial"/>
          <w:color w:val="111111"/>
          <w:sz w:val="22"/>
          <w:szCs w:val="22"/>
          <w:highlight w:val="white"/>
          <w:vertAlign w:val="baseline"/>
          <w:rtl w:val="0"/>
        </w:rPr>
        <w:t xml:space="preserve">Gurdon, 2011</w:t>
      </w:r>
      <w:r w:rsidDel="00000000" w:rsidR="00000000" w:rsidRPr="00000000">
        <w:rPr>
          <w:rFonts w:ascii="Arial" w:cs="Arial" w:eastAsia="Arial" w:hAnsi="Arial"/>
          <w:color w:val="111111"/>
          <w:sz w:val="22"/>
          <w:szCs w:val="22"/>
          <w:shd w:fill="auto" w:val="clear"/>
          <w:vertAlign w:val="baseline"/>
          <w:rtl w:val="0"/>
        </w:rPr>
        <w:t xml:space="preserve">). If oocytes and nuclear donor cells are of different species, such nuclear transplantation is defined as cross-species nuclear transplantation (CSNT). (Moore</w:t>
      </w:r>
      <w:r w:rsidDel="00000000" w:rsidR="00000000" w:rsidRPr="00000000">
        <w:rPr>
          <w:rFonts w:ascii="Arial" w:cs="Arial" w:eastAsia="Arial" w:hAnsi="Arial"/>
          <w:color w:val="111111"/>
          <w:sz w:val="22"/>
          <w:szCs w:val="22"/>
          <w:highlight w:val="white"/>
          <w:vertAlign w:val="baseline"/>
          <w:rtl w:val="0"/>
        </w:rPr>
        <w:t xml:space="preserve">, 1960</w:t>
      </w:r>
      <w:r w:rsidDel="00000000" w:rsidR="00000000" w:rsidRPr="00000000">
        <w:rPr>
          <w:rFonts w:ascii="Arial" w:cs="Arial" w:eastAsia="Arial" w:hAnsi="Arial"/>
          <w:color w:val="111111"/>
          <w:sz w:val="22"/>
          <w:szCs w:val="22"/>
          <w:shd w:fill="auto" w:val="clear"/>
          <w:vertAlign w:val="baseline"/>
          <w:rtl w:val="0"/>
        </w:rPr>
        <w:t xml:space="preserve">). Since efficacy of somatic cell CSNT remains low, it points to a decisive point of cytoplasmic</w:t>
      </w:r>
      <w:r w:rsidDel="00000000" w:rsidR="00000000" w:rsidRPr="00000000">
        <w:rPr>
          <w:rFonts w:ascii="Arial" w:cs="Arial" w:eastAsia="Arial" w:hAnsi="Arial"/>
          <w:color w:val="111111"/>
          <w:sz w:val="22"/>
          <w:szCs w:val="22"/>
          <w:highlight w:val="white"/>
          <w:vertAlign w:val="baseline"/>
          <w:rtl w:val="0"/>
        </w:rPr>
        <w:t xml:space="preserve"> medium of oocyte. </w:t>
      </w:r>
      <w:r w:rsidDel="00000000" w:rsidR="00000000" w:rsidRPr="00000000">
        <w:rPr>
          <w:rFonts w:ascii="Arial" w:cs="Arial" w:eastAsia="Arial" w:hAnsi="Arial"/>
          <w:color w:val="111111"/>
          <w:sz w:val="22"/>
          <w:szCs w:val="22"/>
          <w:shd w:fill="auto" w:val="clear"/>
          <w:vertAlign w:val="baseline"/>
          <w:rtl w:val="0"/>
        </w:rPr>
        <w:t xml:space="preserve">(</w:t>
      </w:r>
      <w:r w:rsidDel="00000000" w:rsidR="00000000" w:rsidRPr="00000000">
        <w:rPr>
          <w:rFonts w:ascii="Arial" w:cs="Arial" w:eastAsia="Arial" w:hAnsi="Arial"/>
          <w:color w:val="111111"/>
          <w:sz w:val="22"/>
          <w:szCs w:val="22"/>
          <w:highlight w:val="white"/>
          <w:vertAlign w:val="baseline"/>
          <w:rtl w:val="0"/>
        </w:rPr>
        <w:t xml:space="preserve">Narbonne, 2012</w:t>
      </w:r>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Fonts w:ascii="Arial" w:cs="Arial" w:eastAsia="Arial" w:hAnsi="Arial"/>
          <w:color w:val="111111"/>
          <w:sz w:val="22"/>
          <w:szCs w:val="22"/>
          <w:highlight w:val="white"/>
          <w:vertAlign w:val="baseline"/>
          <w:rtl w:val="0"/>
        </w:rPr>
        <w:t xml:space="preserve">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034">
      <w:pPr>
        <w:spacing w:after="0" w:before="0" w:line="276" w:lineRule="auto"/>
        <w:ind w:left="0" w:right="0" w:firstLine="0"/>
        <w:jc w:val="both"/>
        <w:rPr>
          <w:rFonts w:ascii="Arial" w:cs="Arial" w:eastAsia="Arial" w:hAnsi="Arial"/>
          <w:color w:val="111111"/>
          <w:sz w:val="22"/>
          <w:szCs w:val="22"/>
          <w:highlight w:val="white"/>
          <w:vertAlign w:val="baseline"/>
        </w:rPr>
      </w:pPr>
      <w:r w:rsidDel="00000000" w:rsidR="00000000" w:rsidRPr="00000000">
        <w:rPr>
          <w:rtl w:val="0"/>
        </w:rPr>
      </w:r>
    </w:p>
    <w:p w:rsidR="00000000" w:rsidDel="00000000" w:rsidP="00000000" w:rsidRDefault="00000000" w:rsidRPr="00000000" w14:paraId="00000035">
      <w:pPr>
        <w:spacing w:after="0" w:before="0" w:line="276" w:lineRule="auto"/>
        <w:ind w:left="0" w:right="0" w:firstLine="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highlight w:val="white"/>
          <w:vertAlign w:val="baselin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the cytoplasm is not distributed to daughter cells equally either by its quantity, or quality </w:t>
      </w:r>
      <w:r w:rsidDel="00000000" w:rsidR="00000000" w:rsidRPr="00000000">
        <w:rPr>
          <w:rFonts w:ascii="Arial" w:cs="Arial" w:eastAsia="Arial" w:hAnsi="Arial"/>
          <w:color w:val="111111"/>
          <w:sz w:val="22"/>
          <w:szCs w:val="22"/>
          <w:shd w:fill="auto" w:val="clear"/>
          <w:vertAlign w:val="baseline"/>
          <w:rtl w:val="0"/>
        </w:rPr>
        <w:t xml:space="preserve">(Wen, 2020). Therefore, it is plausible to search for differentiation inducers in stable and self-replicating structures of cytoplasm—mitochondria and centrioles. (Chichinadze, 2008).</w:t>
      </w:r>
      <w:r w:rsidDel="00000000" w:rsidR="00000000" w:rsidRPr="00000000">
        <w:rPr>
          <w:rtl w:val="0"/>
        </w:rPr>
      </w:r>
    </w:p>
    <w:p w:rsidR="00000000" w:rsidDel="00000000" w:rsidP="00000000" w:rsidRDefault="00000000" w:rsidRPr="00000000" w14:paraId="00000036">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3. Are differentiation inducers associated with centrioles?</w:t>
      </w:r>
    </w:p>
    <w:p w:rsidR="00000000" w:rsidDel="00000000" w:rsidP="00000000" w:rsidRDefault="00000000" w:rsidRPr="00000000" w14:paraId="00000037">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38">
      <w:pPr>
        <w:keepNext w:val="1"/>
        <w:keepLines w:val="1"/>
        <w:spacing w:after="80" w:before="240" w:line="240" w:lineRule="auto"/>
        <w:ind w:left="0" w:right="0" w:firstLine="0"/>
        <w:jc w:val="both"/>
        <w:rPr>
          <w:rFonts w:ascii="Arial" w:cs="Arial" w:eastAsia="Arial" w:hAnsi="Arial"/>
          <w:i w:val="1"/>
          <w:color w:val="111111"/>
          <w:sz w:val="22"/>
          <w:szCs w:val="22"/>
          <w:shd w:fill="auto" w:val="clear"/>
          <w:vertAlign w:val="baseline"/>
        </w:rPr>
      </w:pPr>
      <w:r w:rsidDel="00000000" w:rsidR="00000000" w:rsidRPr="00000000">
        <w:rPr>
          <w:rFonts w:ascii="Arial" w:cs="Arial" w:eastAsia="Arial" w:hAnsi="Arial"/>
          <w:i w:val="1"/>
          <w:color w:val="111111"/>
          <w:sz w:val="22"/>
          <w:szCs w:val="22"/>
          <w:shd w:fill="auto" w:val="clear"/>
          <w:vertAlign w:val="baseline"/>
          <w:rtl w:val="0"/>
        </w:rPr>
        <w:t xml:space="preserve">3.1. Centrioles in somatic cells </w:t>
      </w:r>
    </w:p>
    <w:p w:rsidR="00000000" w:rsidDel="00000000" w:rsidP="00000000" w:rsidRDefault="00000000" w:rsidRPr="00000000" w14:paraId="00000039">
      <w:pPr>
        <w:keepNext w:val="1"/>
        <w:keepLines w:val="1"/>
        <w:spacing w:after="80" w:before="240" w:line="240" w:lineRule="auto"/>
        <w:ind w:left="0" w:right="0" w:firstLine="0"/>
        <w:jc w:val="both"/>
        <w:rPr>
          <w:rFonts w:ascii="Arial" w:cs="Arial" w:eastAsia="Arial" w:hAnsi="Arial"/>
          <w:color w:val="2e2e2e"/>
          <w:sz w:val="22"/>
          <w:szCs w:val="22"/>
          <w:shd w:fill="auto" w:val="clear"/>
          <w:vertAlign w:val="baseline"/>
        </w:rPr>
      </w:pPr>
      <w:r w:rsidDel="00000000" w:rsidR="00000000" w:rsidRPr="00000000">
        <w:rPr>
          <w:rFonts w:ascii="Arial" w:cs="Arial" w:eastAsia="Arial" w:hAnsi="Arial"/>
          <w:color w:val="2e2e2e"/>
          <w:sz w:val="22"/>
          <w:szCs w:val="22"/>
          <w:shd w:fill="auto" w:val="clear"/>
          <w:vertAlign w:val="baseline"/>
          <w:rtl w:val="0"/>
        </w:rPr>
        <w:t xml:space="preserve">The canonical centriole is characterized by the ninefold symmetrical arrangement of microtubule triplets.</w:t>
      </w:r>
    </w:p>
    <w:p w:rsidR="00000000" w:rsidDel="00000000" w:rsidP="00000000" w:rsidRDefault="00000000" w:rsidRPr="00000000" w14:paraId="0000003A">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drawing>
          <wp:inline distB="0" distT="0" distL="114300" distR="114300">
            <wp:extent cx="5501640" cy="514477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01640" cy="514477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before="0" w:line="276" w:lineRule="auto"/>
        <w:ind w:left="0" w:right="0" w:firstLine="0"/>
        <w:jc w:val="left"/>
        <w:rPr>
          <w:rFonts w:ascii="Arial" w:cs="Arial" w:eastAsia="Arial" w:hAnsi="Arial"/>
          <w:i w:val="1"/>
          <w:color w:val="000000"/>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Figure 1. Model of the centriolar architecture.</w:t>
      </w:r>
    </w:p>
    <w:p w:rsidR="00000000" w:rsidDel="00000000" w:rsidP="00000000" w:rsidRDefault="00000000" w:rsidRPr="00000000" w14:paraId="0000003C">
      <w:pPr>
        <w:spacing w:after="0" w:before="0" w:line="276" w:lineRule="auto"/>
        <w:ind w:left="0" w:right="0" w:firstLine="0"/>
        <w:jc w:val="left"/>
        <w:rPr>
          <w:rFonts w:ascii="Arial" w:cs="Arial" w:eastAsia="Arial" w:hAnsi="Arial"/>
          <w:i w:val="1"/>
          <w:color w:val="000000"/>
          <w:sz w:val="22"/>
          <w:szCs w:val="22"/>
          <w:shd w:fill="auto" w:val="clear"/>
          <w:vertAlign w:val="baseline"/>
        </w:rPr>
      </w:pPr>
      <w:r w:rsidDel="00000000" w:rsidR="00000000" w:rsidRPr="00000000">
        <w:rPr>
          <w:rFonts w:ascii="Arial" w:cs="Arial" w:eastAsia="Arial" w:hAnsi="Arial"/>
          <w:i w:val="1"/>
          <w:color w:val="2e2e2e"/>
          <w:sz w:val="22"/>
          <w:szCs w:val="22"/>
          <w:shd w:fill="auto" w:val="clear"/>
          <w:vertAlign w:val="baseline"/>
          <w:rtl w:val="0"/>
        </w:rPr>
        <w:t xml:space="preserve">(a) Model of the distinct structural regions of the centriole. (1) Complete view of the centriole, (2) Centriole view without microtubule blades highlighting non-microtubule structural features, (3) Longitudinal cross-section highlighting luminal structural elements. (b) Centriole seen from the proximal side. (c) Zoomed view of microtubule triplet with labeled protofilaments. Cartwheel, blue; CID, red; D2 density, orange; pinhead, magenta; triplet base, green; A-C linker, cyan; inner scaffold, orange; subdistal appendage, dark red; distal appendages; yellow; tubulin, gray.</w:t>
      </w:r>
      <w:r w:rsidDel="00000000" w:rsidR="00000000" w:rsidRPr="00000000">
        <w:rPr>
          <w:rFonts w:ascii="Arial" w:cs="Arial" w:eastAsia="Arial" w:hAnsi="Arial"/>
          <w:i w:val="1"/>
          <w:color w:val="000000"/>
          <w:sz w:val="22"/>
          <w:szCs w:val="22"/>
          <w:shd w:fill="auto" w:val="clear"/>
          <w:vertAlign w:val="baseline"/>
          <w:rtl w:val="0"/>
        </w:rPr>
        <w:t xml:space="preserve"> (</w:t>
      </w:r>
      <w:r w:rsidDel="00000000" w:rsidR="00000000" w:rsidRPr="00000000">
        <w:rPr>
          <w:rFonts w:ascii="Arial" w:cs="Arial" w:eastAsia="Arial" w:hAnsi="Arial"/>
          <w:i w:val="1"/>
          <w:color w:val="212121"/>
          <w:sz w:val="22"/>
          <w:szCs w:val="22"/>
          <w:highlight w:val="white"/>
          <w:vertAlign w:val="baseline"/>
          <w:rtl w:val="0"/>
        </w:rPr>
        <w:t xml:space="preserve">Le Guennec et al., 2021</w:t>
      </w:r>
      <w:r w:rsidDel="00000000" w:rsidR="00000000" w:rsidRPr="00000000">
        <w:rPr>
          <w:rFonts w:ascii="Arial" w:cs="Arial" w:eastAsia="Arial" w:hAnsi="Arial"/>
          <w:i w:val="1"/>
          <w:color w:val="000000"/>
          <w:sz w:val="22"/>
          <w:szCs w:val="22"/>
          <w:shd w:fill="auto" w:val="clear"/>
          <w:vertAlign w:val="baseline"/>
          <w:rtl w:val="0"/>
        </w:rPr>
        <w:t xml:space="preserve">)</w:t>
      </w:r>
    </w:p>
    <w:p w:rsidR="00000000" w:rsidDel="00000000" w:rsidP="00000000" w:rsidRDefault="00000000" w:rsidRPr="00000000" w14:paraId="0000003D">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spacing w:after="0" w:before="0" w:line="276" w:lineRule="auto"/>
        <w:ind w:left="0" w:right="0" w:firstLine="0"/>
        <w:jc w:val="left"/>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proximal region of the centriole is composed by several substructures. One of the first identified was probably the cartwheel. The pinhead runs from the proximal end of the microtubule wall, and terminates at, or within a few nanometers from the end of the cartwheel. </w:t>
      </w:r>
      <w:r w:rsidDel="00000000" w:rsidR="00000000" w:rsidRPr="00000000">
        <w:rPr/>
        <w:drawing>
          <wp:inline distB="0" distT="0" distL="114300" distR="114300">
            <wp:extent cx="5501640" cy="60833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0164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0" w:line="276" w:lineRule="auto"/>
        <w:ind w:left="0" w:right="0" w:firstLine="0"/>
        <w:jc w:val="left"/>
        <w:rPr>
          <w:rFonts w:ascii="Arial" w:cs="Arial" w:eastAsia="Arial" w:hAnsi="Arial"/>
          <w:i w:val="1"/>
          <w:color w:val="000000"/>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Figure 2. The proximal organization of the centriole.</w:t>
      </w:r>
    </w:p>
    <w:p w:rsidR="00000000" w:rsidDel="00000000" w:rsidP="00000000" w:rsidRDefault="00000000" w:rsidRPr="00000000" w14:paraId="00000040">
      <w:pPr>
        <w:spacing w:after="0" w:before="0" w:line="276" w:lineRule="auto"/>
        <w:ind w:left="0" w:right="0" w:firstLine="0"/>
        <w:jc w:val="left"/>
        <w:rPr>
          <w:rFonts w:ascii="Arial" w:cs="Arial" w:eastAsia="Arial" w:hAnsi="Arial"/>
          <w:i w:val="1"/>
          <w:color w:val="000000"/>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(a) Longitudinal cross-section (left) and top (right) views of the proximal part of the centriole. The inset (bottom right) highlights the periodicity observed for the A-C linker structure. (b)Transversal (top) and lateral (bottom) cross-sections of cartwheels from Trichonympha (left), Paramecium (middle), and Chlamydomonas (right). (Le Guennec et al., 2021)</w:t>
      </w:r>
    </w:p>
    <w:p w:rsidR="00000000" w:rsidDel="00000000" w:rsidP="00000000" w:rsidRDefault="00000000" w:rsidRPr="00000000" w14:paraId="00000041">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Occupying the region immediately distal to the proximal region, and extending towards the distal end of the microtubule triplets, lies the inner scaffold. </w:t>
      </w:r>
    </w:p>
    <w:p w:rsidR="00000000" w:rsidDel="00000000" w:rsidP="00000000" w:rsidRDefault="00000000" w:rsidRPr="00000000" w14:paraId="00000043">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drawing>
          <wp:inline distB="0" distT="0" distL="114300" distR="114300">
            <wp:extent cx="5501640" cy="687578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01640" cy="687578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0" w:line="276" w:lineRule="auto"/>
        <w:ind w:left="0" w:right="0" w:firstLine="0"/>
        <w:jc w:val="left"/>
        <w:rPr>
          <w:rFonts w:ascii="Arial" w:cs="Arial" w:eastAsia="Arial" w:hAnsi="Arial"/>
          <w:i w:val="1"/>
          <w:color w:val="000000"/>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Figure 3. The central core and inner scaffold.</w:t>
      </w:r>
    </w:p>
    <w:p w:rsidR="00000000" w:rsidDel="00000000" w:rsidP="00000000" w:rsidRDefault="00000000" w:rsidRPr="00000000" w14:paraId="00000045">
      <w:pPr>
        <w:spacing w:after="0" w:before="0" w:line="276" w:lineRule="auto"/>
        <w:ind w:left="0" w:right="0" w:firstLine="0"/>
        <w:jc w:val="left"/>
        <w:rPr>
          <w:rFonts w:ascii="Arial" w:cs="Arial" w:eastAsia="Arial" w:hAnsi="Arial"/>
          <w:i w:val="1"/>
          <w:color w:val="000000"/>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(a) Longitudinal cross-section of the central core, Paramecium centriole. (b) Graphical representation of the helical pattern of Paramecium inner scaffold. (c) Graphical representation of transversal cross-sections of the central core of Chlamydomonas, Paramecium, and human centriole, with zoomed inset of inner scaffold connection with the microtubule triplets/doublets. The asterisks indicate the conserved position of the stem. (Le Guennec et al., 2021)</w:t>
      </w:r>
    </w:p>
    <w:p w:rsidR="00000000" w:rsidDel="00000000" w:rsidP="00000000" w:rsidRDefault="00000000" w:rsidRPr="00000000" w14:paraId="00000046">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47">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Despite the breakthrough in research of the structure of centriole, its role within the cell is still shrouded with mystery. 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rFonts w:ascii="Arial" w:cs="Arial" w:eastAsia="Arial" w:hAnsi="Arial"/>
          <w:color w:val="111111"/>
          <w:sz w:val="22"/>
          <w:szCs w:val="22"/>
          <w:highlight w:val="white"/>
          <w:vertAlign w:val="baseline"/>
          <w:rtl w:val="0"/>
        </w:rPr>
        <w:t xml:space="preserve">Woodruff, 2014</w:t>
      </w:r>
      <w:r w:rsidDel="00000000" w:rsidR="00000000" w:rsidRPr="00000000">
        <w:rPr>
          <w:rFonts w:ascii="Arial" w:cs="Arial" w:eastAsia="Arial" w:hAnsi="Arial"/>
          <w:color w:val="111111"/>
          <w:sz w:val="22"/>
          <w:szCs w:val="22"/>
          <w:shd w:fill="auto" w:val="clear"/>
          <w:vertAlign w:val="baseline"/>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w:t>
      </w:r>
    </w:p>
    <w:p w:rsidR="00000000" w:rsidDel="00000000" w:rsidP="00000000" w:rsidRDefault="00000000" w:rsidRPr="00000000" w14:paraId="00000048">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49">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Centrioles gather by the proximal end of a preexisting centriole that was constituted at an earlier cell cycle and was passed down through mitosis and cell division. (</w:t>
      </w:r>
      <w:r w:rsidDel="00000000" w:rsidR="00000000" w:rsidRPr="00000000">
        <w:rPr>
          <w:rFonts w:ascii="Arial" w:cs="Arial" w:eastAsia="Arial" w:hAnsi="Arial"/>
          <w:color w:val="111111"/>
          <w:sz w:val="22"/>
          <w:szCs w:val="22"/>
          <w:highlight w:val="white"/>
          <w:vertAlign w:val="baseline"/>
          <w:rtl w:val="0"/>
        </w:rPr>
        <w:t xml:space="preserve">Gönczy, 2019</w:t>
      </w:r>
      <w:r w:rsidDel="00000000" w:rsidR="00000000" w:rsidRPr="00000000">
        <w:rPr>
          <w:rFonts w:ascii="Arial" w:cs="Arial" w:eastAsia="Arial" w:hAnsi="Arial"/>
          <w:color w:val="111111"/>
          <w:sz w:val="22"/>
          <w:szCs w:val="22"/>
          <w:shd w:fill="auto" w:val="clear"/>
          <w:vertAlign w:val="baseline"/>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rFonts w:ascii="Arial" w:cs="Arial" w:eastAsia="Arial" w:hAnsi="Arial"/>
          <w:color w:val="111111"/>
          <w:sz w:val="22"/>
          <w:szCs w:val="22"/>
          <w:highlight w:val="white"/>
          <w:vertAlign w:val="baseline"/>
          <w:rtl w:val="0"/>
        </w:rPr>
        <w:t xml:space="preserve">Marshall, 2000</w:t>
      </w:r>
      <w:r w:rsidDel="00000000" w:rsidR="00000000" w:rsidRPr="00000000">
        <w:rPr>
          <w:rFonts w:ascii="Arial" w:cs="Arial" w:eastAsia="Arial" w:hAnsi="Arial"/>
          <w:color w:val="111111"/>
          <w:sz w:val="22"/>
          <w:szCs w:val="22"/>
          <w:shd w:fill="auto" w:val="clear"/>
          <w:vertAlign w:val="baseline"/>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rFonts w:ascii="Arial" w:cs="Arial" w:eastAsia="Arial" w:hAnsi="Arial"/>
          <w:color w:val="111111"/>
          <w:sz w:val="22"/>
          <w:szCs w:val="22"/>
          <w:highlight w:val="white"/>
          <w:vertAlign w:val="baseline"/>
          <w:rtl w:val="0"/>
        </w:rPr>
        <w:t xml:space="preserve">Maniotis, 1991</w:t>
      </w:r>
      <w:r w:rsidDel="00000000" w:rsidR="00000000" w:rsidRPr="00000000">
        <w:rPr>
          <w:rFonts w:ascii="Arial" w:cs="Arial" w:eastAsia="Arial" w:hAnsi="Arial"/>
          <w:color w:val="111111"/>
          <w:sz w:val="22"/>
          <w:szCs w:val="22"/>
          <w:shd w:fill="auto" w:val="clear"/>
          <w:vertAlign w:val="baseline"/>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rFonts w:ascii="Arial" w:cs="Arial" w:eastAsia="Arial" w:hAnsi="Arial"/>
          <w:color w:val="111111"/>
          <w:sz w:val="22"/>
          <w:szCs w:val="22"/>
          <w:highlight w:val="white"/>
          <w:vertAlign w:val="baseline"/>
          <w:rtl w:val="0"/>
        </w:rPr>
        <w:t xml:space="preserve">Hinchcliffe, 2001</w:t>
      </w:r>
      <w:r w:rsidDel="00000000" w:rsidR="00000000" w:rsidRPr="00000000">
        <w:rPr>
          <w:rFonts w:ascii="Arial" w:cs="Arial" w:eastAsia="Arial" w:hAnsi="Arial"/>
          <w:color w:val="111111"/>
          <w:sz w:val="22"/>
          <w:szCs w:val="22"/>
          <w:shd w:fill="auto" w:val="clear"/>
          <w:vertAlign w:val="baseline"/>
          <w:rtl w:val="0"/>
        </w:rPr>
        <w:t xml:space="preserve">). First, acentriolar karyoplasts entered mitosis and completed it, it proved</w:t>
      </w:r>
      <w:r w:rsidDel="00000000" w:rsidR="00000000" w:rsidRPr="00000000">
        <w:rPr>
          <w:rFonts w:ascii="Arial" w:cs="Arial" w:eastAsia="Arial" w:hAnsi="Arial"/>
          <w:i w:val="1"/>
          <w:color w:val="111111"/>
          <w:sz w:val="22"/>
          <w:szCs w:val="22"/>
          <w:shd w:fill="auto" w:val="clear"/>
          <w:vertAlign w:val="baseline"/>
          <w:rtl w:val="0"/>
        </w:rPr>
        <w:t xml:space="preserve"> in vitro</w:t>
      </w:r>
      <w:r w:rsidDel="00000000" w:rsidR="00000000" w:rsidRPr="00000000">
        <w:rPr>
          <w:rFonts w:ascii="Arial" w:cs="Arial" w:eastAsia="Arial" w:hAnsi="Arial"/>
          <w:color w:val="111111"/>
          <w:sz w:val="22"/>
          <w:szCs w:val="22"/>
          <w:shd w:fill="auto" w:val="clear"/>
          <w:vertAlign w:val="baseline"/>
          <w:rtl w:val="0"/>
        </w:rPr>
        <w:t xml:space="preserve"> studies correct that indicate that centrosomes are not essential for the formation of  bipolar spindles (</w:t>
      </w:r>
      <w:r w:rsidDel="00000000" w:rsidR="00000000" w:rsidRPr="00000000">
        <w:rPr>
          <w:rFonts w:ascii="Arial" w:cs="Arial" w:eastAsia="Arial" w:hAnsi="Arial"/>
          <w:color w:val="111111"/>
          <w:sz w:val="22"/>
          <w:szCs w:val="22"/>
          <w:highlight w:val="white"/>
          <w:vertAlign w:val="baseline"/>
          <w:rtl w:val="0"/>
        </w:rPr>
        <w:t xml:space="preserve">Wadsworth, 2004</w:t>
      </w:r>
      <w:r w:rsidDel="00000000" w:rsidR="00000000" w:rsidRPr="00000000">
        <w:rPr>
          <w:rFonts w:ascii="Arial" w:cs="Arial" w:eastAsia="Arial" w:hAnsi="Arial"/>
          <w:color w:val="111111"/>
          <w:sz w:val="22"/>
          <w:szCs w:val="22"/>
          <w:shd w:fill="auto" w:val="clear"/>
          <w:vertAlign w:val="baseline"/>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4A">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3.2. Centriolar cytogenetic theory of differentiation and aging</w:t>
      </w:r>
    </w:p>
    <w:p w:rsidR="00000000" w:rsidDel="00000000" w:rsidP="00000000" w:rsidRDefault="00000000" w:rsidRPr="00000000" w14:paraId="0000004B">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rFonts w:ascii="Arial" w:cs="Arial" w:eastAsia="Arial" w:hAnsi="Arial"/>
          <w:color w:val="111111"/>
          <w:sz w:val="22"/>
          <w:szCs w:val="22"/>
          <w:highlight w:val="white"/>
          <w:vertAlign w:val="baseline"/>
          <w:rtl w:val="0"/>
        </w:rPr>
        <w:t xml:space="preserve">Chen, 2021</w:t>
      </w:r>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Fonts w:ascii="Arial" w:cs="Arial" w:eastAsia="Arial" w:hAnsi="Arial"/>
          <w:color w:val="111111"/>
          <w:sz w:val="22"/>
          <w:szCs w:val="22"/>
          <w:highlight w:val="white"/>
          <w:vertAlign w:val="baselin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rFonts w:ascii="Arial" w:cs="Arial" w:eastAsia="Arial" w:hAnsi="Arial"/>
          <w:color w:val="111111"/>
          <w:sz w:val="22"/>
          <w:szCs w:val="22"/>
          <w:shd w:fill="auto" w:val="clear"/>
          <w:vertAlign w:val="baseline"/>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rFonts w:ascii="Arial" w:cs="Arial" w:eastAsia="Arial" w:hAnsi="Arial"/>
          <w:color w:val="111111"/>
          <w:sz w:val="22"/>
          <w:szCs w:val="22"/>
          <w:highlight w:val="white"/>
          <w:vertAlign w:val="baseline"/>
          <w:rtl w:val="0"/>
        </w:rPr>
        <w:t xml:space="preserve">Maemura, 2021</w:t>
      </w:r>
      <w:r w:rsidDel="00000000" w:rsidR="00000000" w:rsidRPr="00000000">
        <w:rPr>
          <w:rFonts w:ascii="Arial" w:cs="Arial" w:eastAsia="Arial" w:hAnsi="Arial"/>
          <w:color w:val="111111"/>
          <w:sz w:val="22"/>
          <w:szCs w:val="22"/>
          <w:shd w:fill="auto" w:val="clear"/>
          <w:vertAlign w:val="baseline"/>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rFonts w:ascii="Arial" w:cs="Arial" w:eastAsia="Arial" w:hAnsi="Arial"/>
          <w:color w:val="111111"/>
          <w:sz w:val="22"/>
          <w:szCs w:val="22"/>
          <w:highlight w:val="white"/>
          <w:vertAlign w:val="baseline"/>
          <w:rtl w:val="0"/>
        </w:rPr>
        <w:t xml:space="preserve">Ishiuchi, </w:t>
      </w:r>
      <w:r w:rsidDel="00000000" w:rsidR="00000000" w:rsidRPr="00000000">
        <w:rPr>
          <w:rFonts w:ascii="Arial" w:cs="Arial" w:eastAsia="Arial" w:hAnsi="Arial"/>
          <w:color w:val="111111"/>
          <w:sz w:val="22"/>
          <w:szCs w:val="22"/>
          <w:shd w:fill="auto" w:val="clear"/>
          <w:vertAlign w:val="baseline"/>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rFonts w:ascii="Arial" w:cs="Arial" w:eastAsia="Arial" w:hAnsi="Arial"/>
          <w:color w:val="111111"/>
          <w:sz w:val="22"/>
          <w:szCs w:val="22"/>
          <w:highlight w:val="white"/>
          <w:vertAlign w:val="baseline"/>
          <w:rtl w:val="0"/>
        </w:rPr>
        <w:t xml:space="preserve">Roy, 2014</w:t>
      </w:r>
      <w:r w:rsidDel="00000000" w:rsidR="00000000" w:rsidRPr="00000000">
        <w:rPr>
          <w:rFonts w:ascii="Arial" w:cs="Arial" w:eastAsia="Arial" w:hAnsi="Arial"/>
          <w:color w:val="111111"/>
          <w:sz w:val="22"/>
          <w:szCs w:val="22"/>
          <w:shd w:fill="auto" w:val="clear"/>
          <w:vertAlign w:val="baseline"/>
          <w:rtl w:val="0"/>
        </w:rPr>
        <w:t xml:space="preserve">). The number of cell generations, starting from zygote, is restricted by Hayflick limit (</w:t>
      </w:r>
      <w:r w:rsidDel="00000000" w:rsidR="00000000" w:rsidRPr="00000000">
        <w:rPr>
          <w:rFonts w:ascii="Arial" w:cs="Arial" w:eastAsia="Arial" w:hAnsi="Arial"/>
          <w:color w:val="111111"/>
          <w:sz w:val="22"/>
          <w:szCs w:val="22"/>
          <w:highlight w:val="white"/>
          <w:vertAlign w:val="baseline"/>
          <w:rtl w:val="0"/>
        </w:rPr>
        <w:t xml:space="preserve">Hayflick, 1997</w:t>
      </w:r>
      <w:r w:rsidDel="00000000" w:rsidR="00000000" w:rsidRPr="00000000">
        <w:rPr>
          <w:rFonts w:ascii="Arial" w:cs="Arial" w:eastAsia="Arial" w:hAnsi="Arial"/>
          <w:color w:val="111111"/>
          <w:sz w:val="22"/>
          <w:szCs w:val="22"/>
          <w:shd w:fill="auto" w:val="clear"/>
          <w:vertAlign w:val="baseline"/>
          <w:rtl w:val="0"/>
        </w:rPr>
        <w:t xml:space="preserve">).</w:t>
      </w:r>
    </w:p>
    <w:p w:rsidR="00000000" w:rsidDel="00000000" w:rsidP="00000000" w:rsidRDefault="00000000" w:rsidRPr="00000000" w14:paraId="0000004C">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4D">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On the basis of aforementioned, the following assumptions can be put forth:</w:t>
      </w:r>
    </w:p>
    <w:p w:rsidR="00000000" w:rsidDel="00000000" w:rsidP="00000000" w:rsidRDefault="00000000" w:rsidRPr="00000000" w14:paraId="0000004E">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4F">
      <w:pPr>
        <w:numPr>
          <w:ilvl w:val="0"/>
          <w:numId w:val="4"/>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Hypothetically it can be suggested that in between destruction of centrioles as in spermatogenesis (</w:t>
      </w:r>
      <w:r w:rsidDel="00000000" w:rsidR="00000000" w:rsidRPr="00000000">
        <w:rPr>
          <w:rFonts w:ascii="Arial" w:cs="Arial" w:eastAsia="Arial" w:hAnsi="Arial"/>
          <w:color w:val="111111"/>
          <w:sz w:val="22"/>
          <w:szCs w:val="22"/>
          <w:highlight w:val="white"/>
          <w:vertAlign w:val="baseline"/>
          <w:rtl w:val="0"/>
        </w:rPr>
        <w:t xml:space="preserve">Simerly</w:t>
      </w:r>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Fonts w:ascii="Arial" w:cs="Arial" w:eastAsia="Arial" w:hAnsi="Arial"/>
          <w:color w:val="111111"/>
          <w:sz w:val="22"/>
          <w:szCs w:val="22"/>
          <w:highlight w:val="white"/>
          <w:vertAlign w:val="baseline"/>
          <w:rtl w:val="0"/>
        </w:rPr>
        <w:t xml:space="preserve">2001</w:t>
      </w:r>
      <w:r w:rsidDel="00000000" w:rsidR="00000000" w:rsidRPr="00000000">
        <w:rPr>
          <w:rFonts w:ascii="Arial" w:cs="Arial" w:eastAsia="Arial" w:hAnsi="Arial"/>
          <w:color w:val="111111"/>
          <w:sz w:val="22"/>
          <w:szCs w:val="22"/>
          <w:shd w:fill="auto" w:val="clear"/>
          <w:vertAlign w:val="baseline"/>
          <w:rtl w:val="0"/>
        </w:rPr>
        <w:t xml:space="preserve">), so during oogenesis (</w:t>
      </w:r>
      <w:r w:rsidDel="00000000" w:rsidR="00000000" w:rsidRPr="00000000">
        <w:rPr>
          <w:rFonts w:ascii="Arial" w:cs="Arial" w:eastAsia="Arial" w:hAnsi="Arial"/>
          <w:color w:val="111111"/>
          <w:sz w:val="22"/>
          <w:szCs w:val="22"/>
          <w:highlight w:val="white"/>
          <w:vertAlign w:val="baseline"/>
          <w:rtl w:val="0"/>
        </w:rPr>
        <w:t xml:space="preserve">Simerly</w:t>
      </w:r>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Fonts w:ascii="Arial" w:cs="Arial" w:eastAsia="Arial" w:hAnsi="Arial"/>
          <w:color w:val="111111"/>
          <w:sz w:val="22"/>
          <w:szCs w:val="22"/>
          <w:highlight w:val="white"/>
          <w:vertAlign w:val="baseline"/>
          <w:rtl w:val="0"/>
        </w:rPr>
        <w:t xml:space="preserve">2018</w:t>
      </w:r>
      <w:r w:rsidDel="00000000" w:rsidR="00000000" w:rsidRPr="00000000">
        <w:rPr>
          <w:rFonts w:ascii="Arial" w:cs="Arial" w:eastAsia="Arial" w:hAnsi="Arial"/>
          <w:color w:val="111111"/>
          <w:sz w:val="22"/>
          <w:szCs w:val="22"/>
          <w:shd w:fill="auto" w:val="clear"/>
          <w:vertAlign w:val="baseline"/>
          <w:rtl w:val="0"/>
        </w:rPr>
        <w:t xml:space="preserve">), prior to formation of centrioles de novo  (</w:t>
      </w:r>
      <w:r w:rsidDel="00000000" w:rsidR="00000000" w:rsidRPr="00000000">
        <w:rPr>
          <w:rFonts w:ascii="Arial" w:cs="Arial" w:eastAsia="Arial" w:hAnsi="Arial"/>
          <w:color w:val="111111"/>
          <w:sz w:val="22"/>
          <w:szCs w:val="22"/>
          <w:highlight w:val="white"/>
          <w:vertAlign w:val="baseline"/>
          <w:rtl w:val="0"/>
        </w:rPr>
        <w:t xml:space="preserve">Zhou, 2015</w:t>
      </w:r>
      <w:r w:rsidDel="00000000" w:rsidR="00000000" w:rsidRPr="00000000">
        <w:rPr>
          <w:rFonts w:ascii="Arial" w:cs="Arial" w:eastAsia="Arial" w:hAnsi="Arial"/>
          <w:color w:val="111111"/>
          <w:sz w:val="22"/>
          <w:szCs w:val="22"/>
          <w:shd w:fill="auto" w:val="clear"/>
          <w:vertAlign w:val="baseline"/>
          <w:rtl w:val="0"/>
        </w:rPr>
        <w:t xml:space="preserve">) two hypothetical structures of inducers are built on the basis of nuclear or mitochondrial DNA. Most probably, these differing structures consist of protein or RNA, or the combination of the two. It is possible that one structure is associated with an old centriole, whereas the second structure is associated with a young centriole.</w:t>
      </w:r>
    </w:p>
    <w:p w:rsidR="00000000" w:rsidDel="00000000" w:rsidP="00000000" w:rsidRDefault="00000000" w:rsidRPr="00000000" w14:paraId="00000050">
      <w:pPr>
        <w:numPr>
          <w:ilvl w:val="0"/>
          <w:numId w:val="4"/>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Inducers connect from outside/inside with centrioles: one of two hypothetical structures (let us name it a structure inducing progenitor cells of somatic cells – S-structure) is linked with one centriole, whereas the second hypothetical structure (let us name it a structure inducing progenitor cells of haploid cells – H-structure) is linked with a second centriole.</w:t>
      </w:r>
    </w:p>
    <w:p w:rsidR="00000000" w:rsidDel="00000000" w:rsidP="00000000" w:rsidRDefault="00000000" w:rsidRPr="00000000" w14:paraId="00000051">
      <w:pPr>
        <w:numPr>
          <w:ilvl w:val="0"/>
          <w:numId w:val="4"/>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In the course of centrioles’ duplication (</w:t>
      </w:r>
      <w:r w:rsidDel="00000000" w:rsidR="00000000" w:rsidRPr="00000000">
        <w:rPr>
          <w:rFonts w:ascii="Arial" w:cs="Arial" w:eastAsia="Arial" w:hAnsi="Arial"/>
          <w:color w:val="111111"/>
          <w:sz w:val="22"/>
          <w:szCs w:val="22"/>
          <w:highlight w:val="white"/>
          <w:vertAlign w:val="baseline"/>
          <w:rtl w:val="0"/>
        </w:rPr>
        <w:t xml:space="preserve">Nigg, 2017</w:t>
      </w:r>
      <w:r w:rsidDel="00000000" w:rsidR="00000000" w:rsidRPr="00000000">
        <w:rPr>
          <w:rFonts w:ascii="Arial" w:cs="Arial" w:eastAsia="Arial" w:hAnsi="Arial"/>
          <w:color w:val="111111"/>
          <w:sz w:val="22"/>
          <w:szCs w:val="22"/>
          <w:shd w:fill="auto" w:val="clear"/>
          <w:vertAlign w:val="baseline"/>
          <w:rtl w:val="0"/>
        </w:rPr>
        <w:t xml:space="preserve">) a centriole with S-structure generates a daughter centriole to which a copy of a H-structure from pair centriole with H-structure is attached. Whereas the pair centriole with H-structure generates daughter centriole with attached copy of S-structure from its former pair with S-structure. After the differentiation-inducing division (</w:t>
      </w:r>
      <w:r w:rsidDel="00000000" w:rsidR="00000000" w:rsidRPr="00000000">
        <w:rPr>
          <w:rFonts w:ascii="Arial" w:cs="Arial" w:eastAsia="Arial" w:hAnsi="Arial"/>
          <w:color w:val="111111"/>
          <w:sz w:val="22"/>
          <w:szCs w:val="22"/>
          <w:highlight w:val="white"/>
          <w:vertAlign w:val="baseline"/>
          <w:rtl w:val="0"/>
        </w:rPr>
        <w:t xml:space="preserve">Seirin-Lee, 2020</w:t>
      </w:r>
      <w:r w:rsidDel="00000000" w:rsidR="00000000" w:rsidRPr="00000000">
        <w:rPr>
          <w:rFonts w:ascii="Arial" w:cs="Arial" w:eastAsia="Arial" w:hAnsi="Arial"/>
          <w:color w:val="111111"/>
          <w:sz w:val="22"/>
          <w:szCs w:val="22"/>
          <w:shd w:fill="auto" w:val="clear"/>
          <w:vertAlign w:val="baseline"/>
          <w:rtl w:val="0"/>
        </w:rPr>
        <w:t xml:space="preserve">), in the process of centrioles reduplication the one-by-one release of corresponding inducer issues from a set of both mother centrioles. There is a detachment of corresponding differentiation inducer from S-structure in one daughter cell, and another corresponding differentiation inducer’s detachment from H-structure takes place in the second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52">
      <w:pPr>
        <w:numPr>
          <w:ilvl w:val="0"/>
          <w:numId w:val="4"/>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There are fewer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S- and H-structures’ sets. If the set of inducers in one of the structures (S-structure or H-structure) is completely depleted, while it is not depleted in the second structure, then such a cell becomes a multipotent stem cell capable of asymmetrical division (</w:t>
      </w:r>
      <w:r w:rsidDel="00000000" w:rsidR="00000000" w:rsidRPr="00000000">
        <w:rPr>
          <w:rFonts w:ascii="Arial" w:cs="Arial" w:eastAsia="Arial" w:hAnsi="Arial"/>
          <w:color w:val="111111"/>
          <w:sz w:val="22"/>
          <w:szCs w:val="22"/>
          <w:highlight w:val="white"/>
          <w:vertAlign w:val="baseline"/>
          <w:rtl w:val="0"/>
        </w:rPr>
        <w:t xml:space="preserve">Chang, 2008</w:t>
      </w:r>
      <w:r w:rsidDel="00000000" w:rsidR="00000000" w:rsidRPr="00000000">
        <w:rPr>
          <w:rFonts w:ascii="Arial" w:cs="Arial" w:eastAsia="Arial" w:hAnsi="Arial"/>
          <w:color w:val="111111"/>
          <w:sz w:val="22"/>
          <w:szCs w:val="22"/>
          <w:shd w:fill="auto" w:val="clear"/>
          <w:vertAlign w:val="baseline"/>
          <w:rtl w:val="0"/>
        </w:rPr>
        <w:t xml:space="preserve">). It is highly likely that the morphological characteristic of a total depletion of one of the inducer structures is the presence of </w:t>
      </w:r>
      <w:r w:rsidDel="00000000" w:rsidR="00000000" w:rsidRPr="00000000">
        <w:rPr>
          <w:rFonts w:ascii="Arial" w:cs="Arial" w:eastAsia="Arial" w:hAnsi="Arial"/>
          <w:color w:val="212121"/>
          <w:sz w:val="22"/>
          <w:szCs w:val="22"/>
          <w:highlight w:val="white"/>
          <w:vertAlign w:val="baseline"/>
          <w:rtl w:val="0"/>
        </w:rPr>
        <w:t xml:space="preserve">primary cilium. </w:t>
      </w:r>
      <w:r w:rsidDel="00000000" w:rsidR="00000000" w:rsidRPr="00000000">
        <w:rPr>
          <w:rFonts w:ascii="Arial" w:cs="Arial" w:eastAsia="Arial" w:hAnsi="Arial"/>
          <w:color w:val="111111"/>
          <w:sz w:val="22"/>
          <w:szCs w:val="22"/>
          <w:shd w:fill="auto" w:val="clear"/>
          <w:vertAlign w:val="baseline"/>
          <w:rtl w:val="0"/>
        </w:rPr>
        <w:t xml:space="preserve">One daughter cell will be identical to the mother cell, as its inducers’ store is depleted at the corresponding centriole (whereas there is inducers’ store in its daughter centriole). Thus, the stem cell pool contains old mother centrioles that do not reparate.   Such irreparable centrioles must lose functionality and cause the death of stem cells wherein they are located.</w:t>
      </w:r>
    </w:p>
    <w:p w:rsidR="00000000" w:rsidDel="00000000" w:rsidP="00000000" w:rsidRDefault="00000000" w:rsidRPr="00000000" w14:paraId="00000053">
      <w:pPr>
        <w:spacing w:after="0" w:before="0" w:line="276" w:lineRule="auto"/>
        <w:ind w:left="0" w:right="0" w:firstLine="0"/>
        <w:jc w:val="center"/>
        <w:rPr>
          <w:rFonts w:ascii="Arial" w:cs="Arial" w:eastAsia="Arial" w:hAnsi="Arial"/>
          <w:color w:val="111111"/>
          <w:sz w:val="22"/>
          <w:szCs w:val="22"/>
          <w:shd w:fill="auto" w:val="clear"/>
          <w:vertAlign w:val="baseline"/>
        </w:rPr>
      </w:pPr>
      <w:r w:rsidDel="00000000" w:rsidR="00000000" w:rsidRPr="00000000">
        <w:rPr/>
        <w:drawing>
          <wp:inline distB="0" distT="0" distL="114300" distR="114300">
            <wp:extent cx="5501640" cy="551053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01640" cy="551053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276" w:lineRule="auto"/>
        <w:ind w:left="0" w:right="0" w:firstLine="0"/>
        <w:jc w:val="both"/>
        <w:rPr>
          <w:rFonts w:ascii="Arial" w:cs="Arial" w:eastAsia="Arial" w:hAnsi="Arial"/>
          <w:i w:val="1"/>
          <w:color w:val="000000"/>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Figure 4. Variation pattern of morphogenetic status in lines of progeny cells when S-structure consists of 3 inducers, and H-structure consists of 3 inducers too.</w:t>
      </w:r>
    </w:p>
    <w:p w:rsidR="00000000" w:rsidDel="00000000" w:rsidP="00000000" w:rsidRDefault="00000000" w:rsidRPr="00000000" w14:paraId="00000055">
      <w:pPr>
        <w:spacing w:after="0" w:before="0" w:line="276" w:lineRule="auto"/>
        <w:ind w:left="0" w:right="0" w:firstLine="0"/>
        <w:jc w:val="both"/>
        <w:rPr>
          <w:rFonts w:ascii="Arial" w:cs="Arial" w:eastAsia="Arial" w:hAnsi="Arial"/>
          <w:i w:val="1"/>
          <w:color w:val="111111"/>
          <w:sz w:val="22"/>
          <w:szCs w:val="22"/>
          <w:shd w:fill="auto" w:val="clear"/>
          <w:vertAlign w:val="baseline"/>
        </w:rPr>
      </w:pPr>
      <w:r w:rsidDel="00000000" w:rsidR="00000000" w:rsidRPr="00000000">
        <w:rPr>
          <w:rFonts w:ascii="Arial" w:cs="Arial" w:eastAsia="Arial" w:hAnsi="Arial"/>
          <w:i w:val="1"/>
          <w:color w:val="000000"/>
          <w:sz w:val="22"/>
          <w:szCs w:val="22"/>
          <w:shd w:fill="auto" w:val="clear"/>
          <w:vertAlign w:val="baseline"/>
          <w:rtl w:val="0"/>
        </w:rPr>
        <w:t xml:space="preserve">S reflects affiliation to the inducers of somatic lines, H reflects affiliation to inducers to the lines of haploid gametes. Numbers show how many inducers have already separated from the inducer structure. The Letter L signifies that the limit of a corresponding line has been reached – all the inducers of the corresponding line have been liberated. A totipotent cell with centrioles formed de novo and with null morphogenetic status, accordingly, S-0/H-0 is progenitor for pluripotent embryonic stem cells with S-1/H-0 and S-0/H-1. On this hypothetical diagram it is easy to notice that for a cell with a certain morphogenetic status, for instance, S-1/H-1’s progenitors can be cells with different morphogenetic status, in this particular case those are S-1/H-0 and also S-0/ H-1. As long as there is at least 1 inducer left in both inducer structures, the cell is a pluripotent embryonic stem cell. Multipotent mature stem cells are the result of depletion of one of the inducer structures and, in theory, they can yield progenie analogous to themselves limitlessly. They are also progenitors for unipotent cells with S-2/H-L and S-L/H-2. Cells with S-2/H-L are progenitors for highly-differentiated cells and whose progenies will reach Hayflick limit with preprogrammed apoptosis. Whereas S-L/H-2 are the progenitors for the future germ cells – the liberated last inducer triggers meiotic division. By the example of S-2/H-L and S-L/H-2 on this hypothetical diagram, it is easy to see the significance of the medium to which an inducer liberates. Liberation of the last inducer of H-structure in the progeny line S-L/H-2 causes activation of meiotic division. Whereas, the liberation of the same inducer in S-0/H-L causes the formation of a mature stem cell with the largest (for mature stem cell) potency. Thus, different gene networks switch the same inducers to different gene networks.</w:t>
      </w:r>
      <w:r w:rsidDel="00000000" w:rsidR="00000000" w:rsidRPr="00000000">
        <w:rPr>
          <w:rtl w:val="0"/>
        </w:rPr>
      </w:r>
    </w:p>
    <w:p w:rsidR="00000000" w:rsidDel="00000000" w:rsidP="00000000" w:rsidRDefault="00000000" w:rsidRPr="00000000" w14:paraId="00000056">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57">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Reduction of the amount of stem cells over time becomes the reason for stem cells' rarer division. Accordingly, the amount of cells that are on the path of further differentiation, progenitors of highly-differentiated cells, is continually less.  Therefore, frequency of cell renewal in tissues takes longer time, regeneration tempo declines, organism ages.</w:t>
      </w:r>
    </w:p>
    <w:p w:rsidR="00000000" w:rsidDel="00000000" w:rsidP="00000000" w:rsidRDefault="00000000" w:rsidRPr="00000000" w14:paraId="00000058">
      <w:pPr>
        <w:spacing w:after="0" w:before="0" w:line="276"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tl w:val="0"/>
        </w:rPr>
      </w:r>
    </w:p>
    <w:p w:rsidR="00000000" w:rsidDel="00000000" w:rsidP="00000000" w:rsidRDefault="00000000" w:rsidRPr="00000000" w14:paraId="00000059">
      <w:pPr>
        <w:spacing w:after="0" w:before="0" w:line="276"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4. Discussion</w:t>
      </w:r>
    </w:p>
    <w:p w:rsidR="00000000" w:rsidDel="00000000" w:rsidP="00000000" w:rsidRDefault="00000000" w:rsidRPr="00000000" w14:paraId="0000005A">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Reduction of regeneration potency of tissues is one of the most obvious aging characteristics (López-Otín, 2013). For instance, hematopoiesis decreases with aging; it leads to the reduction of production of adaptive immune cells (Shaw, 2010).  Such functional loss of stem cells has been detected in practically every compartment of mature stem cells, including mouse forebrain (Molofsky, 2006), the bones and the muscle fibers (Conboy, 2012). Reduction of regenerative potency with aging has been predicted long ago, after experiments on transplantation of muscles obtained from an old organism to the young, and muscle transplantation from young organism to the old. These experiments have shown that (1) that chronological age alone is not a factor that limits the intrinsic ability of a muscle to regenerate and (2) that the poor regeneration of muscles in old animals is a function of the environment for regeneration provided by the old host (Carlson, 1989). </w:t>
      </w:r>
    </w:p>
    <w:p w:rsidR="00000000" w:rsidDel="00000000" w:rsidP="00000000" w:rsidRDefault="00000000" w:rsidRPr="00000000" w14:paraId="0000005B">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C">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What if instead of whole muscle or organ transplantation, we could transplant only stem cells? The experiment in question has already been carried out by  Lavasani (Lavasani, 2012) and the result of it has been paradoxical: where only stem cells were transplanted, the result was the reverse effect of Carlson's experiments – transplant assimilated the host. Unfortunately, Lavasani transplanted only in one direction: stem cells of young organisms to the old. </w:t>
      </w:r>
    </w:p>
    <w:p w:rsidR="00000000" w:rsidDel="00000000" w:rsidP="00000000" w:rsidRDefault="00000000" w:rsidRPr="00000000" w14:paraId="0000005D">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Will a young organism age if it had stem cells transplanted to it from an old organism? The question remains to be answered. Until then and hopefully thereafter (if assimilation takes place as a result of transplantation of stem cells from old organism to the young) hypothesis about selective accumulation of old centrioles in stem cells is of essence. Due to the passing of time, more damaged old centrioles in stem cells make these stem cells less resistant to stress. Stem cell number decreases and so does the regeneration tempo. Quite possible that the damage to the stem cells’ old centrioles affects also differentiated daughter cells (old centriole serves as a matrix for daughter cells’ centrioles) that enables ripple-through effect on corresponding tissues accordingly.</w:t>
      </w:r>
    </w:p>
    <w:p w:rsidR="00000000" w:rsidDel="00000000" w:rsidP="00000000" w:rsidRDefault="00000000" w:rsidRPr="00000000" w14:paraId="0000005F">
      <w:pPr>
        <w:spacing w:after="0" w:before="0" w:line="276" w:lineRule="auto"/>
        <w:ind w:left="0" w:right="0" w:firstLine="0"/>
        <w:jc w:val="both"/>
        <w:rPr>
          <w:rFonts w:ascii="Arial" w:cs="Arial" w:eastAsia="Arial" w:hAnsi="Arial"/>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0">
      <w:pPr>
        <w:spacing w:after="0" w:before="0" w:line="276" w:lineRule="auto"/>
        <w:ind w:left="0" w:right="0" w:firstLine="0"/>
        <w:jc w:val="both"/>
        <w:rPr>
          <w:rFonts w:ascii="Arial" w:cs="Arial" w:eastAsia="Arial" w:hAnsi="Arial"/>
          <w:b w:val="1"/>
          <w:color w:val="000000"/>
          <w:sz w:val="22"/>
          <w:szCs w:val="22"/>
          <w:shd w:fill="auto" w:val="clear"/>
          <w:vertAlign w:val="baseline"/>
        </w:rPr>
      </w:pPr>
      <w:r w:rsidDel="00000000" w:rsidR="00000000" w:rsidRPr="00000000">
        <w:rPr>
          <w:rFonts w:ascii="Arial" w:cs="Arial" w:eastAsia="Arial" w:hAnsi="Arial"/>
          <w:b w:val="1"/>
          <w:color w:val="000000"/>
          <w:sz w:val="22"/>
          <w:szCs w:val="22"/>
          <w:shd w:fill="auto" w:val="clear"/>
          <w:vertAlign w:val="baseline"/>
          <w:rtl w:val="0"/>
        </w:rPr>
        <w:t xml:space="preserve">Conclusion </w:t>
      </w:r>
    </w:p>
    <w:p w:rsidR="00000000" w:rsidDel="00000000" w:rsidP="00000000" w:rsidRDefault="00000000" w:rsidRPr="00000000" w14:paraId="00000061">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Unfortunately, in his research, Lavasani was unable to assess the significance of his finding. And he did not conduct the invert experiment that is a transplantation of stem cells from an old organism to a young organism. If young mice with transplanted stem cells from old mice start aging faster than individuals of the control group, then the very centriole and its function must be immediately investigated. Instead of stem cells from old or young organisms, their centrioles must be subjected to transplantation. </w:t>
      </w:r>
    </w:p>
    <w:p w:rsidR="00000000" w:rsidDel="00000000" w:rsidP="00000000" w:rsidRDefault="00000000" w:rsidRPr="00000000" w14:paraId="00000062">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Acknowledgements </w:t>
      </w:r>
    </w:p>
    <w:p w:rsidR="00000000" w:rsidDel="00000000" w:rsidP="00000000" w:rsidRDefault="00000000" w:rsidRPr="00000000" w14:paraId="00000063">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Leonard Hayflick for his patience and attention that he bestowed through analyzing and correcting this hypothesis. But most of all for his ingenious paper (Hayflick L., 2021). For the second time, he has given hope for finding the main reason for aging.</w:t>
      </w:r>
    </w:p>
    <w:p w:rsidR="00000000" w:rsidDel="00000000" w:rsidP="00000000" w:rsidRDefault="00000000" w:rsidRPr="00000000" w14:paraId="00000064">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5">
      <w:pPr>
        <w:keepNext w:val="1"/>
        <w:keepLines w:val="1"/>
        <w:spacing w:after="80" w:before="240" w:line="276" w:lineRule="auto"/>
        <w:ind w:left="0" w:right="0" w:firstLine="0"/>
        <w:jc w:val="both"/>
        <w:rPr>
          <w:rFonts w:ascii="Arial" w:cs="Arial" w:eastAsia="Arial" w:hAnsi="Arial"/>
          <w:b w:val="1"/>
          <w:color w:val="666666"/>
          <w:sz w:val="22"/>
          <w:szCs w:val="22"/>
          <w:shd w:fill="auto" w:val="clear"/>
          <w:vertAlign w:val="baseline"/>
        </w:rPr>
      </w:pPr>
      <w:r w:rsidDel="00000000" w:rsidR="00000000" w:rsidRPr="00000000">
        <w:rPr>
          <w:rFonts w:ascii="Arial" w:cs="Arial" w:eastAsia="Arial" w:hAnsi="Arial"/>
          <w:b w:val="1"/>
          <w:color w:val="666666"/>
          <w:sz w:val="22"/>
          <w:szCs w:val="22"/>
          <w:shd w:fill="auto" w:val="clear"/>
          <w:vertAlign w:val="baseline"/>
          <w:rtl w:val="0"/>
        </w:rPr>
        <w:t xml:space="preserve">Statements and Declarations</w:t>
      </w:r>
    </w:p>
    <w:p w:rsidR="00000000" w:rsidDel="00000000" w:rsidP="00000000" w:rsidRDefault="00000000" w:rsidRPr="00000000" w14:paraId="00000066">
      <w:pPr>
        <w:numPr>
          <w:ilvl w:val="0"/>
          <w:numId w:val="1"/>
        </w:numPr>
        <w:spacing w:after="0" w:before="0" w:line="276"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Ethics approval and Consent to participate: not applicable </w:t>
      </w:r>
    </w:p>
    <w:p w:rsidR="00000000" w:rsidDel="00000000" w:rsidP="00000000" w:rsidRDefault="00000000" w:rsidRPr="00000000" w14:paraId="00000067">
      <w:pPr>
        <w:numPr>
          <w:ilvl w:val="0"/>
          <w:numId w:val="1"/>
        </w:numPr>
        <w:spacing w:after="0" w:before="0" w:line="276"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Consent for publication: not applicable </w:t>
      </w:r>
    </w:p>
    <w:p w:rsidR="00000000" w:rsidDel="00000000" w:rsidP="00000000" w:rsidRDefault="00000000" w:rsidRPr="00000000" w14:paraId="00000068">
      <w:pPr>
        <w:numPr>
          <w:ilvl w:val="0"/>
          <w:numId w:val="1"/>
        </w:numPr>
        <w:spacing w:after="0" w:before="0" w:line="276"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Availability of data and materials: not applicable </w:t>
      </w:r>
    </w:p>
    <w:p w:rsidR="00000000" w:rsidDel="00000000" w:rsidP="00000000" w:rsidRDefault="00000000" w:rsidRPr="00000000" w14:paraId="00000069">
      <w:pPr>
        <w:numPr>
          <w:ilvl w:val="0"/>
          <w:numId w:val="1"/>
        </w:numPr>
        <w:spacing w:after="0" w:before="0" w:line="276"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Competing interests: The authors have no relevant financial or non-financial interests to disclose.</w:t>
      </w:r>
    </w:p>
    <w:p w:rsidR="00000000" w:rsidDel="00000000" w:rsidP="00000000" w:rsidRDefault="00000000" w:rsidRPr="00000000" w14:paraId="0000006A">
      <w:pPr>
        <w:numPr>
          <w:ilvl w:val="0"/>
          <w:numId w:val="1"/>
        </w:numPr>
        <w:spacing w:after="0" w:before="0" w:line="276"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Funding: The authors declare that no funds, grants, or other support were received during the preparation of this manuscript.</w:t>
      </w:r>
    </w:p>
    <w:p w:rsidR="00000000" w:rsidDel="00000000" w:rsidP="00000000" w:rsidRDefault="00000000" w:rsidRPr="00000000" w14:paraId="0000006B">
      <w:pPr>
        <w:numPr>
          <w:ilvl w:val="0"/>
          <w:numId w:val="1"/>
        </w:numPr>
        <w:spacing w:after="0" w:before="0" w:line="276"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Authors' contributions: 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p>
    <w:p w:rsidR="00000000" w:rsidDel="00000000" w:rsidP="00000000" w:rsidRDefault="00000000" w:rsidRPr="00000000" w14:paraId="0000006C">
      <w:pPr>
        <w:numPr>
          <w:ilvl w:val="0"/>
          <w:numId w:val="1"/>
        </w:numPr>
        <w:spacing w:after="0" w:before="0" w:line="276"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Acknowledgements: To Leonard Hay flick for his patience and attention that he bestowed through analyzing and correcting this hypothesis. But most of all for his ingenious paper (Hayflick L., 2021). For the second time, he has given hope for finding the main reason for aging. </w:t>
      </w:r>
    </w:p>
    <w:p w:rsidR="00000000" w:rsidDel="00000000" w:rsidP="00000000" w:rsidRDefault="00000000" w:rsidRPr="00000000" w14:paraId="0000006D">
      <w:pPr>
        <w:keepNext w:val="1"/>
        <w:keepLines w:val="1"/>
        <w:spacing w:after="80" w:before="240" w:line="240" w:lineRule="auto"/>
        <w:ind w:left="0" w:right="0" w:firstLine="0"/>
        <w:jc w:val="both"/>
        <w:rPr>
          <w:rFonts w:ascii="Arial" w:cs="Arial" w:eastAsia="Arial" w:hAnsi="Arial"/>
          <w:b w:val="1"/>
          <w:i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6E">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Abumuslimov, SS., Nadezhdina, ES., Chentsov, IuS. 1994. [An electron microscopic study of centriole and centrosome morphogenesis in the early development of the mouse]. Tsitologiia.;36(11):1054-61. Russian.</w:t>
      </w:r>
      <w:r w:rsidDel="00000000" w:rsidR="00000000" w:rsidRPr="00000000">
        <w:rPr>
          <w:rtl w:val="0"/>
        </w:rPr>
      </w:r>
    </w:p>
    <w:p w:rsidR="00000000" w:rsidDel="00000000" w:rsidP="00000000" w:rsidRDefault="00000000" w:rsidRPr="00000000" w14:paraId="0000006F">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Batty, P., Gerlich, DW. 2019. Mitotic Chromosome Mechanics: How Cells Segregate Their Genome. Trends Cell Biol. </w:t>
      </w:r>
      <w:hyperlink r:id="rId16">
        <w:r w:rsidDel="00000000" w:rsidR="00000000" w:rsidRPr="00000000">
          <w:rPr>
            <w:rFonts w:ascii="Arial" w:cs="Arial" w:eastAsia="Arial" w:hAnsi="Arial"/>
            <w:color w:val="111111"/>
            <w:sz w:val="22"/>
            <w:szCs w:val="22"/>
            <w:u w:val="single"/>
            <w:shd w:fill="auto" w:val="clear"/>
            <w:vertAlign w:val="baseline"/>
            <w:rtl w:val="0"/>
          </w:rPr>
          <w:t xml:space="preserve">doi.org/10.1016/j.tcb.2019.05.007</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Bianconi</w:t>
      </w:r>
      <w:r w:rsidDel="00000000" w:rsidR="00000000" w:rsidRPr="00000000">
        <w:rPr>
          <w:rFonts w:ascii="Arial" w:cs="Arial" w:eastAsia="Arial" w:hAnsi="Arial"/>
          <w:color w:val="111111"/>
          <w:sz w:val="22"/>
          <w:szCs w:val="22"/>
          <w:shd w:fill="fcfcfc" w:val="clear"/>
          <w:vertAlign w:val="baseline"/>
          <w:rtl w:val="0"/>
        </w:rPr>
        <w:t xml:space="preserve"> et al. </w:t>
      </w:r>
      <w:r w:rsidDel="00000000" w:rsidR="00000000" w:rsidRPr="00000000">
        <w:rPr>
          <w:rFonts w:ascii="Arial" w:cs="Arial" w:eastAsia="Arial" w:hAnsi="Arial"/>
          <w:color w:val="111111"/>
          <w:sz w:val="22"/>
          <w:szCs w:val="22"/>
          <w:shd w:fill="auto" w:val="clear"/>
          <w:vertAlign w:val="baseline"/>
          <w:rtl w:val="0"/>
        </w:rPr>
        <w:t xml:space="preserve">2013. An estimation of the number of cells in the human body. Ann Hum Biol. </w:t>
      </w:r>
      <w:hyperlink r:id="rId17">
        <w:r w:rsidDel="00000000" w:rsidR="00000000" w:rsidRPr="00000000">
          <w:rPr>
            <w:rFonts w:ascii="Arial" w:cs="Arial" w:eastAsia="Arial" w:hAnsi="Arial"/>
            <w:color w:val="111111"/>
            <w:sz w:val="22"/>
            <w:szCs w:val="22"/>
            <w:u w:val="single"/>
            <w:shd w:fill="auto" w:val="clear"/>
            <w:vertAlign w:val="baseline"/>
            <w:rtl w:val="0"/>
          </w:rPr>
          <w:t xml:space="preserve">doi.org/10.3109/03014460.2013.807878</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1">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Binder, MD., Hirokawa, N., Windhorst U. 2009. Cellular potency. (eds) Encyclopedia of Neuroscience. Springer, Berlin, Heidelberg. </w:t>
      </w:r>
      <w:hyperlink r:id="rId18">
        <w:r w:rsidDel="00000000" w:rsidR="00000000" w:rsidRPr="00000000">
          <w:rPr>
            <w:rFonts w:ascii="Arial" w:cs="Arial" w:eastAsia="Arial" w:hAnsi="Arial"/>
            <w:color w:val="111111"/>
            <w:sz w:val="22"/>
            <w:szCs w:val="22"/>
            <w:u w:val="single"/>
            <w:shd w:fill="auto" w:val="clear"/>
            <w:vertAlign w:val="baseline"/>
            <w:rtl w:val="0"/>
          </w:rPr>
          <w:t xml:space="preserve">doi.org/10.1007/978-3-540-29678-2_875</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Bobinnec</w:t>
      </w:r>
      <w:r w:rsidDel="00000000" w:rsidR="00000000" w:rsidRPr="00000000">
        <w:rPr>
          <w:rFonts w:ascii="Arial" w:cs="Arial" w:eastAsia="Arial" w:hAnsi="Arial"/>
          <w:color w:val="111111"/>
          <w:sz w:val="22"/>
          <w:szCs w:val="22"/>
          <w:shd w:fill="fcfcfc" w:val="clear"/>
          <w:vertAlign w:val="baseline"/>
          <w:rtl w:val="0"/>
        </w:rPr>
        <w:t xml:space="preserve"> et al. </w:t>
      </w:r>
      <w:r w:rsidDel="00000000" w:rsidR="00000000" w:rsidRPr="00000000">
        <w:rPr>
          <w:rFonts w:ascii="Arial" w:cs="Arial" w:eastAsia="Arial" w:hAnsi="Arial"/>
          <w:color w:val="111111"/>
          <w:sz w:val="22"/>
          <w:szCs w:val="22"/>
          <w:shd w:fill="auto" w:val="clear"/>
          <w:vertAlign w:val="baseline"/>
          <w:rtl w:val="0"/>
        </w:rPr>
        <w:t xml:space="preserve">1998. Centriole disassembly in vivo and its effect on centrosome structure and    function in vertebrate cells. J Cell Biol. </w:t>
      </w:r>
      <w:hyperlink r:id="rId19">
        <w:r w:rsidDel="00000000" w:rsidR="00000000" w:rsidRPr="00000000">
          <w:rPr>
            <w:rFonts w:ascii="Arial" w:cs="Arial" w:eastAsia="Arial" w:hAnsi="Arial"/>
            <w:color w:val="111111"/>
            <w:sz w:val="22"/>
            <w:szCs w:val="22"/>
            <w:u w:val="single"/>
            <w:shd w:fill="auto" w:val="clear"/>
            <w:vertAlign w:val="baseline"/>
            <w:rtl w:val="0"/>
          </w:rPr>
          <w:t xml:space="preserve">doi.org/10.1083/jcb.143.6.1575</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Boldrini</w:t>
      </w:r>
      <w:r w:rsidDel="00000000" w:rsidR="00000000" w:rsidRPr="00000000">
        <w:rPr>
          <w:rFonts w:ascii="Arial" w:cs="Arial" w:eastAsia="Arial" w:hAnsi="Arial"/>
          <w:color w:val="111111"/>
          <w:sz w:val="22"/>
          <w:szCs w:val="22"/>
          <w:shd w:fill="fcfcfc" w:val="clear"/>
          <w:vertAlign w:val="baseline"/>
          <w:rtl w:val="0"/>
        </w:rPr>
        <w:t xml:space="preserve"> et al. 2018. </w:t>
      </w:r>
      <w:r w:rsidDel="00000000" w:rsidR="00000000" w:rsidRPr="00000000">
        <w:rPr>
          <w:rFonts w:ascii="Arial" w:cs="Arial" w:eastAsia="Arial" w:hAnsi="Arial"/>
          <w:color w:val="212121"/>
          <w:sz w:val="22"/>
          <w:szCs w:val="22"/>
          <w:highlight w:val="white"/>
          <w:vertAlign w:val="baselin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74">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Boulan, L., Léopold, P. 2021. What determines organ size during development and regeneration? Development. </w:t>
      </w:r>
      <w:hyperlink r:id="rId20">
        <w:r w:rsidDel="00000000" w:rsidR="00000000" w:rsidRPr="00000000">
          <w:rPr>
            <w:rFonts w:ascii="Arial" w:cs="Arial" w:eastAsia="Arial" w:hAnsi="Arial"/>
            <w:color w:val="111111"/>
            <w:sz w:val="22"/>
            <w:szCs w:val="22"/>
            <w:u w:val="single"/>
            <w:shd w:fill="auto" w:val="clear"/>
            <w:vertAlign w:val="baseline"/>
            <w:rtl w:val="0"/>
          </w:rPr>
          <w:t xml:space="preserve">doi.org/10.1242/dev.196063</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5">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Briggs, R., King, TJ. 1952. Transplantation of Living Nuclei From Blastula Cells into Enucleated Frogs' Eggs. Proc Natl Acad Sci U S A. </w:t>
      </w:r>
      <w:hyperlink r:id="rId21">
        <w:r w:rsidDel="00000000" w:rsidR="00000000" w:rsidRPr="00000000">
          <w:rPr>
            <w:rFonts w:ascii="Arial" w:cs="Arial" w:eastAsia="Arial" w:hAnsi="Arial"/>
            <w:color w:val="111111"/>
            <w:sz w:val="22"/>
            <w:szCs w:val="22"/>
            <w:u w:val="single"/>
            <w:shd w:fill="auto" w:val="clear"/>
            <w:vertAlign w:val="baseline"/>
            <w:rtl w:val="0"/>
          </w:rPr>
          <w:t xml:space="preserve">doi.org/10.1073/pnas.38.5.455</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6">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Brown, G., Hughes, PJ., Michell, RH. 2003. Cell differentiation and proliferation--simultaneous but independent? Exp Cell Res. </w:t>
      </w:r>
      <w:hyperlink r:id="rId22">
        <w:r w:rsidDel="00000000" w:rsidR="00000000" w:rsidRPr="00000000">
          <w:rPr>
            <w:rFonts w:ascii="Arial" w:cs="Arial" w:eastAsia="Arial" w:hAnsi="Arial"/>
            <w:color w:val="111111"/>
            <w:sz w:val="22"/>
            <w:szCs w:val="22"/>
            <w:u w:val="single"/>
            <w:shd w:fill="auto" w:val="clear"/>
            <w:vertAlign w:val="baseline"/>
            <w:rtl w:val="0"/>
          </w:rPr>
          <w:t xml:space="preserve">doi.org/10.1016/s0014-4827(03)00393-8</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7">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Calarco-Gillam et al. 1983. Centrosome development in early mouse embryos as defined by an autoantibody against pericentriolar material. Cell. </w:t>
      </w:r>
      <w:hyperlink r:id="rId23">
        <w:r w:rsidDel="00000000" w:rsidR="00000000" w:rsidRPr="00000000">
          <w:rPr>
            <w:rFonts w:ascii="Arial" w:cs="Arial" w:eastAsia="Arial" w:hAnsi="Arial"/>
            <w:color w:val="111111"/>
            <w:sz w:val="22"/>
            <w:szCs w:val="22"/>
            <w:u w:val="single"/>
            <w:shd w:fill="auto" w:val="clear"/>
            <w:vertAlign w:val="baseline"/>
            <w:rtl w:val="0"/>
          </w:rPr>
          <w:t xml:space="preserve">doi.org/10.1016/0092-8674(83)90094-6</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8">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Campbel et al. Nuclear transfer in practice. 2001. Cloning Stem Cells. </w:t>
      </w:r>
      <w:hyperlink r:id="rId24">
        <w:r w:rsidDel="00000000" w:rsidR="00000000" w:rsidRPr="00000000">
          <w:rPr>
            <w:rFonts w:ascii="Arial" w:cs="Arial" w:eastAsia="Arial" w:hAnsi="Arial"/>
            <w:color w:val="111111"/>
            <w:sz w:val="22"/>
            <w:szCs w:val="22"/>
            <w:u w:val="single"/>
            <w:shd w:fill="auto" w:val="clear"/>
            <w:vertAlign w:val="baseline"/>
            <w:rtl w:val="0"/>
          </w:rPr>
          <w:t xml:space="preserve">doi.org/10.1089/15362300152725927</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Carlson BM, Faulkner JA. 1989. Muscle transplantation between young and old rats: age of host determines recovery. Am J Physiol. doi: 10.1152/ajpcell.1989.256.6. C1262.</w:t>
      </w:r>
      <w:r w:rsidDel="00000000" w:rsidR="00000000" w:rsidRPr="00000000">
        <w:rPr>
          <w:rtl w:val="0"/>
        </w:rPr>
      </w:r>
    </w:p>
    <w:p w:rsidR="00000000" w:rsidDel="00000000" w:rsidP="00000000" w:rsidRDefault="00000000" w:rsidRPr="00000000" w14:paraId="0000007A">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Chang, JT., Reiner, SL. 2008. Asymmetric division and stem cell renewal without a permanent niche: lessons from lymphocytes. Cold Spring Harb Symp Quant Biol. </w:t>
      </w:r>
      <w:hyperlink r:id="rId25">
        <w:r w:rsidDel="00000000" w:rsidR="00000000" w:rsidRPr="00000000">
          <w:rPr>
            <w:rFonts w:ascii="Arial" w:cs="Arial" w:eastAsia="Arial" w:hAnsi="Arial"/>
            <w:color w:val="111111"/>
            <w:sz w:val="22"/>
            <w:szCs w:val="22"/>
            <w:u w:val="single"/>
            <w:shd w:fill="auto" w:val="clear"/>
            <w:vertAlign w:val="baseline"/>
            <w:rtl w:val="0"/>
          </w:rPr>
          <w:t xml:space="preserve">doi.org/10.1101/sqb.2008.73.008</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Chen, C., Fingerhut, JM., Yamashita, YM. 2016. The ins (ide) and outs (ide) of asymmetric stem cell division. Curr Opin Cell Biol. Doi: 10.1016/j.ceb.2016.06.001</w:t>
      </w:r>
      <w:r w:rsidDel="00000000" w:rsidR="00000000" w:rsidRPr="00000000">
        <w:rPr>
          <w:rtl w:val="0"/>
        </w:rPr>
      </w:r>
    </w:p>
    <w:p w:rsidR="00000000" w:rsidDel="00000000" w:rsidP="00000000" w:rsidRDefault="00000000" w:rsidRPr="00000000" w14:paraId="0000007C">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Chen, C., Yamashita, YM. 2021. Centrosome-centric view of asymmetric stem cell division. Open Biol. </w:t>
      </w:r>
      <w:hyperlink r:id="rId26">
        <w:r w:rsidDel="00000000" w:rsidR="00000000" w:rsidRPr="00000000">
          <w:rPr>
            <w:rFonts w:ascii="Arial" w:cs="Arial" w:eastAsia="Arial" w:hAnsi="Arial"/>
            <w:color w:val="111111"/>
            <w:sz w:val="22"/>
            <w:szCs w:val="22"/>
            <w:u w:val="single"/>
            <w:shd w:fill="auto" w:val="clear"/>
            <w:vertAlign w:val="baseline"/>
            <w:rtl w:val="0"/>
          </w:rPr>
          <w:t xml:space="preserve">doi.org/10.1098/rsob.200314</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7D">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Chichinadze, KN., Tkemaladze, DV. 2008. [Centrosomal hypothesis of cellular aging and differentiation]. Adv Gerontol. 21(3):367-71. Russian. </w:t>
      </w:r>
      <w:r w:rsidDel="00000000" w:rsidR="00000000" w:rsidRPr="00000000">
        <w:rPr>
          <w:rtl w:val="0"/>
        </w:rPr>
      </w:r>
    </w:p>
    <w:p w:rsidR="00000000" w:rsidDel="00000000" w:rsidP="00000000" w:rsidRDefault="00000000" w:rsidRPr="00000000" w14:paraId="0000007E">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Conboy, IM., Rando, TA. 2012. Heterochronic parabiosis for the study of the effects of aging on stem cells and their niches. Cell Cycle. Doi: 10.4161/cc.20437</w:t>
      </w:r>
      <w:r w:rsidDel="00000000" w:rsidR="00000000" w:rsidRPr="00000000">
        <w:rPr>
          <w:rtl w:val="0"/>
        </w:rPr>
      </w:r>
    </w:p>
    <w:p w:rsidR="00000000" w:rsidDel="00000000" w:rsidP="00000000" w:rsidRDefault="00000000" w:rsidRPr="00000000" w14:paraId="0000007F">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Driesen et al. 2014. Reversible and irreversible differentiation of cardiac fibroblasts. Cardiovasc Res. </w:t>
      </w:r>
      <w:hyperlink r:id="rId27">
        <w:r w:rsidDel="00000000" w:rsidR="00000000" w:rsidRPr="00000000">
          <w:rPr>
            <w:rFonts w:ascii="Arial" w:cs="Arial" w:eastAsia="Arial" w:hAnsi="Arial"/>
            <w:color w:val="111111"/>
            <w:sz w:val="22"/>
            <w:szCs w:val="22"/>
            <w:u w:val="single"/>
            <w:shd w:fill="auto" w:val="clear"/>
            <w:vertAlign w:val="baseline"/>
            <w:rtl w:val="0"/>
          </w:rPr>
          <w:t xml:space="preserve">doi.org/10.1093/cvr/cvt338</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80">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Eckfeldt, CE., Mendenhall, EM., Verfaillie, CM. 2005. The molecular repertoire of the 'almighty' stem cell. Nat Rev Mol Cell Biol. Doi: 10.1038/nrm1713</w:t>
      </w:r>
      <w:r w:rsidDel="00000000" w:rsidR="00000000" w:rsidRPr="00000000">
        <w:rPr>
          <w:rtl w:val="0"/>
        </w:rPr>
      </w:r>
    </w:p>
    <w:p w:rsidR="00000000" w:rsidDel="00000000" w:rsidP="00000000" w:rsidRDefault="00000000" w:rsidRPr="00000000" w14:paraId="00000081">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Encinas, JM., Sierra, A. 2012. Neural stem cell deforestation as the main force driving the age-related decline in adult hippocampal neurogenesis. Behav Brain Res. Doi:10.1016/j.bbr.2011.10.010</w:t>
      </w:r>
      <w:r w:rsidDel="00000000" w:rsidR="00000000" w:rsidRPr="00000000">
        <w:rPr>
          <w:rtl w:val="0"/>
        </w:rPr>
      </w:r>
    </w:p>
    <w:p w:rsidR="00000000" w:rsidDel="00000000" w:rsidP="00000000" w:rsidRDefault="00000000" w:rsidRPr="00000000" w14:paraId="00000082">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Ewen-Campen, B., Schwager, EE., Extavour, CG. 2010. The molecular machinery of germ line specification. Mol Reprod Dev. </w:t>
      </w:r>
      <w:hyperlink r:id="rId28">
        <w:r w:rsidDel="00000000" w:rsidR="00000000" w:rsidRPr="00000000">
          <w:rPr>
            <w:rFonts w:ascii="Arial" w:cs="Arial" w:eastAsia="Arial" w:hAnsi="Arial"/>
            <w:color w:val="111111"/>
            <w:sz w:val="22"/>
            <w:szCs w:val="22"/>
            <w:u w:val="single"/>
            <w:shd w:fill="auto" w:val="clear"/>
            <w:vertAlign w:val="baseline"/>
            <w:rtl w:val="0"/>
          </w:rPr>
          <w:t xml:space="preserve">doi.org/10.1002/mrd.21091</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83">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Gadde, S., Heald, R. (2004). Mechanisms and molecules of the mitotic spindle. Curr Biol. </w:t>
      </w:r>
      <w:hyperlink r:id="rId29">
        <w:r w:rsidDel="00000000" w:rsidR="00000000" w:rsidRPr="00000000">
          <w:rPr>
            <w:rFonts w:ascii="Arial" w:cs="Arial" w:eastAsia="Arial" w:hAnsi="Arial"/>
            <w:color w:val="111111"/>
            <w:sz w:val="22"/>
            <w:szCs w:val="22"/>
            <w:u w:val="single"/>
            <w:shd w:fill="auto" w:val="clear"/>
            <w:vertAlign w:val="baseline"/>
            <w:rtl w:val="0"/>
          </w:rPr>
          <w:t xml:space="preserve">doi.org/10.1016/j.cub.2004.09.021</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Galan et al. 2013. Defining the genomic signature of totipotency and pluripotency during early human development. PLoS One. </w:t>
      </w:r>
      <w:hyperlink r:id="rId30">
        <w:r w:rsidDel="00000000" w:rsidR="00000000" w:rsidRPr="00000000">
          <w:rPr>
            <w:rFonts w:ascii="Arial" w:cs="Arial" w:eastAsia="Arial" w:hAnsi="Arial"/>
            <w:color w:val="111111"/>
            <w:sz w:val="22"/>
            <w:szCs w:val="22"/>
            <w:u w:val="single"/>
            <w:shd w:fill="auto" w:val="clear"/>
            <w:vertAlign w:val="baseline"/>
            <w:rtl w:val="0"/>
          </w:rPr>
          <w:t xml:space="preserve">doi.org/10.1371/journal.pone.0062135</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5">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Giehl, KM. 2007. Neuronal development. Prog Exp Tumor Res. </w:t>
      </w:r>
      <w:hyperlink r:id="rId31">
        <w:r w:rsidDel="00000000" w:rsidR="00000000" w:rsidRPr="00000000">
          <w:rPr>
            <w:rFonts w:ascii="Arial" w:cs="Arial" w:eastAsia="Arial" w:hAnsi="Arial"/>
            <w:color w:val="111111"/>
            <w:sz w:val="22"/>
            <w:szCs w:val="22"/>
            <w:u w:val="single"/>
            <w:shd w:fill="auto" w:val="clear"/>
            <w:vertAlign w:val="baseline"/>
            <w:rtl w:val="0"/>
          </w:rPr>
          <w:t xml:space="preserve">doi.org/10.1159/000100041</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6">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Gómez et al. 2004. Birth of African Wildcat cloned kittens born from domestic cats. Cloning Stem Cells. </w:t>
      </w:r>
      <w:hyperlink r:id="rId32">
        <w:r w:rsidDel="00000000" w:rsidR="00000000" w:rsidRPr="00000000">
          <w:rPr>
            <w:rFonts w:ascii="Arial" w:cs="Arial" w:eastAsia="Arial" w:hAnsi="Arial"/>
            <w:color w:val="111111"/>
            <w:sz w:val="22"/>
            <w:szCs w:val="22"/>
            <w:u w:val="single"/>
            <w:shd w:fill="auto" w:val="clear"/>
            <w:vertAlign w:val="baseline"/>
            <w:rtl w:val="0"/>
          </w:rPr>
          <w:t xml:space="preserve">doi.org/10.1089/clo.2004.6.247</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Gómez et al. 2008. Nuclear transfer of sand cat cells into enucleated domestic cat oocytes is affected by cryopreservation of donor cells. Cloning Stem Cells. </w:t>
      </w:r>
      <w:hyperlink r:id="rId33">
        <w:r w:rsidDel="00000000" w:rsidR="00000000" w:rsidRPr="00000000">
          <w:rPr>
            <w:rFonts w:ascii="Arial" w:cs="Arial" w:eastAsia="Arial" w:hAnsi="Arial"/>
            <w:color w:val="111111"/>
            <w:sz w:val="22"/>
            <w:szCs w:val="22"/>
            <w:u w:val="single"/>
            <w:shd w:fill="auto" w:val="clear"/>
            <w:vertAlign w:val="baseline"/>
            <w:rtl w:val="0"/>
          </w:rPr>
          <w:t xml:space="preserve">doi.org/10.1089/clo.2008.0021</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Gönczy, P., Hatzopoulos, GN. 2019. Centriole assembly at a glance. J Cell Sci. </w:t>
      </w:r>
      <w:hyperlink r:id="rId34">
        <w:r w:rsidDel="00000000" w:rsidR="00000000" w:rsidRPr="00000000">
          <w:rPr>
            <w:rFonts w:ascii="Arial" w:cs="Arial" w:eastAsia="Arial" w:hAnsi="Arial"/>
            <w:color w:val="111111"/>
            <w:sz w:val="22"/>
            <w:szCs w:val="22"/>
            <w:u w:val="single"/>
            <w:shd w:fill="auto" w:val="clear"/>
            <w:vertAlign w:val="baseline"/>
            <w:rtl w:val="0"/>
          </w:rPr>
          <w:t xml:space="preserve">doi.org/10.1242/jcs.228833</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9">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Gönczy, P., Rose, LS. 2005. Asymmetric cell division and axis formation in the embryo. WormBook. </w:t>
      </w:r>
      <w:hyperlink r:id="rId35">
        <w:r w:rsidDel="00000000" w:rsidR="00000000" w:rsidRPr="00000000">
          <w:rPr>
            <w:rFonts w:ascii="Arial" w:cs="Arial" w:eastAsia="Arial" w:hAnsi="Arial"/>
            <w:color w:val="111111"/>
            <w:sz w:val="22"/>
            <w:szCs w:val="22"/>
            <w:u w:val="single"/>
            <w:shd w:fill="auto" w:val="clear"/>
            <w:vertAlign w:val="baseline"/>
            <w:rtl w:val="0"/>
          </w:rPr>
          <w:t xml:space="preserve">doi.org/10.1895/wormbook.1.30.1</w:t>
        </w:r>
      </w:hyperlink>
      <w:r w:rsidDel="00000000" w:rsidR="00000000" w:rsidRPr="00000000">
        <w:rPr>
          <w:rtl w:val="0"/>
        </w:rPr>
      </w:r>
    </w:p>
    <w:p w:rsidR="00000000" w:rsidDel="00000000" w:rsidP="00000000" w:rsidRDefault="00000000" w:rsidRPr="00000000" w14:paraId="0000008A">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Gurdon, J.B. 1960. The developmental capacity of nuclei taken from differentiating endoderm cells of Xenopus laevis. J Embryol Exp Morphol. Dec;8:505-26. </w:t>
      </w:r>
      <w:r w:rsidDel="00000000" w:rsidR="00000000" w:rsidRPr="00000000">
        <w:rPr>
          <w:rtl w:val="0"/>
        </w:rPr>
      </w:r>
    </w:p>
    <w:p w:rsidR="00000000" w:rsidDel="00000000" w:rsidP="00000000" w:rsidRDefault="00000000" w:rsidRPr="00000000" w14:paraId="0000008B">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Gurdon, JB., Wilmut, I. 2011. Nuclear transfer to eggs and oocytes. Cold Spring Harb Perspect Biol. </w:t>
      </w:r>
      <w:hyperlink r:id="rId36">
        <w:r w:rsidDel="00000000" w:rsidR="00000000" w:rsidRPr="00000000">
          <w:rPr>
            <w:rFonts w:ascii="Arial" w:cs="Arial" w:eastAsia="Arial" w:hAnsi="Arial"/>
            <w:color w:val="111111"/>
            <w:sz w:val="22"/>
            <w:szCs w:val="22"/>
            <w:u w:val="single"/>
            <w:shd w:fill="auto" w:val="clear"/>
            <w:vertAlign w:val="baseline"/>
            <w:rtl w:val="0"/>
          </w:rPr>
          <w:t xml:space="preserve">doi.org/10.1101/cshperspect.a002659</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Ham, Arthur W. (Arthur Worth), David H. Cormack. 1987. Ham’s Histology. 9th ed. Philadelphia: Lippincott. Print. </w:t>
      </w:r>
      <w:r w:rsidDel="00000000" w:rsidR="00000000" w:rsidRPr="00000000">
        <w:rPr>
          <w:rtl w:val="0"/>
        </w:rPr>
      </w:r>
    </w:p>
    <w:p w:rsidR="00000000" w:rsidDel="00000000" w:rsidP="00000000" w:rsidRDefault="00000000" w:rsidRPr="00000000" w14:paraId="0000008D">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Han et al. 2020. Construction of a human cell landscape at single-cell level. Nature. </w:t>
      </w:r>
      <w:hyperlink r:id="rId37">
        <w:r w:rsidDel="00000000" w:rsidR="00000000" w:rsidRPr="00000000">
          <w:rPr>
            <w:rFonts w:ascii="Arial" w:cs="Arial" w:eastAsia="Arial" w:hAnsi="Arial"/>
            <w:color w:val="111111"/>
            <w:sz w:val="22"/>
            <w:szCs w:val="22"/>
            <w:u w:val="single"/>
            <w:shd w:fill="auto" w:val="clear"/>
            <w:vertAlign w:val="baseline"/>
            <w:rtl w:val="0"/>
          </w:rPr>
          <w:t xml:space="preserve">doi.org/10.1038/s41586-020-2157-4</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E">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Hansis, C. 2006. Totipotency, cell differentiation and reprogramming in humans. Reprod Biomed Online. </w:t>
      </w:r>
      <w:hyperlink r:id="rId38">
        <w:r w:rsidDel="00000000" w:rsidR="00000000" w:rsidRPr="00000000">
          <w:rPr>
            <w:rFonts w:ascii="Arial" w:cs="Arial" w:eastAsia="Arial" w:hAnsi="Arial"/>
            <w:color w:val="111111"/>
            <w:sz w:val="22"/>
            <w:szCs w:val="22"/>
            <w:u w:val="single"/>
            <w:shd w:fill="auto" w:val="clear"/>
            <w:vertAlign w:val="baseline"/>
            <w:rtl w:val="0"/>
          </w:rPr>
          <w:t xml:space="preserve">doi.org/10.1016/s1472-6483(10)60644-x</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8F">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Hartung, M., Stahl, A. 1977. Preleptotene chromosome condensation in mouse oogenesis. Cytogenet Cell Genet. </w:t>
      </w:r>
      <w:hyperlink r:id="rId39">
        <w:r w:rsidDel="00000000" w:rsidR="00000000" w:rsidRPr="00000000">
          <w:rPr>
            <w:rFonts w:ascii="Arial" w:cs="Arial" w:eastAsia="Arial" w:hAnsi="Arial"/>
            <w:color w:val="111111"/>
            <w:sz w:val="22"/>
            <w:szCs w:val="22"/>
            <w:u w:val="single"/>
            <w:shd w:fill="auto" w:val="clear"/>
            <w:vertAlign w:val="baseline"/>
            <w:rtl w:val="0"/>
          </w:rPr>
          <w:t xml:space="preserve">doi.org/10.1159/000130777</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90">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Hayflick, L. 1997. Mortality and immortality at the cellular level. A review. Biochemistry (Mosc). Nov;62(11):1180-90. </w:t>
      </w:r>
      <w:r w:rsidDel="00000000" w:rsidR="00000000" w:rsidRPr="00000000">
        <w:rPr>
          <w:rtl w:val="0"/>
        </w:rPr>
      </w:r>
    </w:p>
    <w:p w:rsidR="00000000" w:rsidDel="00000000" w:rsidP="00000000" w:rsidRDefault="00000000" w:rsidRPr="00000000" w14:paraId="00000091">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Hayflick L. The greatest risk factor for the leading cause of death is ignored. Biogerontology. 2021. doi: 10.1007/s10522-020-09901-y</w:t>
      </w:r>
      <w:r w:rsidDel="00000000" w:rsidR="00000000" w:rsidRPr="00000000">
        <w:rPr>
          <w:rtl w:val="0"/>
        </w:rPr>
      </w:r>
    </w:p>
    <w:p w:rsidR="00000000" w:rsidDel="00000000" w:rsidP="00000000" w:rsidRDefault="00000000" w:rsidRPr="00000000" w14:paraId="00000092">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Hinchcliffe et al. 2001. Requirement of a centrosomal activity for cell cycle progression through G1 into S phase. Science. </w:t>
      </w:r>
      <w:hyperlink r:id="rId40">
        <w:r w:rsidDel="00000000" w:rsidR="00000000" w:rsidRPr="00000000">
          <w:rPr>
            <w:rFonts w:ascii="Arial" w:cs="Arial" w:eastAsia="Arial" w:hAnsi="Arial"/>
            <w:color w:val="111111"/>
            <w:sz w:val="22"/>
            <w:szCs w:val="22"/>
            <w:u w:val="single"/>
            <w:shd w:fill="auto" w:val="clear"/>
            <w:vertAlign w:val="baseline"/>
            <w:rtl w:val="0"/>
          </w:rPr>
          <w:t xml:space="preserve">doi.org/10.1126/science.1056866</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93">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Hwang et al. 2013. Successful cloning of coyotes through interspecies somatic cell nuclear transfer using domestic dog oocytes. Reprod Fertil Dev. </w:t>
      </w:r>
      <w:hyperlink r:id="rId41">
        <w:r w:rsidDel="00000000" w:rsidR="00000000" w:rsidRPr="00000000">
          <w:rPr>
            <w:rFonts w:ascii="Arial" w:cs="Arial" w:eastAsia="Arial" w:hAnsi="Arial"/>
            <w:color w:val="111111"/>
            <w:sz w:val="22"/>
            <w:szCs w:val="22"/>
            <w:u w:val="single"/>
            <w:shd w:fill="auto" w:val="clear"/>
            <w:vertAlign w:val="baseline"/>
            <w:rtl w:val="0"/>
          </w:rPr>
          <w:t xml:space="preserve">doi.org/10.1071/rd12256</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94">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Ishiuchi, T., Torres-Padilla, ME. 2013. Towards an understanding of the regulatory mechanisms of totipotency. Curr Opin Genet Dev. </w:t>
      </w:r>
      <w:hyperlink r:id="rId42">
        <w:r w:rsidDel="00000000" w:rsidR="00000000" w:rsidRPr="00000000">
          <w:rPr>
            <w:rFonts w:ascii="Arial" w:cs="Arial" w:eastAsia="Arial" w:hAnsi="Arial"/>
            <w:color w:val="111111"/>
            <w:sz w:val="22"/>
            <w:szCs w:val="22"/>
            <w:u w:val="single"/>
            <w:shd w:fill="auto" w:val="clear"/>
            <w:vertAlign w:val="baseline"/>
            <w:rtl w:val="0"/>
          </w:rPr>
          <w:t xml:space="preserve">doi.org/10.1016/j.gde.2013.06.006</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95">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212121"/>
          <w:sz w:val="22"/>
          <w:szCs w:val="22"/>
          <w:highlight w:val="white"/>
          <w:vertAlign w:val="baseline"/>
          <w:rtl w:val="0"/>
        </w:rPr>
        <w:t xml:space="preserve">Khan, YS., Farhana, A. Histology, Cell. 2022. May 8. In: StatPearls [Internet]. Treasure Island (FL): StatPearls Publishing; 2022 Jan–. PMID: 32119269.</w:t>
      </w:r>
      <w:r w:rsidDel="00000000" w:rsidR="00000000" w:rsidRPr="00000000">
        <w:rPr>
          <w:rtl w:val="0"/>
        </w:rPr>
      </w:r>
    </w:p>
    <w:p w:rsidR="00000000" w:rsidDel="00000000" w:rsidP="00000000" w:rsidRDefault="00000000" w:rsidRPr="00000000" w14:paraId="00000096">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Lanza et al. 2000. Cloning of an endangered species (Bos gaurus) using interspecies nuclear transfer. Cloning. </w:t>
      </w:r>
      <w:hyperlink r:id="rId43">
        <w:r w:rsidDel="00000000" w:rsidR="00000000" w:rsidRPr="00000000">
          <w:rPr>
            <w:rFonts w:ascii="Arial" w:cs="Arial" w:eastAsia="Arial" w:hAnsi="Arial"/>
            <w:color w:val="111111"/>
            <w:sz w:val="22"/>
            <w:szCs w:val="22"/>
            <w:u w:val="single"/>
            <w:shd w:fill="auto" w:val="clear"/>
            <w:vertAlign w:val="baseline"/>
            <w:rtl w:val="0"/>
          </w:rPr>
          <w:t xml:space="preserve">doi.org/10.1089/152045500436104</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Lavasani</w:t>
      </w:r>
      <w:r w:rsidDel="00000000" w:rsidR="00000000" w:rsidRPr="00000000">
        <w:rPr>
          <w:rFonts w:ascii="Arial" w:cs="Arial" w:eastAsia="Arial" w:hAnsi="Arial"/>
          <w:color w:val="111111"/>
          <w:sz w:val="22"/>
          <w:szCs w:val="22"/>
          <w:shd w:fill="auto" w:val="clear"/>
          <w:vertAlign w:val="baseline"/>
          <w:rtl w:val="0"/>
        </w:rPr>
        <w:t xml:space="preserve"> et al. 2012. </w:t>
      </w:r>
      <w:r w:rsidDel="00000000" w:rsidR="00000000" w:rsidRPr="00000000">
        <w:rPr>
          <w:rFonts w:ascii="Arial" w:cs="Arial" w:eastAsia="Arial" w:hAnsi="Arial"/>
          <w:color w:val="212121"/>
          <w:sz w:val="22"/>
          <w:szCs w:val="22"/>
          <w:highlight w:val="white"/>
          <w:vertAlign w:val="baseline"/>
          <w:rtl w:val="0"/>
        </w:rPr>
        <w:t xml:space="preserve">Muscle-derived stem/progenitor cell dysfunction limits healthspan and lifespan in a murine progeria model. Nat Commun. doi: 10.1038/ncomms1611</w:t>
      </w:r>
      <w:r w:rsidDel="00000000" w:rsidR="00000000" w:rsidRPr="00000000">
        <w:rPr>
          <w:rtl w:val="0"/>
        </w:rPr>
      </w:r>
    </w:p>
    <w:p w:rsidR="00000000" w:rsidDel="00000000" w:rsidP="00000000" w:rsidRDefault="00000000" w:rsidRPr="00000000" w14:paraId="00000098">
      <w:pPr>
        <w:numPr>
          <w:ilvl w:val="0"/>
          <w:numId w:val="2"/>
        </w:numPr>
        <w:spacing w:after="0" w:before="0" w:line="276" w:lineRule="auto"/>
        <w:ind w:left="720" w:right="0" w:hanging="360"/>
        <w:jc w:val="both"/>
        <w:rPr>
          <w:rFonts w:ascii="Arial" w:cs="Arial" w:eastAsia="Arial" w:hAnsi="Arial"/>
          <w:color w:val="212121"/>
          <w:sz w:val="22"/>
          <w:szCs w:val="22"/>
          <w:highlight w:val="white"/>
          <w:vertAlign w:val="baseline"/>
        </w:rPr>
      </w:pPr>
      <w:r w:rsidDel="00000000" w:rsidR="00000000" w:rsidRPr="00000000">
        <w:rPr>
          <w:rFonts w:ascii="Arial" w:cs="Arial" w:eastAsia="Arial" w:hAnsi="Arial"/>
          <w:color w:val="212121"/>
          <w:sz w:val="22"/>
          <w:szCs w:val="22"/>
          <w:highlight w:val="white"/>
          <w:vertAlign w:val="baseline"/>
          <w:rtl w:val="0"/>
        </w:rPr>
        <w:t xml:space="preserve">Le Guennec et al. 2021. Overview of the centriole architecture. Curr Opin Struct Biol. 2021 Feb;66:58-65. doi: 10.1016/j.sbi.2020.09.015</w:t>
      </w:r>
    </w:p>
    <w:p w:rsidR="00000000" w:rsidDel="00000000" w:rsidP="00000000" w:rsidRDefault="00000000" w:rsidRPr="00000000" w14:paraId="00000099">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Loi et al. 2001. Genetic rescue of an endangered mammal by cross-species nuclear transfer using post-mortem somatic cells. Nat Biotechnol. </w:t>
      </w:r>
      <w:hyperlink r:id="rId44">
        <w:r w:rsidDel="00000000" w:rsidR="00000000" w:rsidRPr="00000000">
          <w:rPr>
            <w:rFonts w:ascii="Arial" w:cs="Arial" w:eastAsia="Arial" w:hAnsi="Arial"/>
            <w:color w:val="111111"/>
            <w:sz w:val="22"/>
            <w:szCs w:val="22"/>
            <w:u w:val="single"/>
            <w:shd w:fill="auto" w:val="clear"/>
            <w:vertAlign w:val="baseline"/>
            <w:rtl w:val="0"/>
          </w:rPr>
          <w:t xml:space="preserve">doi.org/10.1038/nbt1001-962</w:t>
        </w:r>
      </w:hyperlink>
      <w:r w:rsidDel="00000000" w:rsidR="00000000" w:rsidRPr="00000000">
        <w:rPr>
          <w:rtl w:val="0"/>
        </w:rPr>
      </w:r>
    </w:p>
    <w:p w:rsidR="00000000" w:rsidDel="00000000" w:rsidP="00000000" w:rsidRDefault="00000000" w:rsidRPr="00000000" w14:paraId="0000009A">
      <w:pPr>
        <w:numPr>
          <w:ilvl w:val="0"/>
          <w:numId w:val="2"/>
        </w:numPr>
        <w:spacing w:after="0" w:before="0" w:line="240"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highlight w:val="white"/>
          <w:vertAlign w:val="baseline"/>
          <w:rtl w:val="0"/>
        </w:rPr>
        <w:t xml:space="preserve">López-Otín et al. 2013. The Hallmarks of Aging. </w:t>
      </w:r>
      <w:hyperlink r:id="rId45">
        <w:r w:rsidDel="00000000" w:rsidR="00000000" w:rsidRPr="00000000">
          <w:rPr>
            <w:rFonts w:ascii="Arial" w:cs="Arial" w:eastAsia="Arial" w:hAnsi="Arial"/>
            <w:color w:val="111111"/>
            <w:sz w:val="22"/>
            <w:szCs w:val="22"/>
            <w:highlight w:val="white"/>
            <w:u w:val="single"/>
            <w:vertAlign w:val="baseline"/>
            <w:rtl w:val="0"/>
          </w:rPr>
          <w:t xml:space="preserve">doi.org/10.1016/J.CELL.2013.05.039</w:t>
        </w:r>
      </w:hyperlink>
      <w:r w:rsidDel="00000000" w:rsidR="00000000" w:rsidRPr="00000000">
        <w:rPr>
          <w:rtl w:val="0"/>
        </w:rPr>
      </w:r>
    </w:p>
    <w:p w:rsidR="00000000" w:rsidDel="00000000" w:rsidP="00000000" w:rsidRDefault="00000000" w:rsidRPr="00000000" w14:paraId="0000009B">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Maemura et al. 2021. Totipotency of mouse zygotes extends to single blastomeres of embryos at the four-cell stage. Sci Rep. </w:t>
      </w:r>
      <w:hyperlink r:id="rId46">
        <w:r w:rsidDel="00000000" w:rsidR="00000000" w:rsidRPr="00000000">
          <w:rPr>
            <w:rFonts w:ascii="Arial" w:cs="Arial" w:eastAsia="Arial" w:hAnsi="Arial"/>
            <w:color w:val="111111"/>
            <w:sz w:val="22"/>
            <w:szCs w:val="22"/>
            <w:u w:val="single"/>
            <w:shd w:fill="auto" w:val="clear"/>
            <w:vertAlign w:val="baseline"/>
            <w:rtl w:val="0"/>
          </w:rPr>
          <w:t xml:space="preserve">dx.doi.org/10.1038%2Fs41598-021-90653-1</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9C">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Manandhar, G., Schatten, H., Sutovsky, P. 2005. Centrosome reduction during gametogenesis and its significance. Biol Reprod. </w:t>
      </w:r>
      <w:hyperlink r:id="rId47">
        <w:r w:rsidDel="00000000" w:rsidR="00000000" w:rsidRPr="00000000">
          <w:rPr>
            <w:rFonts w:ascii="Arial" w:cs="Arial" w:eastAsia="Arial" w:hAnsi="Arial"/>
            <w:color w:val="111111"/>
            <w:sz w:val="22"/>
            <w:szCs w:val="22"/>
            <w:u w:val="single"/>
            <w:shd w:fill="auto" w:val="clear"/>
            <w:vertAlign w:val="baseline"/>
            <w:rtl w:val="0"/>
          </w:rPr>
          <w:t xml:space="preserve">doi.org/10.1095/biolreprod.104.031245</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9D">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Maniotis, A., Schliwa, M. 1991. Microsurgical removal of centrosomes blocks cell reproduction and centriole generation in BSC-1 cells. Cell. doi: 10.1016/0092-8674(91)90524-3</w:t>
      </w:r>
      <w:r w:rsidDel="00000000" w:rsidR="00000000" w:rsidRPr="00000000">
        <w:rPr>
          <w:rtl w:val="0"/>
        </w:rPr>
      </w:r>
    </w:p>
    <w:p w:rsidR="00000000" w:rsidDel="00000000" w:rsidP="00000000" w:rsidRDefault="00000000" w:rsidRPr="00000000" w14:paraId="0000009E">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Maro et al. 1991. Cell polarity and microtubule organisation during mouse early embryogenesis. Dev Suppl.;1:17-25. </w:t>
      </w:r>
    </w:p>
    <w:p w:rsidR="00000000" w:rsidDel="00000000" w:rsidP="00000000" w:rsidRDefault="00000000" w:rsidRPr="00000000" w14:paraId="0000009F">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Marshall, WF., Rosenbaum, JL. 2000. Are there nucleic acids in the centrosome? Curr Top Dev Biol. </w:t>
      </w:r>
      <w:hyperlink r:id="rId48">
        <w:r w:rsidDel="00000000" w:rsidR="00000000" w:rsidRPr="00000000">
          <w:rPr>
            <w:rFonts w:ascii="Arial" w:cs="Arial" w:eastAsia="Arial" w:hAnsi="Arial"/>
            <w:color w:val="111111"/>
            <w:sz w:val="22"/>
            <w:szCs w:val="22"/>
            <w:u w:val="single"/>
            <w:shd w:fill="auto" w:val="clear"/>
            <w:vertAlign w:val="baseline"/>
            <w:rtl w:val="0"/>
          </w:rPr>
          <w:t xml:space="preserve">doi.org/10.1016/s0070-2153(99)49009-x</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0">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Molofsky</w:t>
      </w:r>
      <w:r w:rsidDel="00000000" w:rsidR="00000000" w:rsidRPr="00000000">
        <w:rPr>
          <w:rFonts w:ascii="Arial" w:cs="Arial" w:eastAsia="Arial" w:hAnsi="Arial"/>
          <w:color w:val="111111"/>
          <w:sz w:val="22"/>
          <w:szCs w:val="22"/>
          <w:shd w:fill="auto" w:val="clear"/>
          <w:vertAlign w:val="baseline"/>
          <w:rtl w:val="0"/>
        </w:rPr>
        <w:t xml:space="preserve"> et al. </w:t>
      </w:r>
      <w:r w:rsidDel="00000000" w:rsidR="00000000" w:rsidRPr="00000000">
        <w:rPr>
          <w:rFonts w:ascii="Arial" w:cs="Arial" w:eastAsia="Arial" w:hAnsi="Arial"/>
          <w:color w:val="212121"/>
          <w:sz w:val="22"/>
          <w:szCs w:val="22"/>
          <w:highlight w:val="white"/>
          <w:vertAlign w:val="baseline"/>
          <w:rtl w:val="0"/>
        </w:rPr>
        <w:t xml:space="preserve">2006. Increasing p16INK4a expression decreases forebrain progenitors and neurogenesis during ageing. Nature. doi: 10.1038/nature05091</w:t>
      </w:r>
      <w:r w:rsidDel="00000000" w:rsidR="00000000" w:rsidRPr="00000000">
        <w:rPr>
          <w:rtl w:val="0"/>
        </w:rPr>
      </w:r>
    </w:p>
    <w:p w:rsidR="00000000" w:rsidDel="00000000" w:rsidP="00000000" w:rsidRDefault="00000000" w:rsidRPr="00000000" w14:paraId="000000A1">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Moore, JA. 1960. Serial back-transfers of nuclei in experiments involving two species of frogs. Dev Biol. </w:t>
      </w:r>
      <w:hyperlink r:id="rId49">
        <w:r w:rsidDel="00000000" w:rsidR="00000000" w:rsidRPr="00000000">
          <w:rPr>
            <w:rFonts w:ascii="Arial" w:cs="Arial" w:eastAsia="Arial" w:hAnsi="Arial"/>
            <w:color w:val="111111"/>
            <w:sz w:val="22"/>
            <w:szCs w:val="22"/>
            <w:u w:val="single"/>
            <w:shd w:fill="auto" w:val="clear"/>
            <w:vertAlign w:val="baseline"/>
            <w:rtl w:val="0"/>
          </w:rPr>
          <w:t xml:space="preserve">doi.org/10.1016/0012-1606(60)90053-1</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A2">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Murugan et al. 2022. Acute multidrug delivery via a wearable bioreactor facilitates long-term limb regeneration and functional recovery in adult Xenopus laevis. Sci Adv. </w:t>
      </w:r>
      <w:hyperlink r:id="rId50">
        <w:r w:rsidDel="00000000" w:rsidR="00000000" w:rsidRPr="00000000">
          <w:rPr>
            <w:rFonts w:ascii="Arial" w:cs="Arial" w:eastAsia="Arial" w:hAnsi="Arial"/>
            <w:color w:val="111111"/>
            <w:sz w:val="22"/>
            <w:szCs w:val="22"/>
            <w:u w:val="single"/>
            <w:shd w:fill="auto" w:val="clear"/>
            <w:vertAlign w:val="baseline"/>
            <w:rtl w:val="0"/>
          </w:rPr>
          <w:t xml:space="preserve">doi.org/10.1126/sciadv.abj2164</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3">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highlight w:val="white"/>
          <w:vertAlign w:val="baseline"/>
          <w:rtl w:val="0"/>
        </w:rPr>
        <w:t xml:space="preserve">Nabais</w:t>
      </w:r>
      <w:r w:rsidDel="00000000" w:rsidR="00000000" w:rsidRPr="00000000">
        <w:rPr>
          <w:rFonts w:ascii="Arial" w:cs="Arial" w:eastAsia="Arial" w:hAnsi="Arial"/>
          <w:color w:val="111111"/>
          <w:sz w:val="22"/>
          <w:szCs w:val="22"/>
          <w:shd w:fill="auto" w:val="clear"/>
          <w:vertAlign w:val="baseline"/>
          <w:rtl w:val="0"/>
        </w:rPr>
        <w:t xml:space="preserve"> et al. 2021. </w:t>
      </w:r>
      <w:r w:rsidDel="00000000" w:rsidR="00000000" w:rsidRPr="00000000">
        <w:rPr>
          <w:rFonts w:ascii="Arial" w:cs="Arial" w:eastAsia="Arial" w:hAnsi="Arial"/>
          <w:color w:val="111111"/>
          <w:sz w:val="22"/>
          <w:szCs w:val="22"/>
          <w:highlight w:val="white"/>
          <w:vertAlign w:val="baseline"/>
          <w:rtl w:val="0"/>
        </w:rPr>
        <w:t xml:space="preserve">Plk4 triggers autonomous de novo centriole biogenesis and maturation. J Cell Biol. doi: 10.1083/jcb.202008090</w:t>
      </w:r>
      <w:r w:rsidDel="00000000" w:rsidR="00000000" w:rsidRPr="00000000">
        <w:rPr>
          <w:rtl w:val="0"/>
        </w:rPr>
      </w:r>
    </w:p>
    <w:p w:rsidR="00000000" w:rsidDel="00000000" w:rsidP="00000000" w:rsidRDefault="00000000" w:rsidRPr="00000000" w14:paraId="000000A4">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Narbonne, P., Miyamoto, K., Gurdon, JB. 2012. Reprogramming and development in nuclear transfer embryos and in interspecific systems. Curr Opin Genet Dev. </w:t>
      </w:r>
      <w:hyperlink r:id="rId51">
        <w:r w:rsidDel="00000000" w:rsidR="00000000" w:rsidRPr="00000000">
          <w:rPr>
            <w:rFonts w:ascii="Arial" w:cs="Arial" w:eastAsia="Arial" w:hAnsi="Arial"/>
            <w:color w:val="111111"/>
            <w:sz w:val="22"/>
            <w:szCs w:val="22"/>
            <w:u w:val="single"/>
            <w:shd w:fill="auto" w:val="clear"/>
            <w:vertAlign w:val="baseline"/>
            <w:rtl w:val="0"/>
          </w:rPr>
          <w:t xml:space="preserve">doi.org/10.1016/j.gde.2012.09.002</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5">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Nigg, EA., Holland, AJ. 2018. Once and only once: mechanisms of centriole duplication and their deregulation in disease. Nat Rev Mol Cell Biol. </w:t>
      </w:r>
      <w:hyperlink r:id="rId52">
        <w:r w:rsidDel="00000000" w:rsidR="00000000" w:rsidRPr="00000000">
          <w:rPr>
            <w:rFonts w:ascii="Arial" w:cs="Arial" w:eastAsia="Arial" w:hAnsi="Arial"/>
            <w:color w:val="111111"/>
            <w:sz w:val="22"/>
            <w:szCs w:val="22"/>
            <w:u w:val="single"/>
            <w:shd w:fill="auto" w:val="clear"/>
            <w:vertAlign w:val="baseline"/>
            <w:rtl w:val="0"/>
          </w:rPr>
          <w:t xml:space="preserve">doi.org/10.1038/nrm.2017.127</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6">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Pechersky</w:t>
      </w:r>
      <w:r w:rsidDel="00000000" w:rsidR="00000000" w:rsidRPr="00000000">
        <w:rPr>
          <w:rFonts w:ascii="Arial" w:cs="Arial" w:eastAsia="Arial" w:hAnsi="Arial"/>
          <w:color w:val="111111"/>
          <w:sz w:val="22"/>
          <w:szCs w:val="22"/>
          <w:shd w:fill="auto" w:val="clear"/>
          <w:vertAlign w:val="baseline"/>
          <w:rtl w:val="0"/>
        </w:rPr>
        <w:t xml:space="preserve"> et al. 2016. </w:t>
      </w:r>
      <w:r w:rsidDel="00000000" w:rsidR="00000000" w:rsidRPr="00000000">
        <w:rPr>
          <w:rFonts w:ascii="Arial" w:cs="Arial" w:eastAsia="Arial" w:hAnsi="Arial"/>
          <w:color w:val="212121"/>
          <w:sz w:val="22"/>
          <w:szCs w:val="22"/>
          <w:highlight w:val="white"/>
          <w:vertAlign w:val="baseline"/>
          <w:rtl w:val="0"/>
        </w:rPr>
        <w:t xml:space="preserve">Immune System and Regeneration. J Stem Cells. 2016;11(2):69-87. PMID: 28296866.</w:t>
      </w:r>
      <w:r w:rsidDel="00000000" w:rsidR="00000000" w:rsidRPr="00000000">
        <w:rPr>
          <w:rtl w:val="0"/>
        </w:rPr>
      </w:r>
    </w:p>
    <w:p w:rsidR="00000000" w:rsidDel="00000000" w:rsidP="00000000" w:rsidRDefault="00000000" w:rsidRPr="00000000" w14:paraId="000000A7">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Roy, S., Kundu, TK. 2014. Gene regulatory networks and epigenetic modifications in cell differentiation. IUBMB Life. doi: 10.1002/iub.1249</w:t>
      </w:r>
      <w:r w:rsidDel="00000000" w:rsidR="00000000" w:rsidRPr="00000000">
        <w:rPr>
          <w:rtl w:val="0"/>
        </w:rPr>
      </w:r>
    </w:p>
    <w:p w:rsidR="00000000" w:rsidDel="00000000" w:rsidP="00000000" w:rsidRDefault="00000000" w:rsidRPr="00000000" w14:paraId="000000A8">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Schwarz et al. 2018. Revisiting Centrioles in Nematodes-Historic Findings and Current Topics. Cells.</w:t>
      </w:r>
      <w:hyperlink r:id="rId53">
        <w:r w:rsidDel="00000000" w:rsidR="00000000" w:rsidRPr="00000000">
          <w:rPr>
            <w:rFonts w:ascii="Arial" w:cs="Arial" w:eastAsia="Arial" w:hAnsi="Arial"/>
            <w:color w:val="111111"/>
            <w:sz w:val="22"/>
            <w:szCs w:val="22"/>
            <w:u w:val="single"/>
            <w:shd w:fill="auto" w:val="clear"/>
            <w:vertAlign w:val="baseline"/>
            <w:rtl w:val="0"/>
          </w:rPr>
          <w:t xml:space="preserve">doi.org/10.3390/cells7080101</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A9">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Seirin-Lee, S. 2020. Asymmetric cell division from a cell to cells: Shape, length, and location of polarity domain. Dev Growth Differ. </w:t>
      </w:r>
      <w:hyperlink r:id="rId54">
        <w:r w:rsidDel="00000000" w:rsidR="00000000" w:rsidRPr="00000000">
          <w:rPr>
            <w:rFonts w:ascii="Arial" w:cs="Arial" w:eastAsia="Arial" w:hAnsi="Arial"/>
            <w:color w:val="111111"/>
            <w:sz w:val="22"/>
            <w:szCs w:val="22"/>
            <w:u w:val="single"/>
            <w:shd w:fill="auto" w:val="clear"/>
            <w:vertAlign w:val="baseline"/>
            <w:rtl w:val="0"/>
          </w:rPr>
          <w:t xml:space="preserve">dx.doi.org/10.1111%2Fdgd.12652</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Shankar et al. 2021. From Snapshots to Development: Identifying the Gaps in the Development of Stem Cell-based Embryo Models along the Embryonic Timeline. Adv Sci (Weinh). </w:t>
      </w:r>
      <w:hyperlink r:id="rId55">
        <w:r w:rsidDel="00000000" w:rsidR="00000000" w:rsidRPr="00000000">
          <w:rPr>
            <w:rFonts w:ascii="Arial" w:cs="Arial" w:eastAsia="Arial" w:hAnsi="Arial"/>
            <w:color w:val="111111"/>
            <w:sz w:val="22"/>
            <w:szCs w:val="22"/>
            <w:u w:val="single"/>
            <w:shd w:fill="auto" w:val="clear"/>
            <w:vertAlign w:val="baseline"/>
            <w:rtl w:val="0"/>
          </w:rPr>
          <w:t xml:space="preserve">doi.org/10.1002/advs.202004250</w:t>
        </w:r>
      </w:hyperlink>
      <w:r w:rsidDel="00000000" w:rsidR="00000000" w:rsidRPr="00000000">
        <w:rPr>
          <w:rtl w:val="0"/>
        </w:rPr>
      </w:r>
    </w:p>
    <w:p w:rsidR="00000000" w:rsidDel="00000000" w:rsidP="00000000" w:rsidRDefault="00000000" w:rsidRPr="00000000" w14:paraId="000000AB">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Shaw</w:t>
      </w:r>
      <w:r w:rsidDel="00000000" w:rsidR="00000000" w:rsidRPr="00000000">
        <w:rPr>
          <w:rFonts w:ascii="Arial" w:cs="Arial" w:eastAsia="Arial" w:hAnsi="Arial"/>
          <w:color w:val="111111"/>
          <w:sz w:val="22"/>
          <w:szCs w:val="22"/>
          <w:shd w:fill="auto" w:val="clear"/>
          <w:vertAlign w:val="baseline"/>
          <w:rtl w:val="0"/>
        </w:rPr>
        <w:t xml:space="preserve"> et al. 2010. </w:t>
      </w:r>
      <w:r w:rsidDel="00000000" w:rsidR="00000000" w:rsidRPr="00000000">
        <w:rPr>
          <w:rFonts w:ascii="Arial" w:cs="Arial" w:eastAsia="Arial" w:hAnsi="Arial"/>
          <w:color w:val="212121"/>
          <w:sz w:val="22"/>
          <w:szCs w:val="22"/>
          <w:highlight w:val="white"/>
          <w:vertAlign w:val="baseline"/>
          <w:rtl w:val="0"/>
        </w:rPr>
        <w:t xml:space="preserve">Aging of the innate immune system. Curr Opin Immunol. doi:10.1016/j.coi.2010.05.003</w:t>
      </w:r>
      <w:r w:rsidDel="00000000" w:rsidR="00000000" w:rsidRPr="00000000">
        <w:rPr>
          <w:rtl w:val="0"/>
        </w:rPr>
      </w:r>
    </w:p>
    <w:p w:rsidR="00000000" w:rsidDel="00000000" w:rsidP="00000000" w:rsidRDefault="00000000" w:rsidRPr="00000000" w14:paraId="000000AC">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Silva et al. 2011. Why are monozygotic twins different? J Perinat Med. </w:t>
      </w:r>
      <w:hyperlink r:id="rId56">
        <w:r w:rsidDel="00000000" w:rsidR="00000000" w:rsidRPr="00000000">
          <w:rPr>
            <w:rFonts w:ascii="Arial" w:cs="Arial" w:eastAsia="Arial" w:hAnsi="Arial"/>
            <w:color w:val="111111"/>
            <w:sz w:val="22"/>
            <w:szCs w:val="22"/>
            <w:u w:val="single"/>
            <w:shd w:fill="auto" w:val="clear"/>
            <w:vertAlign w:val="baseline"/>
            <w:rtl w:val="0"/>
          </w:rPr>
          <w:t xml:space="preserve">doi.org/10.1515/jpm.2010.140</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AD">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Simerly et al. 2016. Post-Testicular Sperm Maturation: Centriole Pairs, Found in Upper Epididymis, are Destroyed Prior to Sperm's Release at Ejaculation. Sci Rep. </w:t>
      </w:r>
      <w:hyperlink r:id="rId57">
        <w:r w:rsidDel="00000000" w:rsidR="00000000" w:rsidRPr="00000000">
          <w:rPr>
            <w:rFonts w:ascii="Arial" w:cs="Arial" w:eastAsia="Arial" w:hAnsi="Arial"/>
            <w:color w:val="111111"/>
            <w:sz w:val="22"/>
            <w:szCs w:val="22"/>
            <w:u w:val="single"/>
            <w:shd w:fill="auto" w:val="clear"/>
            <w:vertAlign w:val="baseline"/>
            <w:rtl w:val="0"/>
          </w:rPr>
          <w:t xml:space="preserve">doi.org/10.1038/srep31816</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E">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Simerly et al. 2018. Separation and Loss of Centrioles From Primordidal Germ Cells To Mature Oocytes In The Mouse. Sci Rep. </w:t>
      </w:r>
      <w:hyperlink r:id="rId58">
        <w:r w:rsidDel="00000000" w:rsidR="00000000" w:rsidRPr="00000000">
          <w:rPr>
            <w:rFonts w:ascii="Arial" w:cs="Arial" w:eastAsia="Arial" w:hAnsi="Arial"/>
            <w:color w:val="111111"/>
            <w:sz w:val="22"/>
            <w:szCs w:val="22"/>
            <w:u w:val="single"/>
            <w:shd w:fill="auto" w:val="clear"/>
            <w:vertAlign w:val="baseline"/>
            <w:rtl w:val="0"/>
          </w:rPr>
          <w:t xml:space="preserve">doi.org/10.1038/s41598-018-31222-x</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F">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Sobhani et al. 2017. Multipotent Stem Cell and Current Application. Acta Med Iran. Jan;55(1):6-23.</w:t>
      </w:r>
      <w:r w:rsidDel="00000000" w:rsidR="00000000" w:rsidRPr="00000000">
        <w:rPr>
          <w:rtl w:val="0"/>
        </w:rPr>
      </w:r>
    </w:p>
    <w:p w:rsidR="00000000" w:rsidDel="00000000" w:rsidP="00000000" w:rsidRDefault="00000000" w:rsidRPr="00000000" w14:paraId="000000B0">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212121"/>
          <w:sz w:val="22"/>
          <w:szCs w:val="22"/>
          <w:highlight w:val="white"/>
          <w:vertAlign w:val="baseline"/>
          <w:rtl w:val="0"/>
        </w:rPr>
        <w:t xml:space="preserve">Spalding</w:t>
      </w:r>
      <w:r w:rsidDel="00000000" w:rsidR="00000000" w:rsidRPr="00000000">
        <w:rPr>
          <w:rFonts w:ascii="Arial" w:cs="Arial" w:eastAsia="Arial" w:hAnsi="Arial"/>
          <w:color w:val="111111"/>
          <w:sz w:val="22"/>
          <w:szCs w:val="22"/>
          <w:shd w:fill="auto" w:val="clear"/>
          <w:vertAlign w:val="baseline"/>
          <w:rtl w:val="0"/>
        </w:rPr>
        <w:t xml:space="preserve"> et al. 2005. </w:t>
      </w:r>
      <w:r w:rsidDel="00000000" w:rsidR="00000000" w:rsidRPr="00000000">
        <w:rPr>
          <w:rFonts w:ascii="Arial" w:cs="Arial" w:eastAsia="Arial" w:hAnsi="Arial"/>
          <w:color w:val="212121"/>
          <w:sz w:val="22"/>
          <w:szCs w:val="22"/>
          <w:highlight w:val="white"/>
          <w:vertAlign w:val="baseline"/>
          <w:rtl w:val="0"/>
        </w:rPr>
        <w:t xml:space="preserve">Retrospective birth dating of cells in humans. Cell. doi:10.1016/j.cell.2005.04.028</w:t>
      </w:r>
      <w:r w:rsidDel="00000000" w:rsidR="00000000" w:rsidRPr="00000000">
        <w:rPr>
          <w:rtl w:val="0"/>
        </w:rPr>
      </w:r>
    </w:p>
    <w:p w:rsidR="00000000" w:rsidDel="00000000" w:rsidP="00000000" w:rsidRDefault="00000000" w:rsidRPr="00000000" w14:paraId="000000B1">
      <w:pPr>
        <w:numPr>
          <w:ilvl w:val="0"/>
          <w:numId w:val="2"/>
        </w:numPr>
        <w:spacing w:after="0" w:before="0" w:line="276" w:lineRule="auto"/>
        <w:ind w:left="720" w:right="0" w:hanging="360"/>
        <w:jc w:val="both"/>
        <w:rPr>
          <w:rFonts w:ascii="Arial" w:cs="Arial" w:eastAsia="Arial" w:hAnsi="Arial"/>
          <w:color w:val="111111"/>
          <w:sz w:val="22"/>
          <w:szCs w:val="22"/>
          <w:shd w:fill="auto" w:val="clear"/>
          <w:vertAlign w:val="baseline"/>
        </w:rPr>
      </w:pPr>
      <w:r w:rsidDel="00000000" w:rsidR="00000000" w:rsidRPr="00000000">
        <w:rPr>
          <w:rFonts w:ascii="Arial" w:cs="Arial" w:eastAsia="Arial" w:hAnsi="Arial"/>
          <w:color w:val="111111"/>
          <w:sz w:val="22"/>
          <w:szCs w:val="22"/>
          <w:shd w:fill="auto" w:val="clear"/>
          <w:vertAlign w:val="baseline"/>
          <w:rtl w:val="0"/>
        </w:rPr>
        <w:t xml:space="preserve">Tkemaladze, J., 2022. Dasatinib and Quercetin: Short-term Simultaneous Administration Yields Senolytic Effect in Humans. Issues and Developments in Medicine and Medical Research Vol. 2, 22–31. </w:t>
      </w:r>
      <w:hyperlink r:id="rId59">
        <w:r w:rsidDel="00000000" w:rsidR="00000000" w:rsidRPr="00000000">
          <w:rPr>
            <w:rFonts w:ascii="Arial" w:cs="Arial" w:eastAsia="Arial" w:hAnsi="Arial"/>
            <w:color w:val="111111"/>
            <w:sz w:val="22"/>
            <w:szCs w:val="22"/>
            <w:u w:val="single"/>
            <w:shd w:fill="auto" w:val="clear"/>
            <w:vertAlign w:val="baseline"/>
            <w:rtl w:val="0"/>
          </w:rPr>
          <w:t xml:space="preserve">doi.org/10.9734/bpi/idmmr/v2/15155D</w:t>
        </w:r>
      </w:hyperlink>
      <w:r w:rsidDel="00000000" w:rsidR="00000000" w:rsidRPr="00000000">
        <w:rPr>
          <w:rFonts w:ascii="Arial" w:cs="Arial" w:eastAsia="Arial" w:hAnsi="Arial"/>
          <w:color w:val="111111"/>
          <w:sz w:val="22"/>
          <w:szCs w:val="22"/>
          <w:shd w:fill="auto" w:val="clear"/>
          <w:vertAlign w:val="baseline"/>
          <w:rtl w:val="0"/>
        </w:rPr>
        <w:t xml:space="preserve"> </w:t>
      </w:r>
    </w:p>
    <w:p w:rsidR="00000000" w:rsidDel="00000000" w:rsidP="00000000" w:rsidRDefault="00000000" w:rsidRPr="00000000" w14:paraId="000000B2">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Tkemaladze, J., Chichinadze, K. 2005. Potential role of centrioles in determining the morphogenetic status of animal somatic cells. Cell Biol Int. </w:t>
      </w:r>
      <w:hyperlink r:id="rId60">
        <w:r w:rsidDel="00000000" w:rsidR="00000000" w:rsidRPr="00000000">
          <w:rPr>
            <w:rFonts w:ascii="Arial" w:cs="Arial" w:eastAsia="Arial" w:hAnsi="Arial"/>
            <w:color w:val="111111"/>
            <w:sz w:val="22"/>
            <w:szCs w:val="22"/>
            <w:u w:val="single"/>
            <w:shd w:fill="auto" w:val="clear"/>
            <w:vertAlign w:val="baseline"/>
            <w:rtl w:val="0"/>
          </w:rPr>
          <w:t xml:space="preserve">doi.org/10.1016/j.cellbi.2005.03.003</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Vaillancourt, C., Lafond, J. 2009. Human embryogenesis: overview. Methods Mol Biol. </w:t>
      </w:r>
      <w:hyperlink r:id="rId61">
        <w:r w:rsidDel="00000000" w:rsidR="00000000" w:rsidRPr="00000000">
          <w:rPr>
            <w:rFonts w:ascii="Arial" w:cs="Arial" w:eastAsia="Arial" w:hAnsi="Arial"/>
            <w:color w:val="111111"/>
            <w:sz w:val="22"/>
            <w:szCs w:val="22"/>
            <w:u w:val="single"/>
            <w:shd w:fill="auto" w:val="clear"/>
            <w:vertAlign w:val="baseline"/>
            <w:rtl w:val="0"/>
          </w:rPr>
          <w:t xml:space="preserve">doi.org/10.1007/978-1-60327-009-0_1</w:t>
        </w:r>
      </w:hyperlink>
      <w:r w:rsidDel="00000000" w:rsidR="00000000" w:rsidRPr="00000000">
        <w:rPr>
          <w:rtl w:val="0"/>
        </w:rPr>
      </w:r>
    </w:p>
    <w:p w:rsidR="00000000" w:rsidDel="00000000" w:rsidP="00000000" w:rsidRDefault="00000000" w:rsidRPr="00000000" w14:paraId="000000B4">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Venkei, ZG., Yamashita, YM. 2018. Emerging mechanisms of asymmetric stem cell division. J Cell Biol. </w:t>
      </w:r>
      <w:hyperlink r:id="rId62">
        <w:r w:rsidDel="00000000" w:rsidR="00000000" w:rsidRPr="00000000">
          <w:rPr>
            <w:rFonts w:ascii="Arial" w:cs="Arial" w:eastAsia="Arial" w:hAnsi="Arial"/>
            <w:color w:val="111111"/>
            <w:sz w:val="22"/>
            <w:szCs w:val="22"/>
            <w:u w:val="single"/>
            <w:shd w:fill="auto" w:val="clear"/>
            <w:vertAlign w:val="baseline"/>
            <w:rtl w:val="0"/>
          </w:rPr>
          <w:t xml:space="preserve">doi.org/10.1083/jcb.201807037</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B5">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Wadsworth, P., Khodjakov, A. 2004. E pluribus unum: towards a universal mechanism for spindle assembly. Trends Cell Biol. </w:t>
      </w:r>
      <w:hyperlink r:id="rId63">
        <w:r w:rsidDel="00000000" w:rsidR="00000000" w:rsidRPr="00000000">
          <w:rPr>
            <w:rFonts w:ascii="Arial" w:cs="Arial" w:eastAsia="Arial" w:hAnsi="Arial"/>
            <w:color w:val="111111"/>
            <w:sz w:val="22"/>
            <w:szCs w:val="22"/>
            <w:u w:val="single"/>
            <w:shd w:fill="auto" w:val="clear"/>
            <w:vertAlign w:val="baseline"/>
            <w:rtl w:val="0"/>
          </w:rPr>
          <w:t xml:space="preserve">doi.org/10.1016/j.tcb.2004.07.004</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B6">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Weismann, A. 1890. Prof. Weismann's Theory of Heredity. Nature 41,317–323. doi:10.1038/041317g0</w:t>
      </w:r>
      <w:r w:rsidDel="00000000" w:rsidR="00000000" w:rsidRPr="00000000">
        <w:rPr>
          <w:rtl w:val="0"/>
        </w:rPr>
      </w:r>
    </w:p>
    <w:p w:rsidR="00000000" w:rsidDel="00000000" w:rsidP="00000000" w:rsidRDefault="00000000" w:rsidRPr="00000000" w14:paraId="000000B7">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Wen, W. Phase Separation in Asymmetric Cell Division. 2020. Biochemistry. </w:t>
      </w:r>
      <w:hyperlink r:id="rId64">
        <w:r w:rsidDel="00000000" w:rsidR="00000000" w:rsidRPr="00000000">
          <w:rPr>
            <w:rFonts w:ascii="Arial" w:cs="Arial" w:eastAsia="Arial" w:hAnsi="Arial"/>
            <w:color w:val="111111"/>
            <w:sz w:val="22"/>
            <w:szCs w:val="22"/>
            <w:u w:val="single"/>
            <w:shd w:fill="auto" w:val="clear"/>
            <w:vertAlign w:val="baseline"/>
            <w:rtl w:val="0"/>
          </w:rPr>
          <w:t xml:space="preserve">doi.org/10.1021/acs.biochem.9b00813</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B8">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Woodruff, JB., Wueseke, O., Hyman, AA. 2014. Pericentriolar material structure and dynamics. Philos Trans R Soc Lond B Biol Sci. </w:t>
      </w:r>
      <w:hyperlink r:id="rId65">
        <w:r w:rsidDel="00000000" w:rsidR="00000000" w:rsidRPr="00000000">
          <w:rPr>
            <w:rFonts w:ascii="Arial" w:cs="Arial" w:eastAsia="Arial" w:hAnsi="Arial"/>
            <w:color w:val="111111"/>
            <w:sz w:val="22"/>
            <w:szCs w:val="22"/>
            <w:u w:val="single"/>
            <w:shd w:fill="auto" w:val="clear"/>
            <w:vertAlign w:val="baseline"/>
            <w:rtl w:val="0"/>
          </w:rPr>
          <w:t xml:space="preserve">doi.org/10.1098/rstb.2013.0459</w:t>
        </w:r>
      </w:hyperlink>
      <w:r w:rsidDel="00000000" w:rsidR="00000000" w:rsidRPr="00000000">
        <w:rPr>
          <w:rFonts w:ascii="Arial" w:cs="Arial" w:eastAsia="Arial" w:hAnsi="Arial"/>
          <w:color w:val="111111"/>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numPr>
          <w:ilvl w:val="0"/>
          <w:numId w:val="2"/>
        </w:numPr>
        <w:spacing w:after="0" w:before="0" w:line="276" w:lineRule="auto"/>
        <w:ind w:left="720" w:right="0" w:hanging="360"/>
        <w:jc w:val="both"/>
        <w:rPr>
          <w:rFonts w:ascii="Arial" w:cs="Arial" w:eastAsia="Arial" w:hAnsi="Arial"/>
          <w:color w:val="111111"/>
          <w:sz w:val="22"/>
          <w:szCs w:val="22"/>
          <w:highlight w:val="white"/>
          <w:vertAlign w:val="baseline"/>
        </w:rPr>
      </w:pPr>
      <w:r w:rsidDel="00000000" w:rsidR="00000000" w:rsidRPr="00000000">
        <w:rPr>
          <w:rFonts w:ascii="Arial" w:cs="Arial" w:eastAsia="Arial" w:hAnsi="Arial"/>
          <w:color w:val="111111"/>
          <w:sz w:val="22"/>
          <w:szCs w:val="22"/>
          <w:shd w:fill="auto" w:val="clear"/>
          <w:vertAlign w:val="baseline"/>
          <w:rtl w:val="0"/>
        </w:rPr>
        <w:t xml:space="preserve">Zhou, LQ., Dean J. 2015. Reprogramming the genome to totipotency in mouse embryos. Trends Cell Biol. </w:t>
      </w:r>
      <w:hyperlink r:id="rId66">
        <w:r w:rsidDel="00000000" w:rsidR="00000000" w:rsidRPr="00000000">
          <w:rPr>
            <w:rFonts w:ascii="Arial" w:cs="Arial" w:eastAsia="Arial" w:hAnsi="Arial"/>
            <w:color w:val="111111"/>
            <w:sz w:val="22"/>
            <w:szCs w:val="22"/>
            <w:u w:val="single"/>
            <w:shd w:fill="auto" w:val="clear"/>
            <w:vertAlign w:val="baseline"/>
            <w:rtl w:val="0"/>
          </w:rPr>
          <w:t xml:space="preserve">doi.org/10.1016/j.tcb.2014.09.006</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6/science.1056866" TargetMode="External"/><Relationship Id="rId42" Type="http://schemas.openxmlformats.org/officeDocument/2006/relationships/hyperlink" Target="https://doi.org/10.1016/j.gde.2013.06.006" TargetMode="External"/><Relationship Id="rId41" Type="http://schemas.openxmlformats.org/officeDocument/2006/relationships/hyperlink" Target="https://doi.org/10.1071/rd12256" TargetMode="External"/><Relationship Id="rId44" Type="http://schemas.openxmlformats.org/officeDocument/2006/relationships/hyperlink" Target="https://doi.org/10.1038/nbt1001-962" TargetMode="External"/><Relationship Id="rId43" Type="http://schemas.openxmlformats.org/officeDocument/2006/relationships/hyperlink" Target="https://doi.org/10.1089/152045500436104" TargetMode="External"/><Relationship Id="rId46" Type="http://schemas.openxmlformats.org/officeDocument/2006/relationships/hyperlink" Target="https://dx.doi.org/10.1038%2Fs41598-021-90653-1" TargetMode="External"/><Relationship Id="rId45" Type="http://schemas.openxmlformats.org/officeDocument/2006/relationships/hyperlink" Target="https://doi.org/10.1016/J.CELL.2013.05.0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ltitran.com/m.exe?s=conceptually&amp;l1=1&amp;l2=2" TargetMode="External"/><Relationship Id="rId48" Type="http://schemas.openxmlformats.org/officeDocument/2006/relationships/hyperlink" Target="https://doi.org/10.1016/s0070-2153(99)49009-x" TargetMode="External"/><Relationship Id="rId47" Type="http://schemas.openxmlformats.org/officeDocument/2006/relationships/hyperlink" Target="https://doi.org/10.1095/biolreprod.104.031245" TargetMode="External"/><Relationship Id="rId49" Type="http://schemas.openxmlformats.org/officeDocument/2006/relationships/hyperlink" Target="https://doi.org/10.1016/0012-1606(60)90053-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tkemaladze@longevity.ge" TargetMode="External"/><Relationship Id="rId8" Type="http://schemas.openxmlformats.org/officeDocument/2006/relationships/hyperlink" Target="https://www.frontiersin.org/articles/10.3389/fcell.2020.00743/full#B58" TargetMode="External"/><Relationship Id="rId31" Type="http://schemas.openxmlformats.org/officeDocument/2006/relationships/hyperlink" Target="https://doi.org/10.1159/000100041" TargetMode="External"/><Relationship Id="rId30" Type="http://schemas.openxmlformats.org/officeDocument/2006/relationships/hyperlink" Target="https://doi.org/10.1371/journal.pone.0062135" TargetMode="External"/><Relationship Id="rId33" Type="http://schemas.openxmlformats.org/officeDocument/2006/relationships/hyperlink" Target="https://doi.org/10.1089/clo.2008.0021" TargetMode="External"/><Relationship Id="rId32" Type="http://schemas.openxmlformats.org/officeDocument/2006/relationships/hyperlink" Target="https://doi.org/10.1089/clo.2004.6.247" TargetMode="External"/><Relationship Id="rId35" Type="http://schemas.openxmlformats.org/officeDocument/2006/relationships/hyperlink" Target="https://doi.org/10.1895/wormbook.1.30.1" TargetMode="External"/><Relationship Id="rId34" Type="http://schemas.openxmlformats.org/officeDocument/2006/relationships/hyperlink" Target="https://doi.org/10.1242/jcs.228833" TargetMode="External"/><Relationship Id="rId37" Type="http://schemas.openxmlformats.org/officeDocument/2006/relationships/hyperlink" Target="https://doi.org/10.1038/s41586-020-2157-4" TargetMode="External"/><Relationship Id="rId36" Type="http://schemas.openxmlformats.org/officeDocument/2006/relationships/hyperlink" Target="https://doi.org/10.1101/cshperspect.a002659" TargetMode="External"/><Relationship Id="rId39" Type="http://schemas.openxmlformats.org/officeDocument/2006/relationships/hyperlink" Target="https://doi.org/10.1159/000130777" TargetMode="External"/><Relationship Id="rId38" Type="http://schemas.openxmlformats.org/officeDocument/2006/relationships/hyperlink" Target="https://doi.org/10.1016/s1472-6483(10)60644-x" TargetMode="External"/><Relationship Id="rId62" Type="http://schemas.openxmlformats.org/officeDocument/2006/relationships/hyperlink" Target="https://doi.org/10.1083/jcb.201807037" TargetMode="External"/><Relationship Id="rId61" Type="http://schemas.openxmlformats.org/officeDocument/2006/relationships/hyperlink" Target="https://doi.org/10.1007/978-1-60327-009-0_1" TargetMode="External"/><Relationship Id="rId20" Type="http://schemas.openxmlformats.org/officeDocument/2006/relationships/hyperlink" Target="https://doi.org/10.1242/dev.196063" TargetMode="External"/><Relationship Id="rId64" Type="http://schemas.openxmlformats.org/officeDocument/2006/relationships/hyperlink" Target="https://doi.org/10.1021/acs.biochem.9b00813" TargetMode="External"/><Relationship Id="rId63" Type="http://schemas.openxmlformats.org/officeDocument/2006/relationships/hyperlink" Target="https://doi.org/10.1016/j.tcb.2004.07.004" TargetMode="External"/><Relationship Id="rId22" Type="http://schemas.openxmlformats.org/officeDocument/2006/relationships/hyperlink" Target="https://doi.org/10.1016/s0014-4827(03)00393-8" TargetMode="External"/><Relationship Id="rId66" Type="http://schemas.openxmlformats.org/officeDocument/2006/relationships/hyperlink" Target="https://doi.org/10.1016/j.tcb.2014.09.006" TargetMode="External"/><Relationship Id="rId21" Type="http://schemas.openxmlformats.org/officeDocument/2006/relationships/hyperlink" Target="https://doi.org/10.1073/pnas.38.5.455" TargetMode="External"/><Relationship Id="rId65" Type="http://schemas.openxmlformats.org/officeDocument/2006/relationships/hyperlink" Target="https://doi.org/10.1098/rstb.2013.0459" TargetMode="External"/><Relationship Id="rId24" Type="http://schemas.openxmlformats.org/officeDocument/2006/relationships/hyperlink" Target="https://doi.org/10.1089/15362300152725927" TargetMode="External"/><Relationship Id="rId23" Type="http://schemas.openxmlformats.org/officeDocument/2006/relationships/hyperlink" Target="https://doi.org/10.1016/0092-8674(83)90094-6" TargetMode="External"/><Relationship Id="rId60" Type="http://schemas.openxmlformats.org/officeDocument/2006/relationships/hyperlink" Target="https://doi.org/10.1016/j.cellbi.2005.03.003" TargetMode="External"/><Relationship Id="rId26" Type="http://schemas.openxmlformats.org/officeDocument/2006/relationships/hyperlink" Target="https://doi.org/10.1098/rsob.200314" TargetMode="External"/><Relationship Id="rId25" Type="http://schemas.openxmlformats.org/officeDocument/2006/relationships/hyperlink" Target="https://doi.org/10.1101/sqb.2008.73.008" TargetMode="External"/><Relationship Id="rId28" Type="http://schemas.openxmlformats.org/officeDocument/2006/relationships/hyperlink" Target="https://doi.org/10.1002/mrd.21091" TargetMode="External"/><Relationship Id="rId27" Type="http://schemas.openxmlformats.org/officeDocument/2006/relationships/hyperlink" Target="https://doi.org/10.1093/cvr/cvt338" TargetMode="External"/><Relationship Id="rId29" Type="http://schemas.openxmlformats.org/officeDocument/2006/relationships/hyperlink" Target="https://doi.org/10.1016/j.cub.2004.09.021" TargetMode="External"/><Relationship Id="rId51" Type="http://schemas.openxmlformats.org/officeDocument/2006/relationships/hyperlink" Target="https://doi.org/10.1016/j.gde.2012.09.002" TargetMode="External"/><Relationship Id="rId50" Type="http://schemas.openxmlformats.org/officeDocument/2006/relationships/hyperlink" Target="https://doi.org/10.1126/sciadv.abj2164" TargetMode="External"/><Relationship Id="rId53" Type="http://schemas.openxmlformats.org/officeDocument/2006/relationships/hyperlink" Target="https://doi.org/10.3390/cells7080101" TargetMode="External"/><Relationship Id="rId52" Type="http://schemas.openxmlformats.org/officeDocument/2006/relationships/hyperlink" Target="https://doi.org/10.1038/nrm.2017.127" TargetMode="External"/><Relationship Id="rId11" Type="http://schemas.openxmlformats.org/officeDocument/2006/relationships/hyperlink" Target="https://pubmed.ncbi.nlm.nih.gov/14644151/" TargetMode="External"/><Relationship Id="rId55" Type="http://schemas.openxmlformats.org/officeDocument/2006/relationships/hyperlink" Target="https://doi.org/10.1002/advs.202004250" TargetMode="External"/><Relationship Id="rId10" Type="http://schemas.openxmlformats.org/officeDocument/2006/relationships/hyperlink" Target="https://www.nature.com/articles/041317g0" TargetMode="External"/><Relationship Id="rId54" Type="http://schemas.openxmlformats.org/officeDocument/2006/relationships/hyperlink" Target="https://dx.doi.org/10.1111%2Fdgd.12652" TargetMode="External"/><Relationship Id="rId13" Type="http://schemas.openxmlformats.org/officeDocument/2006/relationships/image" Target="media/image2.png"/><Relationship Id="rId57" Type="http://schemas.openxmlformats.org/officeDocument/2006/relationships/hyperlink" Target="https://doi.org/10.1038/srep31816" TargetMode="External"/><Relationship Id="rId12" Type="http://schemas.openxmlformats.org/officeDocument/2006/relationships/image" Target="media/image1.png"/><Relationship Id="rId56" Type="http://schemas.openxmlformats.org/officeDocument/2006/relationships/hyperlink" Target="https://doi.org/10.1515/jpm.2010.140" TargetMode="External"/><Relationship Id="rId15" Type="http://schemas.openxmlformats.org/officeDocument/2006/relationships/image" Target="media/image4.png"/><Relationship Id="rId59" Type="http://schemas.openxmlformats.org/officeDocument/2006/relationships/hyperlink" Target="https://doi.org/10.9734/bpi/idmmr/v2/15155D" TargetMode="External"/><Relationship Id="rId14" Type="http://schemas.openxmlformats.org/officeDocument/2006/relationships/image" Target="media/image3.png"/><Relationship Id="rId58" Type="http://schemas.openxmlformats.org/officeDocument/2006/relationships/hyperlink" Target="https://doi.org/10.1038/s41598-018-31222-x" TargetMode="External"/><Relationship Id="rId17" Type="http://schemas.openxmlformats.org/officeDocument/2006/relationships/hyperlink" Target="https://doi.org/10.3109/03014460.2013.807878" TargetMode="External"/><Relationship Id="rId16" Type="http://schemas.openxmlformats.org/officeDocument/2006/relationships/hyperlink" Target="https://doi.org/10.1016/j.tcb.2019.05.007" TargetMode="External"/><Relationship Id="rId19" Type="http://schemas.openxmlformats.org/officeDocument/2006/relationships/hyperlink" Target="https://doi.org/10.1083/jcb.143.6.1575" TargetMode="External"/><Relationship Id="rId18" Type="http://schemas.openxmlformats.org/officeDocument/2006/relationships/hyperlink" Target="https://doi.org/10.1007/978-3-540-29678-2_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wsYwpnrci61ZX45gEcjWhSdA==">CgMxLjA4AHIhMUN4Y2JsUWJWSEZDVXNIMEN2cW8tenFwaGg4SXd0bW5o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