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111111"/>
          <w:sz w:val="20"/>
          <w:szCs w:val="20"/>
        </w:rPr>
      </w:pPr>
      <w:r w:rsidDel="00000000" w:rsidR="00000000" w:rsidRPr="00000000">
        <w:rPr>
          <w:b w:val="1"/>
          <w:color w:val="111111"/>
          <w:sz w:val="20"/>
          <w:szCs w:val="20"/>
          <w:rtl w:val="0"/>
        </w:rPr>
        <w:t xml:space="preserve">Main reason for aging is due to the second law of thermodynamics: asymmetrical divisions selectively accumulate old centrioles in stem cells. Hypothesis. </w:t>
      </w:r>
    </w:p>
    <w:p w:rsidR="00000000" w:rsidDel="00000000" w:rsidP="00000000" w:rsidRDefault="00000000" w:rsidRPr="00000000" w14:paraId="00000002">
      <w:pPr>
        <w:jc w:val="both"/>
        <w:rPr>
          <w:color w:val="111111"/>
          <w:sz w:val="20"/>
          <w:szCs w:val="20"/>
        </w:rPr>
      </w:pPr>
      <w:r w:rsidDel="00000000" w:rsidR="00000000" w:rsidRPr="00000000">
        <w:rPr>
          <w:rtl w:val="0"/>
        </w:rPr>
      </w:r>
    </w:p>
    <w:p w:rsidR="00000000" w:rsidDel="00000000" w:rsidP="00000000" w:rsidRDefault="00000000" w:rsidRPr="00000000" w14:paraId="00000003">
      <w:pPr>
        <w:jc w:val="right"/>
        <w:rPr>
          <w:i w:val="1"/>
          <w:color w:val="111111"/>
          <w:sz w:val="20"/>
          <w:szCs w:val="20"/>
        </w:rPr>
      </w:pPr>
      <w:r w:rsidDel="00000000" w:rsidR="00000000" w:rsidRPr="00000000">
        <w:rPr>
          <w:i w:val="1"/>
          <w:color w:val="111111"/>
          <w:sz w:val="20"/>
          <w:szCs w:val="20"/>
          <w:rtl w:val="0"/>
        </w:rPr>
        <w:t xml:space="preserve">Jaba Tkemaladze*</w:t>
      </w:r>
    </w:p>
    <w:p w:rsidR="00000000" w:rsidDel="00000000" w:rsidP="00000000" w:rsidRDefault="00000000" w:rsidRPr="00000000" w14:paraId="00000004">
      <w:pPr>
        <w:jc w:val="right"/>
        <w:rPr>
          <w:i w:val="1"/>
          <w:color w:val="111111"/>
          <w:sz w:val="20"/>
          <w:szCs w:val="20"/>
        </w:rPr>
      </w:pPr>
      <w:r w:rsidDel="00000000" w:rsidR="00000000" w:rsidRPr="00000000">
        <w:rPr>
          <w:i w:val="1"/>
          <w:color w:val="111111"/>
          <w:sz w:val="20"/>
          <w:szCs w:val="20"/>
          <w:rtl w:val="0"/>
        </w:rPr>
        <w:t xml:space="preserve">Georgia Longevity </w:t>
      </w:r>
      <w:r w:rsidDel="00000000" w:rsidR="00000000" w:rsidRPr="00000000">
        <w:rPr>
          <w:i w:val="1"/>
          <w:color w:val="111111"/>
          <w:sz w:val="20"/>
          <w:szCs w:val="20"/>
          <w:highlight w:val="white"/>
          <w:rtl w:val="0"/>
        </w:rPr>
        <w:t xml:space="preserve"> Center, </w:t>
      </w:r>
      <w:r w:rsidDel="00000000" w:rsidR="00000000" w:rsidRPr="00000000">
        <w:rPr>
          <w:i w:val="1"/>
          <w:color w:val="111111"/>
          <w:sz w:val="20"/>
          <w:szCs w:val="20"/>
          <w:rtl w:val="0"/>
        </w:rPr>
        <w:t xml:space="preserve">0131, King Demetre 81, Tbilisi, Georgia, +995555185161</w:t>
      </w:r>
    </w:p>
    <w:p w:rsidR="00000000" w:rsidDel="00000000" w:rsidP="00000000" w:rsidRDefault="00000000" w:rsidRPr="00000000" w14:paraId="00000005">
      <w:pPr>
        <w:jc w:val="right"/>
        <w:rPr>
          <w:b w:val="1"/>
          <w:color w:val="111111"/>
          <w:sz w:val="20"/>
          <w:szCs w:val="20"/>
        </w:rPr>
      </w:pPr>
      <w:hyperlink r:id="rId6">
        <w:r w:rsidDel="00000000" w:rsidR="00000000" w:rsidRPr="00000000">
          <w:rPr>
            <w:i w:val="1"/>
            <w:color w:val="111111"/>
            <w:sz w:val="20"/>
            <w:szCs w:val="20"/>
            <w:u w:val="single"/>
            <w:rtl w:val="0"/>
          </w:rPr>
          <w:t xml:space="preserve">djabbat@gmail.com</w:t>
        </w:r>
      </w:hyperlink>
      <w:r w:rsidDel="00000000" w:rsidR="00000000" w:rsidRPr="00000000">
        <w:rPr>
          <w:b w:val="1"/>
          <w:color w:val="111111"/>
          <w:sz w:val="20"/>
          <w:szCs w:val="20"/>
          <w:rtl w:val="0"/>
        </w:rPr>
        <w:t xml:space="preserve">, </w:t>
      </w:r>
      <w:hyperlink r:id="rId7">
        <w:r w:rsidDel="00000000" w:rsidR="00000000" w:rsidRPr="00000000">
          <w:rPr>
            <w:i w:val="1"/>
            <w:color w:val="111111"/>
            <w:sz w:val="20"/>
            <w:szCs w:val="20"/>
            <w:u w:val="single"/>
            <w:rtl w:val="0"/>
          </w:rPr>
          <w:t xml:space="preserve">jtkemaladze@longevity.ge</w:t>
        </w:r>
      </w:hyperlink>
      <w:r w:rsidDel="00000000" w:rsidR="00000000" w:rsidRPr="00000000">
        <w:rPr>
          <w:rtl w:val="0"/>
        </w:rPr>
      </w:r>
    </w:p>
    <w:p w:rsidR="00000000" w:rsidDel="00000000" w:rsidP="00000000" w:rsidRDefault="00000000" w:rsidRPr="00000000" w14:paraId="00000006">
      <w:pPr>
        <w:pStyle w:val="Heading6"/>
        <w:jc w:val="both"/>
        <w:rPr>
          <w:b w:val="1"/>
          <w:i w:val="0"/>
          <w:color w:val="111111"/>
          <w:sz w:val="20"/>
          <w:szCs w:val="20"/>
        </w:rPr>
      </w:pPr>
      <w:bookmarkStart w:colFirst="0" w:colLast="0" w:name="_melcpsl0qnxz" w:id="0"/>
      <w:bookmarkEnd w:id="0"/>
      <w:r w:rsidDel="00000000" w:rsidR="00000000" w:rsidRPr="00000000">
        <w:rPr>
          <w:b w:val="1"/>
          <w:i w:val="0"/>
          <w:color w:val="111111"/>
          <w:sz w:val="20"/>
          <w:szCs w:val="20"/>
          <w:rtl w:val="0"/>
        </w:rPr>
        <w:t xml:space="preserve">Summary</w:t>
      </w:r>
    </w:p>
    <w:p w:rsidR="00000000" w:rsidDel="00000000" w:rsidP="00000000" w:rsidRDefault="00000000" w:rsidRPr="00000000" w14:paraId="00000007">
      <w:pPr>
        <w:jc w:val="both"/>
        <w:rPr>
          <w:color w:val="111111"/>
          <w:sz w:val="20"/>
          <w:szCs w:val="20"/>
          <w:highlight w:val="white"/>
        </w:rPr>
      </w:pPr>
      <w:r w:rsidDel="00000000" w:rsidR="00000000" w:rsidRPr="00000000">
        <w:rPr>
          <w:color w:val="111111"/>
          <w:sz w:val="20"/>
          <w:szCs w:val="20"/>
          <w:rtl w:val="0"/>
        </w:rPr>
        <w:t xml:space="preserve">Organisms of fully-developed multicellular animals are in need of constant replacement of old cells with new ones. Stem cells are ancestors of the substituting young cells. Asymmetrical division of a mother stem cell gives rise to one, analogous to the mother, daughter cell (it preserves the potency of stemness), and to another daughter cell that takes the path of further differentiation (its stemness potency recedes). Thus, in theory, the pool of stem cells must not diminish in its quantity, in other words multicellular animal organisms must be immortal. But the fact is that stem cell quantity decreases with aging, and it causes decreased regeneration rate of tissue, organ and organism and becomes the main reason for their aging. Also it is the fact that during asymmetrical stem cell divisions daughter cells, with preserved potency of the stem cell, selectively conserve mother (old) centrioles. According to the second law of thermodynamics, structures (including centrioles) - if not replaced by the new or at least are not reparated - transform, alter their structures and functions  over time. </w:t>
      </w:r>
      <w:r w:rsidDel="00000000" w:rsidR="00000000" w:rsidRPr="00000000">
        <w:rPr>
          <w:color w:val="111111"/>
          <w:sz w:val="20"/>
          <w:szCs w:val="20"/>
          <w:highlight w:val="white"/>
          <w:rtl w:val="0"/>
        </w:rPr>
        <w:t xml:space="preserve">Formerly centrioles were attributed with functions of  normal distribution of genetic material in somatic cells between daughter cells and the like. It turned out not to be the case. The functions and  the role of centrioles within the cell are still unknown to us. But we know that in contrast with molecules of nuclear DNA, reparations do not take place in centrioles. Therefore the impact of the second law of thermodynamics on centrioles is stronger and more destructive than on other structures of the cell. It is necessary to establish functions of centrioles, then it will probably be clarified why the aging of centrioles in stem cells leads to the death of stem cells, reduction of regeneration rate, and aging.  </w:t>
      </w:r>
    </w:p>
    <w:p w:rsidR="00000000" w:rsidDel="00000000" w:rsidP="00000000" w:rsidRDefault="00000000" w:rsidRPr="00000000" w14:paraId="00000008">
      <w:pPr>
        <w:pStyle w:val="Heading6"/>
        <w:jc w:val="both"/>
        <w:rPr>
          <w:color w:val="111111"/>
          <w:sz w:val="20"/>
          <w:szCs w:val="20"/>
        </w:rPr>
      </w:pPr>
      <w:bookmarkStart w:colFirst="0" w:colLast="0" w:name="_cu4upthfhd6k" w:id="1"/>
      <w:bookmarkEnd w:id="1"/>
      <w:r w:rsidDel="00000000" w:rsidR="00000000" w:rsidRPr="00000000">
        <w:rPr>
          <w:b w:val="1"/>
          <w:i w:val="0"/>
          <w:color w:val="111111"/>
          <w:sz w:val="20"/>
          <w:szCs w:val="20"/>
          <w:rtl w:val="0"/>
        </w:rPr>
        <w:t xml:space="preserve">Keywords: </w:t>
      </w:r>
      <w:r w:rsidDel="00000000" w:rsidR="00000000" w:rsidRPr="00000000">
        <w:rPr>
          <w:i w:val="0"/>
          <w:color w:val="111111"/>
          <w:sz w:val="20"/>
          <w:szCs w:val="20"/>
          <w:highlight w:val="white"/>
          <w:rtl w:val="0"/>
        </w:rPr>
        <w:t xml:space="preserve">centriole; differentiation; regeneration; aging; senescence; stem cells; cell division; development; thermodynamics; asymmetrical division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mailto:jtkemaladze@longevity.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