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We understand that the Corresponding Author is the sole contact for the Editorial process. He/she is responsible for communicating with the other authors about progress, submissions of revisions and final approval of proofs.  </w:t>
      </w: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Fonts w:ascii="Times New Roman" w:cs="Times New Roman" w:eastAsia="Times New Roman" w:hAnsi="Times New Roman"/>
          <w:sz w:val="24"/>
          <w:szCs w:val="24"/>
          <w:rtl w:val="0"/>
        </w:rPr>
        <w:t xml:space="preserve">Signed by all authors as follows: Jaba Tkemaladze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