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  <w:u w:val="none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Asymmetrical division sustains pool of stem cells- organism must by immortal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</w:rPr>
      </w:pPr>
      <w:r w:rsidDel="00000000" w:rsidR="00000000" w:rsidRPr="00000000">
        <w:rPr>
          <w:color w:val="111111"/>
          <w:sz w:val="20"/>
          <w:szCs w:val="20"/>
          <w:rtl w:val="0"/>
        </w:rPr>
        <w:t xml:space="preserve">Pool of stem cells decreases over time- organism ages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  <w:u w:val="non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Unlike molecules of DNA, reparations do not take place in centrioles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color w:val="111111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111111"/>
          <w:sz w:val="20"/>
          <w:szCs w:val="20"/>
          <w:highlight w:val="white"/>
          <w:rtl w:val="0"/>
        </w:rPr>
        <w:t xml:space="preserve">Impact of the 2nd law of thermodynamics on centrioles is the strongest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11111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