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6"/>
        <w:jc w:val="both"/>
        <w:rPr>
          <w:b w:val="1"/>
          <w:i w:val="0"/>
        </w:rPr>
      </w:pPr>
      <w:bookmarkStart w:colFirst="0" w:colLast="0" w:name="_1w8rjv2jp9jl" w:id="0"/>
      <w:bookmarkEnd w:id="0"/>
      <w:r w:rsidDel="00000000" w:rsidR="00000000" w:rsidRPr="00000000">
        <w:rPr>
          <w:b w:val="1"/>
          <w:i w:val="0"/>
          <w:rtl w:val="0"/>
        </w:rPr>
        <w:t xml:space="preserve">Statements and Declarations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Ethics approval and Consent to participate: not applicable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Consent for publication: not applicable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Availability of data and materials: not applicable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Competing interests: The authors have no relevant financial or non-financial interests to disclose.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Funding: The authors declare that no funds, grants, or other support were received during the preparation of this manuscript.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Authors' contributions: 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Acknowledgements: To Leonard Hay flick for his patience and attention that he bestowed through analyzing and correcting this hypothesis. But most of all for his ingenious paper (Hayflick L., 2021). For the second time, he has given hope for finding the main reason for aging.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