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</w:rPr>
      </w:pPr>
      <w:r w:rsidDel="00000000" w:rsidR="00000000" w:rsidRPr="00000000">
        <w:rPr>
          <w:color w:val="111111"/>
          <w:sz w:val="20"/>
          <w:szCs w:val="20"/>
          <w:rtl w:val="0"/>
        </w:rPr>
        <w:t xml:space="preserve">During asymmetric stem cell division, old centrioles are preserved in daughter stem cells.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</w:rPr>
      </w:pPr>
      <w:r w:rsidDel="00000000" w:rsidR="00000000" w:rsidRPr="00000000">
        <w:rPr>
          <w:color w:val="111111"/>
          <w:sz w:val="20"/>
          <w:szCs w:val="20"/>
          <w:highlight w:val="white"/>
          <w:u w:val="none"/>
          <w:rtl w:val="0"/>
        </w:rPr>
        <w:t xml:space="preserve">Old centrioles are more prone to decay, potentially making them the primary agents of cellular ageing.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  <w:highlight w:val="whit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Acentriolar stem cells likely resist cellular ageing.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