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Acknowledgements </w:t>
      </w:r>
    </w:p>
    <w:p w:rsidR="00000000" w:rsidDel="00000000" w:rsidP="00000000" w:rsidRDefault="00000000" w:rsidRPr="00000000" w14:paraId="0000000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03">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Fonts w:ascii="Arial" w:cs="Arial" w:eastAsia="Arial" w:hAnsi="Arial"/>
          <w:b w:val="1"/>
          <w:color w:val="000000"/>
          <w:sz w:val="22"/>
          <w:szCs w:val="22"/>
          <w:shd w:fill="auto" w:val="clear"/>
          <w:vertAlign w:val="baseline"/>
          <w:rtl w:val="0"/>
        </w:rPr>
        <w:t xml:space="preserve">Cover letter</w:t>
      </w:r>
    </w:p>
    <w:p w:rsidR="00000000" w:rsidDel="00000000" w:rsidP="00000000" w:rsidRDefault="00000000" w:rsidRPr="00000000" w14:paraId="00000005">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From my early academic years I have been working on the aging hypothesis. In the year 2005 my hypothesis was first published. In the manuscript that I present to you my early hypothesis of aging has developed into the theory of aging and is being elaborately explained. </w:t>
      </w:r>
    </w:p>
    <w:p w:rsidR="00000000" w:rsidDel="00000000" w:rsidP="00000000" w:rsidRDefault="00000000" w:rsidRPr="00000000" w14:paraId="00000006">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2017 I conducted a clinical trial on 64 volunteers, the purpose of the study was to investigate the senolytic effect of dasatinib and quercetin by means of partial elimination of senescent cells. Here is the list of my earlier publications in this area: </w:t>
      </w:r>
    </w:p>
    <w:p w:rsidR="00000000" w:rsidDel="00000000" w:rsidP="00000000" w:rsidRDefault="00000000" w:rsidRPr="00000000" w14:paraId="00000007">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1"/>
        </w:numPr>
        <w:spacing w:after="0" w:before="0" w:line="276" w:lineRule="auto"/>
        <w:ind w:left="94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222222"/>
          <w:sz w:val="22"/>
          <w:szCs w:val="22"/>
          <w:shd w:fill="auto" w:val="clear"/>
          <w:vertAlign w:val="baseline"/>
          <w:rtl w:val="0"/>
        </w:rPr>
        <w:t xml:space="preserve">Dasatinib and Quercetin: Short-term Simultaneous Administration Yields Senolytic Effect in Humans: Issues and Developments in Medicine and Medical Research, DOI:10.9734/bpi/idmmr/v2/15155D</w:t>
      </w:r>
      <w:r w:rsidDel="00000000" w:rsidR="00000000" w:rsidRPr="00000000">
        <w:rPr>
          <w:rtl w:val="0"/>
        </w:rPr>
      </w:r>
    </w:p>
    <w:p w:rsidR="00000000" w:rsidDel="00000000" w:rsidP="00000000" w:rsidRDefault="00000000" w:rsidRPr="00000000" w14:paraId="00000009">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Tkemaladze, D Apkhazava; Dasatinib and Quercetin: Short-Term Simultaneous Administration Improves Physical Capacity in Human; Journal of Medicine and Health Care; 2019</w:t>
      </w:r>
    </w:p>
    <w:p w:rsidR="00000000" w:rsidDel="00000000" w:rsidP="00000000" w:rsidRDefault="00000000" w:rsidRPr="00000000" w14:paraId="0000000A">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Konstantin Chichinadze, Ann Lazarashvili, Jaba Tkemaladze: RNA in centrosomes: Structure and possible functions. Protoplasma 06/2012; 250(1)., DOI:10.1007/s00709-012-0422-6</w:t>
      </w:r>
    </w:p>
    <w:p w:rsidR="00000000" w:rsidDel="00000000" w:rsidP="00000000" w:rsidRDefault="00000000" w:rsidRPr="00000000" w14:paraId="0000000B">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Konstantin Chichinadze, Jaba Tkemaladze, Ann Lazarashvili: Discovery of Centrosomal RNA and Centrosomal Hypothesis of Cellular Ageing and Differentiation. Nucleosides Nucleotides &amp; Nucleic Acids 03/2012; 31(3):172-83., DOI:10.1080/15257770.2011.648362</w:t>
      </w:r>
    </w:p>
    <w:p w:rsidR="00000000" w:rsidDel="00000000" w:rsidP="00000000" w:rsidRDefault="00000000" w:rsidRPr="00000000" w14:paraId="0000000C">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 Chichinadze, J Tkemaladze, A Lazarashvili, A new class of RNAs and the centrosomal hypothesis of cell aging. Advances in Gerontology 2 (4), 287-291 </w:t>
      </w:r>
    </w:p>
    <w:p w:rsidR="00000000" w:rsidDel="00000000" w:rsidP="00000000" w:rsidRDefault="00000000" w:rsidRPr="00000000" w14:paraId="0000000D">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Tkemaladze, K Chichinadze: Centriole, Differentiation, and Senescence. Rejuvenation Research 04/2010; 13(2-3):339-42., DOI:10.1089/rej.2009.0904</w:t>
      </w:r>
    </w:p>
    <w:p w:rsidR="00000000" w:rsidDel="00000000" w:rsidP="00000000" w:rsidRDefault="00000000" w:rsidRPr="00000000" w14:paraId="0000000E">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KN Chichinadze, DV Tkemaladze: Centrosomal hypothesis of cellular aging and differentiation. Advances in gerontology = Uspekhi gerontologii, 2008</w:t>
      </w:r>
    </w:p>
    <w:p w:rsidR="00000000" w:rsidDel="00000000" w:rsidP="00000000" w:rsidRDefault="00000000" w:rsidRPr="00000000" w14:paraId="0000000F">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V Tkemaladze, K N Chichinadze: Centriolar Mechanisms of Differentiation and Replicative Aging of Higher Animal Cells. Biochemistry (Moscow) 12/2005; 70(11):1288-303., DOI:10.1007/s10541-005-0261-6</w:t>
      </w:r>
    </w:p>
    <w:p w:rsidR="00000000" w:rsidDel="00000000" w:rsidP="00000000" w:rsidRDefault="00000000" w:rsidRPr="00000000" w14:paraId="00000010">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 J Tkemaladze, K Chichinadze: Potential role of centrioles in determining the morphogenetic status of animal somatic cells. Cell Biology International 06/2005; 29(5):370-4., DOI:10.1016/j.cellbi.2005.03.003 </w:t>
      </w:r>
    </w:p>
    <w:p w:rsidR="00000000" w:rsidDel="00000000" w:rsidP="00000000" w:rsidRDefault="00000000" w:rsidRPr="00000000" w14:paraId="00000011">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manuscript in question  is of essence for several reasons:</w:t>
      </w:r>
    </w:p>
    <w:p w:rsidR="00000000" w:rsidDel="00000000" w:rsidP="00000000" w:rsidRDefault="00000000" w:rsidRPr="00000000" w14:paraId="00000013">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it is commonly known cancer is the disease that has the second highest rate of mortality after cardiovascular diseases, and the number of deceased is growing yearly. The scientists and WHO are putting a huge effort on finding a cure, so far the result is not the one that many aspire to. The manuscript offers a different perspective on the disease. </w:t>
      </w:r>
    </w:p>
    <w:p w:rsidR="00000000" w:rsidDel="00000000" w:rsidP="00000000" w:rsidRDefault="00000000" w:rsidRPr="00000000" w14:paraId="00000015">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Nowadays senescence and cancer are the diseases that go hand in hand, and finding a cure to one opens up the solutions to another. The molecular mechanisms of  transmission of senescent cells into cancer cells is still unknown. Therefore senescence and cancer are the primary focus of the manuscript.</w:t>
      </w:r>
    </w:p>
    <w:p w:rsidR="00000000" w:rsidDel="00000000" w:rsidP="00000000" w:rsidRDefault="00000000" w:rsidRPr="00000000" w14:paraId="00000016">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most important of all, the mechanism of cell differentiation and division has many questions that are left unanswered up until this day. The manuscript makes an attempt to unveil the very mechanism. </w:t>
      </w:r>
    </w:p>
    <w:p w:rsidR="00000000" w:rsidDel="00000000" w:rsidP="00000000" w:rsidRDefault="00000000" w:rsidRPr="00000000" w14:paraId="00000017">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Statements and Declarations</w:t>
      </w:r>
    </w:p>
    <w:p w:rsidR="00000000" w:rsidDel="00000000" w:rsidP="00000000" w:rsidRDefault="00000000" w:rsidRPr="00000000" w14:paraId="00000019">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Ethics approval and Consent to participate: not applicable </w:t>
      </w:r>
    </w:p>
    <w:p w:rsidR="00000000" w:rsidDel="00000000" w:rsidP="00000000" w:rsidRDefault="00000000" w:rsidRPr="00000000" w14:paraId="0000001A">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Consent for publication: not applicable </w:t>
      </w:r>
    </w:p>
    <w:p w:rsidR="00000000" w:rsidDel="00000000" w:rsidP="00000000" w:rsidRDefault="00000000" w:rsidRPr="00000000" w14:paraId="0000001B">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Availability of data and materials: not applicable </w:t>
      </w:r>
    </w:p>
    <w:p w:rsidR="00000000" w:rsidDel="00000000" w:rsidP="00000000" w:rsidRDefault="00000000" w:rsidRPr="00000000" w14:paraId="0000001C">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Competing interests: The authors have no relevant financial or non-financial interests to disclose.</w:t>
      </w:r>
    </w:p>
    <w:p w:rsidR="00000000" w:rsidDel="00000000" w:rsidP="00000000" w:rsidRDefault="00000000" w:rsidRPr="00000000" w14:paraId="0000001D">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Funding: The authors declare that no funds, grants, or other support were received during the preparation of this manuscript.</w:t>
      </w:r>
    </w:p>
    <w:p w:rsidR="00000000" w:rsidDel="00000000" w:rsidP="00000000" w:rsidRDefault="00000000" w:rsidRPr="00000000" w14:paraId="0000001E">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1F">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Fonts w:ascii="Arial" w:cs="Arial" w:eastAsia="Arial" w:hAnsi="Arial"/>
          <w:b w:val="1"/>
          <w:color w:val="000000"/>
          <w:sz w:val="22"/>
          <w:szCs w:val="22"/>
          <w:shd w:fill="auto" w:val="clear"/>
          <w:vertAlign w:val="baseline"/>
          <w:rtl w:val="0"/>
        </w:rPr>
        <w:t xml:space="preserve">Conflict of interest</w:t>
      </w:r>
    </w:p>
    <w:p w:rsidR="00000000" w:rsidDel="00000000" w:rsidP="00000000" w:rsidRDefault="00000000" w:rsidRPr="00000000" w14:paraId="00000020">
      <w:pPr>
        <w:spacing w:after="0" w:before="0" w:line="240"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both"/>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understand that the Corresponding Author is the sole contact for the Editorial process. He/she is responsible for communicating with the other authors about progress, submissions of revisions and final approval of proofs.</w:t>
      </w: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Arial" w:cs="Arial" w:eastAsia="Arial" w:hAnsi="Arial"/>
        </w:rPr>
        <w:drawing>
          <wp:inline distB="114300" distT="114300" distL="114300" distR="114300">
            <wp:extent cx="5731200" cy="35179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Signed by all authors as follows: Jaba Tkemaladze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