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ylfmqifzrumo" w:id="0"/>
      <w:bookmarkEnd w:id="0"/>
      <w:r w:rsidDel="00000000" w:rsidR="00000000" w:rsidRPr="00000000">
        <w:rPr>
          <w:b w:val="1"/>
          <w:bCs w:val="1"/>
          <w:rtl w:val="0"/>
        </w:rPr>
        <w:t xml:space="preserve">Replicative Hayflick Limit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319871" cy="501015"/>
                <wp:effectExtent b="0" l="0" r="0" t="0"/>
                <wp:wrapNone/>
                <wp:docPr id="4" name=""/>
                <a:graphic>
                  <a:graphicData uri="http://schemas.microsoft.com/office/word/2010/wordprocessingGroup">
                    <wpg:wgp>
                      <wpg:cNvGrpSpPr/>
                      <wpg:grpSpPr>
                        <a:xfrm>
                          <a:off x="2574225" y="3536775"/>
                          <a:ext cx="5319871" cy="501015"/>
                          <a:chOff x="2574225" y="3536775"/>
                          <a:chExt cx="5543550" cy="486450"/>
                        </a:xfrm>
                      </wpg:grpSpPr>
                      <wpg:grpSp>
                        <wpg:cNvGrpSpPr/>
                        <wpg:grpSpPr>
                          <a:xfrm>
                            <a:off x="2574225" y="3536796"/>
                            <a:ext cx="5543550" cy="486409"/>
                            <a:chOff x="0" y="0"/>
                            <a:chExt cx="5543550" cy="486409"/>
                          </a:xfrm>
                        </wpg:grpSpPr>
                        <wps:wsp>
                          <wps:cNvSpPr/>
                          <wps:cNvPr id="2" name="Shape 2"/>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4" name="Shape 14"/>
                          <wps:spPr>
                            <a:xfrm>
                              <a:off x="4216400" y="0"/>
                              <a:ext cx="1327150" cy="486409"/>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2</w:t>
                                </w:r>
                              </w:p>
                            </w:txbxContent>
                          </wps:txbx>
                          <wps:bodyPr anchorCtr="0" anchor="t" bIns="0" lIns="0" spcFirstLastPara="1" rIns="0" wrap="square" tIns="0">
                            <a:noAutofit/>
                          </wps:bodyPr>
                        </wps:wsp>
                        <wps:wsp>
                          <wps:cNvSpPr/>
                          <wps:cNvPr id="4" name="Shape 4"/>
                          <wps:spPr>
                            <a:xfrm>
                              <a:off x="0" y="3274"/>
                              <a:ext cx="4216500" cy="482700"/>
                            </a:xfrm>
                            <a:prstGeom prst="rect">
                              <a:avLst/>
                            </a:prstGeom>
                            <a:solidFill>
                              <a:srgbClr val="67993F"/>
                            </a:solidFill>
                            <a:ln>
                              <a:noFill/>
                            </a:ln>
                          </wps:spPr>
                          <wps:txbx>
                            <w:txbxContent>
                              <w:p w:rsidR="00000000" w:rsidDel="00000000" w:rsidP="00000000" w:rsidRDefault="00000000" w:rsidRPr="00000000">
                                <w:pPr>
                                  <w:spacing w:after="0" w:before="86.99999809265137" w:line="240"/>
                                  <w:ind w:left="4161.000061035156" w:right="0" w:firstLine="4320"/>
                                  <w:jc w:val="right"/>
                                  <w:textDirection w:val="btLr"/>
                                </w:pPr>
                                <w:r w:rsidDel="00000000" w:rsidR="00000000" w:rsidRPr="00000000">
                                  <w:rPr>
                                    <w:rFonts w:ascii="Tahoma" w:cs="Tahoma" w:eastAsia="Tahoma" w:hAnsi="Tahoma"/>
                                    <w:b w:val="1"/>
                                    <w:i w:val="0"/>
                                    <w:smallCaps w:val="0"/>
                                    <w:strike w:val="0"/>
                                    <w:color w:val="ffffff"/>
                                    <w:sz w:val="23"/>
                                    <w:vertAlign w:val="baseline"/>
                                  </w:rPr>
                                  <w:t xml:space="preserve">Longevity Horizons                               </w:t>
                                </w:r>
                              </w:p>
                              <w:p w:rsidR="00000000" w:rsidDel="00000000" w:rsidP="00000000" w:rsidRDefault="00000000" w:rsidRPr="00000000">
                                <w:pPr>
                                  <w:spacing w:after="0" w:before="121.99999809265137" w:line="273.0000114440918"/>
                                  <w:ind w:left="3600" w:right="63.00000190734863" w:firstLine="4320"/>
                                  <w:jc w:val="right"/>
                                  <w:textDirection w:val="btLr"/>
                                </w:pPr>
                                <w:r w:rsidDel="00000000" w:rsidR="00000000" w:rsidRPr="00000000">
                                  <w:rPr>
                                    <w:rFonts w:ascii="Tahoma" w:cs="Tahoma" w:eastAsia="Tahoma" w:hAnsi="Tahoma"/>
                                    <w:b w:val="1"/>
                                    <w:i w:val="0"/>
                                    <w:smallCaps w:val="0"/>
                                    <w:strike w:val="0"/>
                                    <w:color w:val="000000"/>
                                    <w:sz w:val="23"/>
                                    <w:vertAlign w:val="baseline"/>
                                  </w:rPr>
                                </w:r>
                                <w:r w:rsidDel="00000000" w:rsidR="00000000" w:rsidRPr="00000000">
                                  <w:rPr>
                                    <w:rFonts w:ascii="Tahoma" w:cs="Tahoma" w:eastAsia="Tahoma" w:hAnsi="Tahoma"/>
                                    <w:b w:val="1"/>
                                    <w:i w:val="0"/>
                                    <w:smallCaps w:val="0"/>
                                    <w:strike w:val="0"/>
                                    <w:color w:val="ffffff"/>
                                    <w:sz w:val="23"/>
                                    <w:vertAlign w:val="baseline"/>
                                  </w:rPr>
                                  <w:t xml:space="preserve">ISSN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319871" cy="50101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319871" cy="50101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Longevity Clinic Georgia Inc, 46 Shota Rustaveli Street, 3001, Abastumani, Georgia</w:t>
      </w:r>
    </w:p>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January 12,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January 16,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January 28, 2025</w:t>
      </w:r>
    </w:p>
    <w:p w:rsidR="00000000" w:rsidDel="00000000" w:rsidP="00000000" w:rsidRDefault="00000000" w:rsidRPr="00000000" w14:paraId="00000008">
      <w:pP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rPr>
          <w:rFonts w:ascii="Arial" w:cs="Arial" w:eastAsia="Arial" w:hAnsi="Arial"/>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Replicative Hayflick Limit. Longevity Horizons, 1(2). doi: </w:t>
      </w:r>
      <w:hyperlink r:id="rId8">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B">
      <w:pPr>
        <w:spacing w:before="109" w:line="235" w:lineRule="auto"/>
        <w:ind w:left="5400" w:right="540" w:firstLine="0"/>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340319"/>
                <wp:effectExtent b="0" l="0" r="0" t="0"/>
                <wp:wrapNone/>
                <wp:docPr id="3" name=""/>
                <a:graphic>
                  <a:graphicData uri="http://schemas.microsoft.com/office/word/2010/wordprocessingGroup">
                    <wpg:wgp>
                      <wpg:cNvGrpSpPr/>
                      <wpg:grpSpPr>
                        <a:xfrm>
                          <a:off x="1293500" y="777775"/>
                          <a:ext cx="3305175" cy="6340319"/>
                          <a:chOff x="1293500" y="777775"/>
                          <a:chExt cx="2900650" cy="5580850"/>
                        </a:xfrm>
                      </wpg:grpSpPr>
                      <wps:wsp>
                        <wps:cNvSpPr/>
                        <wps:cNvPr id="11" name="Shape 11"/>
                        <wps:spPr>
                          <a:xfrm>
                            <a:off x="1298275" y="782550"/>
                            <a:ext cx="2891100" cy="55713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382475" y="853500"/>
                            <a:ext cx="2754900" cy="52668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Arial" w:cs="Arial" w:eastAsia="Arial" w:hAnsi="Arial"/>
                                  <w:b w:val="0"/>
                                  <w:i w:val="0"/>
                                  <w:smallCaps w:val="0"/>
                                  <w:strike w:val="0"/>
                                  <w:color w:val="000000"/>
                                  <w:sz w:val="18"/>
                                  <w:vertAlign w:val="baseline"/>
                                </w:rPr>
                                <w:t xml:space="preserve">In the mid-20th century, Leonard Hayflick made a groundbreaking discovery that normal human cells have a limited number of divisions, a finding that significantly advanced the study of replicative aging. Along with Paul Moorhead,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Hayflick demonstrated that the replicative limit of cells is an inherent biological characteristic. Their research gave rise to the concept of the replicometer and suggested that telomeres serve as a mechanism that restricts cell divisions.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Building on this, Olovnikov proposed a hypothesis explaining the shortening of telomeres during each replication cycle. The collective contributions of Hayflick, Olovnikov, and Blackburn laid the groundwork for research into replicative immortality, which plays a crucial role in understanding both replicative aging and cancer.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These foundational discoveries led to the identification of two classes of cells—replicative mortal and replicative immortal. Despite extensive research, the replicometer, a key tool to measure the replicative limit, remains to be fully developed.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This ongoing research continues to hold significant implications for the fields of aging, stem cell biology, and oncology.</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340319"/>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305175" cy="634031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3396778</wp:posOffset>
                </wp:positionH>
                <wp:positionV relativeFrom="paragraph">
                  <wp:posOffset>200025</wp:posOffset>
                </wp:positionV>
                <wp:extent cx="3467259" cy="561975"/>
                <wp:effectExtent b="0" l="0" r="0" t="0"/>
                <wp:wrapTopAndBottom distB="0" distT="0"/>
                <wp:docPr id="5" name=""/>
                <a:graphic>
                  <a:graphicData uri="http://schemas.microsoft.com/office/word/2010/wordprocessingGroup">
                    <wpg:wgp>
                      <wpg:cNvGrpSpPr/>
                      <wpg:grpSpPr>
                        <a:xfrm>
                          <a:off x="3686425" y="3145625"/>
                          <a:ext cx="3467259" cy="561975"/>
                          <a:chOff x="3686425" y="3145625"/>
                          <a:chExt cx="3319150" cy="556925"/>
                        </a:xfrm>
                      </wpg:grpSpPr>
                      <wps:wsp>
                        <wps:cNvSpPr/>
                        <wps:cNvPr id="2" name="Shape 2"/>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16" name="Shape 16"/>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Arial" w:cs="Arial" w:eastAsia="Arial" w:hAnsi="Arial"/>
                                  <w:b w:val="0"/>
                                  <w:i w:val="0"/>
                                  <w:smallCaps w:val="0"/>
                                  <w:strike w:val="0"/>
                                  <w:color w:val="000000"/>
                                  <w:sz w:val="18"/>
                                  <w:vertAlign w:val="baseline"/>
                                </w:rPr>
                                <w:t xml:space="preserve">replicative limit, replicative aging, Hayflick,  fibroblast cultures, telomeres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3396778</wp:posOffset>
                </wp:positionH>
                <wp:positionV relativeFrom="paragraph">
                  <wp:posOffset>200025</wp:posOffset>
                </wp:positionV>
                <wp:extent cx="3467259" cy="56197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467259" cy="56197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4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widowControl w:val="1"/>
        <w:spacing w:line="276" w:lineRule="auto"/>
        <w:ind w:left="5400" w:right="540" w:firstLine="0"/>
        <w:jc w:val="both"/>
        <w:rPr>
          <w:rFonts w:ascii="Arial" w:cs="Arial" w:eastAsia="Arial" w:hAnsi="Arial"/>
        </w:rPr>
      </w:pPr>
      <w:r w:rsidDel="00000000" w:rsidR="00000000" w:rsidRPr="00000000">
        <w:rPr>
          <w:rFonts w:ascii="Arial" w:cs="Arial" w:eastAsia="Arial" w:hAnsi="Arial"/>
          <w:rtl w:val="0"/>
        </w:rPr>
        <w:t xml:space="preserve">In the mid-20th century, Leonard Hayflick discovered a phenomenon that revolutionized our understanding of cellular biology: normal human cells in culture have a limited capacity for division (Hayflick, L., &amp; Moorhead, P. S., 1961). This groundbreaking observation provided crucial insights into the processes of aging. At the time, only a small number of researchers around the world ventured into the field of biogerontology, which was considered obscure and lacked prestige in the scientific community. The discipline, rooted in ancient tales such as the mystical practices of Aietes and Medea, was viewed with skepticism and often dismissed as unscientific.</w:t>
      </w:r>
    </w:p>
    <w:p w:rsidR="00000000" w:rsidDel="00000000" w:rsidP="00000000" w:rsidRDefault="00000000" w:rsidRPr="00000000" w14:paraId="0000000E">
      <w:pPr>
        <w:widowControl w:val="1"/>
        <w:spacing w:line="276" w:lineRule="auto"/>
        <w:ind w:left="5400" w:right="545.92105263157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F">
      <w:pPr>
        <w:widowControl w:val="1"/>
        <w:spacing w:line="276" w:lineRule="auto"/>
        <w:ind w:left="5400" w:right="545.9210526315783" w:firstLine="0"/>
        <w:jc w:val="both"/>
        <w:rPr>
          <w:rFonts w:ascii="Arial" w:cs="Arial" w:eastAsia="Arial" w:hAnsi="Arial"/>
        </w:rPr>
      </w:pPr>
      <w:r w:rsidDel="00000000" w:rsidR="00000000" w:rsidRPr="00000000">
        <w:rPr>
          <w:rFonts w:ascii="Arial" w:cs="Arial" w:eastAsia="Arial" w:hAnsi="Arial"/>
          <w:rtl w:val="0"/>
        </w:rPr>
        <w:t xml:space="preserve">The prevailing dogma in cell culture studies of that era held that all cells were inherently capable of infinite division. When cells ceased to proliferate, it was presumed to result from insufficient knowledge about optimal cultivation conditions. Therefore, Hayflick’s observations initially did not attract much attention. His work with human embryonic fibroblast cell cultures revealed a pattern: the cells flourished robustly for months before they inevitably stopped dividing and perished. This cessation of proliferation was commonly attributed to unknown limitations in culture techniques or nutrient formulations.</w:t>
      </w:r>
    </w:p>
    <w:p w:rsidR="00000000" w:rsidDel="00000000" w:rsidP="00000000" w:rsidRDefault="00000000" w:rsidRPr="00000000" w14:paraId="0000001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1"/>
        <w:spacing w:line="276" w:lineRule="auto"/>
        <w:ind w:left="0" w:right="540" w:firstLine="0"/>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widowControl w:val="1"/>
        <w:spacing w:line="276" w:lineRule="auto"/>
        <w:jc w:val="both"/>
        <w:rPr>
          <w:rFonts w:ascii="Arial" w:cs="Arial" w:eastAsia="Arial" w:hAnsi="Arial"/>
        </w:rPr>
        <w:sectPr>
          <w:headerReference r:id="rId9" w:type="default"/>
          <w:headerReference r:id="rId10" w:type="first"/>
          <w:headerReference r:id="rId11" w:type="even"/>
          <w:footerReference r:id="rId12" w:type="default"/>
          <w:footerReference r:id="rId13" w:type="first"/>
          <w:footerReference r:id="rId14"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Ever since Ross Harrison developed techniques for cell culture in the early 20th century (Harrison, R. G., 1907), every normal cell culture, with one notable exception, ultimately succumbed to death. This was accepted as a technical inevitability. However, in 1943, Wilton Earle successfully isolated the first immortalized cell line, known as L-cells, from mouse fibroblasts (Earle, 1943). This significant achievement marked a turning point in cellular research and set the stage for Hayflick’s later discoveries.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In 1949, a group of researchers, including Enders, Weller, and Robbins, achieved a milestone in cell culture by demonstrating that the poliovirus could replicate in non-neuronal human embryonic cells (Enders et al., 1949). The cells they used were fibroblasts derived from the foreskin of a newborn, believed to be normal at the time. These experiments further popularized the cultivation of human cells, making it accessible and widely adopted.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Hayflick’s keen observations revealed that human fibroblast cultures, initiated at different times, exhibited a remarkable consistency: they stopped dividing after approximately 50 population doublings, regardless of the cultivation conditions. He classified the stages of cell culture into three phases. Phase I represented the primary culture when cells were freshly isolated. Phase II encompassed a period of vigorous growth lasting several months. Phase III marked a decline in cell division, culminating in the cessation of proliferation and cell death.</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Motivated by these findings, Hayflick embarked on a series of experiments in collaboration with cytogeneticist Paul Moorhead. Their objective was to determine whether the observed limit on cell division was an artifact of culture conditions or a fundamental biological phenomenon. They conducted a pivotal experiment by mixing equal numbers of male cells (bearing XY chromosomes) at their 40th division with female cells (bearing XX chromosomes) at their 20th division. The mixed culture was monitored for 20 additional population doublings. Astonishingly, only the younger female cells persisted, while the older male cells ceased to divide. Control experiments confirmed this outcome: younger cells consistently outcompeted older ones, disproving hypothesis that culture conditions, toxins, or nutrient deficiencies were responsible.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This series of experiments provided a groundbreaking insight: older cells lose their proliferative capacity earlier than younger cells, even under identical conditions. It became evident that the cessation of division was not due to external factors but was instead an intrinsic property of normal cells. To further substantiate their findings, Hayflick and Moorhead sent samples of cell cultures to other leading experts in the field of cell culture, individuals who had initially expressed skepticism about their results. These samples, provided at early stages of division, came with instructions to monitor them for six months—the period during which Hayflick and Moorhead predicted that the cultures would stop dividing. As anticipated, every recipient reported that the cultures ceased proliferation, further validating the original observations.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In another crucial experiment, human cells were transplanted into the cheek pouch of hamsters, a site that is immunologically privileged and does not provoke an immune response. Unlike abnormal, immortalized cell lines such as L-cells or HeLa cells, which proliferated unchecked in this environment, normal human cells failed to grow. This result highlighted the profound differences between normal, replication-limited cells and immortalized, abnormal cells commonly associated with cancer.</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Additionally, Hayflick and Moorhead tested normal human cells by inoculating them into terminally ill cancer patients. In these experiments, normal cells were transplanted into one arm of the patient, while immortal HeLa cells served as a control and were transplanted into the other arm. As expected, the HeLa cells proliferated and formed a nodule, while the normal human cells showed no evidence of growth. These findings, coupled with cytogenetic analyses, solidified the distinction between normal replicative mortality and the unchecked replication characteristic of cancer cells.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One of the most profound conclusions from Hayflick and Moorhead's work was the identification of two distinct classes of cells: replicatively mortal and replicatively immortal. Furthermore, they posited that these classes have corresponding counterparts in vivo, with replicative immortality often associated with cancer. Their work laid the foundation for subsequent research into the mechanisms that govern cellular aging and immortalization, two phenomena that are deeply intertwined with the broader processes of aging and oncogenesis (Hayflick, 1965).</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discovery of the replicative limit introduced the concept of a hypothetical intracellular mechanism, later termed the "replicometer," which acts as a biological counter, limiting the number of population doublings. This concept was supported by observations in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cryopreservation experiments. Human diploid cells frozen at different population doubling levels—from one to fifty—retained a "memory" of their replication history. Upon thawing, these cells resumed proliferation but ceased dividing once they reached the cumulative limit of 50 population doublings. This remarkable consistency strongly suggested the existence of an intrinsic "biological clock" governing cellular lifespan.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Hayflick’s unpublished observations further reinforced the robustness of this mechanism. For instance, the WI-38 cell strain, developed by Hayflick in 1962, demonstrated its capacity to retain division memory after decades of cryopreservation. Even after 36 years of storage, WI-38 cells preserved their replication history without any loss, representing the longest known preservation of viable human cells in frozen conditions.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Alternative explanations for the cessation of cellular division were proposed but ultimately rejected. One hypothesis suggested that normal cells might deplete an essential molecule in culture that is only available in vivo. However, calculations demonstrated that such a molecule would have to be replenished rapidly, as cells continued dividing for up to 50 doublings. A depletion model akin to a car running out of fuel was deemed implausible.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This left one viable explanation: the limit on cellular division must be due to intrinsic molecular processes. For decades, the dominant view had been that cells in culture were immortal and that aging resulted from extracellular factors such as radiation, environmental stress, or changes in the extracellular matrix. Hayflick and Moorhead’s findings challenged this paradigm, proving that normal human cells were inherently limited in their replication potential. This revelation suggested that cellular aging, or "Phase III," could represent a manifestation of organismal aging at the cellular level.</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Further experiments supported the link between cellular aging and the replicative limit. For example, it was observed that fibroblast cultures derived from older donors underwent fewer divisions compared to those derived from embryonic tissues. This correlation reinforced the hypothesis that the phenomenon of "Phase III" is intrinsically tied to aging processes.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field of cellular immortality was not without its controversies. Early in the 20th century, Alexis Carrel, a Nobel Prize-winning surgeon, claimed that fibroblasts derived from chicken heart tissue could divide indefinitely in culture. Carrel’s findings suggested that isolated cells were inherently immortal, implying that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aging was not a result of intracellular processes. His experiments, however, were later called into question. It was revealed that his cultures were maintained using daily additions of embryonic chicken tissue extract, inadvertently introducing fresh cells into the culture. Despite repeated attempts, no other researcher was able to replicate Carrel’s results, leading to the conclusion that his findings were invalid.</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revelations stemming from Hayflick and Moorhead's work on cellular aging spurred further investigations into the mechanisms underpinning replicative mortality and immortality, which were increasingly recognized as fundamental to understanding both aging and cancer. The critical importance of identifying the hypothetical replicometer proposed by Hayflick and Moorhead could not be overstated. The replicometer, they hypothesized, was a molecular mechanism that tracked the number of cellular divisions, dictating the replicative lifespan of normal cells.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At the same time, advancements in chromosomal biology offered tantalizing clues about the nature of this replicometer. Decades earlier, scientists such as Hermann Muller (Muller, 1962) and Barbara McClintock (McClintock, 1941) had described specialized structures at the ends of chromosomes, now known as telomeres. These regions were thought to prevent chromosomes from fusing end-to-end and to assist in their attachment to the nuclear envelope during cellular processes. However, the precise role of telomeres in regulating cell division remained unclear.</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In the early 1970s, research revealed a critical problem in DNA replication: the so-called "end-replication problem." DNA polymerase, the enzyme responsible for copying genetic material, was unable to fully replicate the ends of linear DNA strands (Watson, 1972). This limitation meant that with each replication cycle, a small portion of DNA at the chromosome ends remained unreplicated, leading to progressive shortening of the telomeres.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Around the same time, Alexey Olovnikov independently hypothesized that this progressive shortening of telomeres might explain why normal cells have a limited capacity to divide (Olovnikov, 1996). As he traveled on the Moscow metro, Olovnikov imagined DNA polymerase as a train on a track, representing the DNA strand. The enzyme, like a locomotive, could not replicate the segment of DNA beneath it at the track's starting point. Olovnikov proposed that telomeres function as a buffer zone of repetitive, non-coding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sequences, which are gradually shortened with each replication cycle. Once the telomeres reach a critically short length, the cell can no longer divide, triggering senescence.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This groundbreaking idea was supported by later discoveries. In 1978, Elizabeth Blackburn and Joseph Gall, working with the ciliated protozoan Tetrahymena, identified that telomeres consisted of simple, repetitive sequences of six nucleotide pairs (TTGGGG) (Blackburn &amp; Gall, 1978). In humans and other vertebrates, this sequence was later found to be TTAGGG, repeated thousands of times to form the telomeric regions of chromosomes. Notably, this sequence was highly conserved across species, underscoring its evolutionary importance (Henderson, 1995).</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Further research revealed that telomere shortening occurred not only in cultured cells but also in vivo. Studies demonstrated that telomere length progressively decreased with age in various human cell types, including skin epidermal cells (Lindsey et al., 1991), peripheral blood leukocytes, and epithelial cells of the colon (Allsopp et al., 1992). These findings provided the first tangible evidence for the existence of a replicometer and its potential role in aging.</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Allsopp et al. conducted a seminal study analyzing fibroblast cultures from 31 human donors ranging in age from a few months to 93 years. They found a striking correlation between the initial length of telomeres and the replicative capacity of the cells. Fibroblasts with shorter telomeres underwent fewer divisions compared to those with longer telomeres. The researchers concluded that telomere length serves as a biomarker of replicative aging in human somatic cells, lending support to the hypothesis that telomere shortening is causally linked to the aging process. Furthermore, fibroblasts derived from donors with Hutchinson-Gilford progeria syndrome—a condition characterized by accelerated aging—were found to have abnormally short telomeres and reduced replicative potential in vitro.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Interestingly, sperm cells, which play a critical role in reproduction, were found to maintain telomere length regardless of donor age. This observation hinted at the existence of a molecular mechanism capable of preserving telomere length in specific cell types.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discovery of telomere shortening as a key driver of replicative aging was soon followed by the identification of telomerase, an enzyme capable of counteracting this process. In studies of Tetrahymena, Blackburn and Carol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Greider identified telomerase as a ribonucleoprotein enzyme that synthesizes telomeric repeats de novo, effectively extending the length of telomeres (Greider &amp; Blackburn, 1985). Telomerase contains two critical components: a reverse transcriptase enzyme and an RNA template used to synthesize the repetitive sequences (Shippen-Lentz &amp; Blackburn, 1990).</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Subsequent research revealed that telomerase activity was absent in most normal human somatic cells, which explained why telomeres shorten over successive divisions. However, telomerase was found to be active in certain cell types, such as germ cells, stem cells, and cancer cells. This discovery established a direct link between telomerase activity and the phenomenon of replicative immortality. Indeed, telomerase was detected in approximately 90% of all human cancers studied, highlighting its critical role in tumorigenesis (Hastie et al., 1990; de Lange et al., 1990).</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In a groundbreaking experiment, researchers demonstrated that introducing the catalytic subunit of human telomerase into normal human cells could extend their replicative lifespan without inducing malignant transformation (Bodnar et al., 1998). This finding provided definitive evidence that telomere shortening is a primary mechanism limiting cellular replication and that telomerase plays a pivotal role in bypassing this limitation.</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These findings established telomerase as a key player in the regulation of cellular aging and opened new avenues for therapeutic interventions. The introduction of telomerase into normal cells not only extended their replicative lifespan but also provided critical insights into the mechanisms underlying aging and immortality at the cellular level. This discovery marked a turning point in our understanding of cellular biology, as it highlighted the central role of telomere dynamics in determining the lifespan and fate of cells.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While telomerase activity is typically absent in most normal somatic cells, its expression was found in several types of cells with high regenerative potential. These included fetal tissues, stem cells in the bone marrow, testicular tissues, peripheral blood lymphocytes, skin epidermal cells, and intestinal crypt cells. In these populations, telomerase plays a critical role in maintaining telomere length, allowing for continuous proliferation to support tissue regeneration and renewal. Importantly, however, the levels of telomerase activity observed in these normal cells were significantly lower than those found in cancer cells, suggesting a tightly regulated mechanism to prevent uncontrolled </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growth.</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One of the most compelling experiments demonstrated that normal human cell lines could be rendered replicatively immortal by introducing vectors containing genes encoding the catalytic subunit of human telomerase (Bodnar et al., 1998). Remarkably, these cells retained their normal properties despite gaining the ability to divide indefinitely, providing direct evidence that telomere shortening is the primary mechanism limiting the replicative lifespan of normal cells. These experiments also suggested that cellular aging, driven by the replicative limit, may not directly underpin the aging of entire organisms.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Leonard Hayflick himself proposed an alternative hypothesis regarding the role of telomeres in aging. According to his theory, grounded in the second law of thermodynamics, the shortening of telomeres in replication-limited cells may represent a molecular equivalent of a pre-set lifespan for an organism, which differs from aging and is defined as follows: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In nature, very few wild animals experience aging, as they often succumb to predation, disease, accidents, or environmental extremes before reaching an advanced age. As a result, natural selection could not favor a genetic program designed specifically for aging. Instead, natural selection prioritizes traits that maximize reproductive success and survival during the early stages of life. These traits include enhanced survival skills and sufficient physiological reserves to overcome external challenges. Once reproductive success is achieved, natural selection exerts less influence, as the survival of the species no longer depends on prolonged individual longevity.</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According to Hayflick’s view, the level of physiological reserve remaining after reproductive maturity determines the lifespan of an organism. This reserve develops as a byproduct of selection processes favoring early life traits. However, as organisms age, the rate of damage accumulation surpasses the body’s repair capacity, leading to an increase in molecular disorder. This disorder manifests as the physiological decline associated with aging, ultimately increasing vulnerability to disease, predation, or environmental stress (Hayflick, 1994).</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Hayflick argued that the accumulation of molecular disorder, and the processes that sustain it, lead to a gradual loss of cellular function. Consequently, the number of population doublings a normal cell can undergo—determined by telomere length—may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represent the maximum potential lifespan of a culture. The molecular disruptions that signal the approach of replicative senescence and reduced telomere length are age-related changes that, when occurring in vivo, increase susceptibility to disease and pathology, leading to death before reaching the theoretical maximum lifespan.</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Despite Hayflick’s skepticism regarding the existence of a specific aging program, he acknowledged that the phenomenon of aging at the cellular level could have implications for understanding organismal aging. Over years of discussions, Hayflick came to consider that molecular entropy might accumulate selectively in the oldest centrioles of stem cells during asymmetric division. This selective accumulation, he believed, could represent a novel perspective on the aging process. However, Hayflick never fully embraced this hypothesis before his passing, leaving it as an unresolved question in the field.</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link between telomeres and the replicative lifespan of cells has been extensively studied and remains a cornerstone of modern cellular biology. Observations that telomere shortening correlates with cellular aging have driven efforts to manipulate telomere dynamics for therapeutic purposes. For example, it is now known that the critical shortening of telomeres triggers a series of cellular responses that signal the cessation of division. This mechanism protects against genomic instability but simultaneously limits the regenerative capacity of tissues.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Further studies have revealed a critical distinction between two cell types: those destined to perish due to telomere shortening and those that evade this fate. Cells involved in tissue regeneration, such as stem cells, and reproductive cells, such as spermatozoa and zygotes, exhibit mechanisms that preserve telomere length, allowing them to bypass replicative senescence.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In their seminal studies with Tetrahymena, Greider and Blackburn provided direct evidence of the critical role telomerase plays in maintaining telomeres. This enzyme acts by synthesizing telomeric repeats at the chromosome ends, effectively counteracting telomere shortening (Greider &amp; Blackburn, 1985). The discovery that telomerase is a ribonucleoprotein complex containing reverse transcriptase and an RNA template revolutionized our understanding of how cellular immortality is achieved (Shippen-Lentz &amp; Blackburn, 1990).</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Additionally, studies have shown that cancer cells often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exploit this mechanism to achieve uncontrolled proliferation. Telomerase activity has been detected in approximately 90% of human tumors, highlighting its central role in enabling cancer cells to evade the normal replicative limits imposed by telomeres (Hastie et al., 1990; de Lange et al., 1990).</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connection between telomere biology and cancer has profound implications for understanding tumorigenesis and developing potential therapies. While normal somatic cells experience telomere shortening and eventual replicative senescence, cancer cells evade this limit by reactivating telomerase. This discovery has catalyzed the exploration of telomerase inhibitors as therapeutic agents in oncology, aiming to suppress the proliferative capacity of malignant cells.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Importantly, the role of telomerase extends beyond its function in cancer cells. Telomerase activity has also been observed in certain normal cell types, particularly those with high turnover or critical regenerative roles. Examples include fetal tissues, stem cells, and cells within continuously renewing systems such as the skin and intestinal epithelium. However, the activity of telomerase in these normal cells is tightly regulated to prevent uncontrolled proliferation. The relatively low levels of telomerase activity in these cells, compared to cancer cells, underscore its essential role in maintaining homeostasis without predisposing to malignancy.</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One of the pivotal advancements in telomere research was the demonstration that telomerase can be experimentally manipulated to extend the lifespan of normal cells. In a landmark study, researchers transfected normal human cells with vectors encoding the catalytic subunit of human telomerase, successfully immortalizing the cells without inducing malignant transformation (Bodnar et al., 1998). This experiment provided compelling evidence that telomere shortening is the primary determinant of the replicative lifespan in normal cells. Moreover, it underscored the potential for therapeutic interventions targeting telomerase to counteract cellular aging and enhance regenerative capacity.</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However, the implications of telomerase manipulation in the context of organismal aging remain a subject of ongoing debate. While extending the replicative lifespan of cells may hold promise for regenerative medicine, the relationship between cellular aging and organismal aging is complex and multifaceted. Hayflick himself argued that telomere shortening, while crucial for understanding cellular aging, does not fully explain the aging of whole organisms. Instead, he proposed that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molecular entropy—manifested as an accumulation of damage and loss of repair efficiency—plays a central role in determining lifespan.</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Hayflick’s hypothesis aligns with observations that physiological reserves decline with age, leading to increased vulnerability to environmental stressors and disease. According to this view, aging is not governed by a specific genetic program but is instead a consequence of the gradual loss of functional integrity at the molecular and cellular levels. The shortening of telomeres in replication-limited cells may act as a molecular clock, signaling the finite capacity of cells to divide, but the broader process of aging involves a complex interplay of genetic, epigenetic, and environmental factors.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Despite these complexities, the discovery of telomeres and telomerase has had profound implications for biogerontology and cancer research. Telomeres serve as critical regulators of cellular lifespan, providing a buffer that protects genomic integrity during replication. The shortening of telomeres with each division acts as a built-in mechanism to prevent uncontrolled proliferation, but it also limits the regenerative capacity of tissues.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In cancer cells, the reactivation of telomerase enables the circumvention of this replicative barrier, facilitating unchecked growth and immortality. This dual role of telomeres and telomerase—as guardians of genomic stability and enablers of cellular immortality—highlights their importance in both aging and disease.</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The discovery of telomerase as a key regulator of telomere dynamics has also opened new avenues for therapeutic innovation. In cancer treatment, the inhibition of telomerase activity represents a promising strategy to target the immortality of malignant cells. Conversely, the activation of telomerase in normal cells could enhance regenerative potential, offering hope for interventions to counteract age-related tissue decline.</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However, the manipulation of telomerase activity comes with significant challenges and risks. Prolonged activation of telomerase in normal cells could increase the risk of oncogenesis, while its inhibition in cancer cells must be carefully balanced to avoid detrimental effects on normal regenerative processes. These complexities underscore the need for precise and targeted approaches to harness the therapeutic potential of telomerase.</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In addition to telomere dynamics, recent research has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explored other mechanisms that contribute to cellular aging and replicative limits. For example, the accumulation of DNA damage, oxidative stress, and epigenetic alterations are all thought to play roles in the aging process. These factors interact with telomere shortening to influence cellular function and lifespan.</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The interplay between telomeres, telomerase, and other molecular mechanisms of aging highlights the intricate nature of the aging process. While the replicative limit represents a fundamental feature of cellular biology, the broader phenomenon of aging involves a network of interconnected pathways that regulate cellular homeostasis and organismal health.</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Hayflick’s contributions to the understanding of cellular aging continue to inspire research into the molecular mechanisms that govern lifespan. His insights into the replicative limit and the role of telomeres have shaped the field of biogerontology, providing a foundation for exploring new strategies to extend healthy lifespan and combat age-related diseases.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pStyle w:val="Heading1"/>
        <w:rPr/>
      </w:pPr>
      <w:bookmarkStart w:colFirst="0" w:colLast="0" w:name="_u1vbygbc4kzz" w:id="1"/>
      <w:bookmarkEnd w:id="1"/>
      <w:r w:rsidDel="00000000" w:rsidR="00000000" w:rsidRPr="00000000">
        <w:rPr>
          <w:rtl w:val="0"/>
        </w:rPr>
        <w:t xml:space="preserve">References:</w:t>
      </w:r>
    </w:p>
    <w:p w:rsidR="00000000" w:rsidDel="00000000" w:rsidP="00000000" w:rsidRDefault="00000000" w:rsidRPr="00000000" w14:paraId="000000A0">
      <w:pPr>
        <w:numPr>
          <w:ilvl w:val="0"/>
          <w:numId w:val="1"/>
        </w:numPr>
        <w:ind w:left="720" w:hanging="360"/>
        <w:jc w:val="both"/>
        <w:rPr>
          <w:sz w:val="18"/>
          <w:szCs w:val="18"/>
        </w:rPr>
      </w:pPr>
      <w:r w:rsidDel="00000000" w:rsidR="00000000" w:rsidRPr="00000000">
        <w:rPr>
          <w:sz w:val="18"/>
          <w:szCs w:val="18"/>
          <w:rtl w:val="0"/>
        </w:rPr>
        <w:t xml:space="preserve">Allsopp, R. C., Vaziri, H., Patterson, C., Goldstein, S., Younglai, E. V., et al. (1992). Telomere length predicts replicative capacity of human fibroblasts. Proceedings of the National Academy of Sciences of the USA, 89, 10114–10118.</w:t>
      </w:r>
    </w:p>
    <w:p w:rsidR="00000000" w:rsidDel="00000000" w:rsidP="00000000" w:rsidRDefault="00000000" w:rsidRPr="00000000" w14:paraId="000000A1">
      <w:pPr>
        <w:numPr>
          <w:ilvl w:val="0"/>
          <w:numId w:val="1"/>
        </w:numPr>
        <w:ind w:left="720" w:hanging="360"/>
        <w:jc w:val="both"/>
        <w:rPr>
          <w:sz w:val="18"/>
          <w:szCs w:val="18"/>
        </w:rPr>
      </w:pPr>
      <w:r w:rsidDel="00000000" w:rsidR="00000000" w:rsidRPr="00000000">
        <w:rPr>
          <w:sz w:val="18"/>
          <w:szCs w:val="18"/>
          <w:rtl w:val="0"/>
        </w:rPr>
        <w:t xml:space="preserve">Blackburn, E. H., &amp; Gall, J. G. (1978). A tandemly repeated sequence at the termini of the extrachromosomal ribosomal RNA genes in Tetrahymena. Journal of Molecular Biology, 120, 33–53.</w:t>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Bodnar, A. G., Ouellette, M., Frolkis, M., Holt, S. E., Chin, C. P., et al. (1998). Extension of life span by introduction of telomerase into normal human cells. Science, 279, 349–352.</w:t>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Counter, C. M., Avilion, A. A., LeFeuvre, C. E., Stewart, N. G., Greider, C. W., et al. (1992). Telomere shortening associated with chromosome instability is arrested in immortal cells which express telomerase activity. EMBO Journal, 11, 1921–1929.</w:t>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de Lange, T., Shiue, L., Myers, R. M., Cox, D. R., Naylor, S. L., </w:t>
      </w:r>
    </w:p>
    <w:p w:rsidR="00000000" w:rsidDel="00000000" w:rsidP="00000000" w:rsidRDefault="00000000" w:rsidRPr="00000000" w14:paraId="000000AA">
      <w:pPr>
        <w:ind w:left="720" w:firstLine="0"/>
        <w:jc w:val="both"/>
        <w:rPr>
          <w:sz w:val="18"/>
          <w:szCs w:val="18"/>
        </w:rPr>
      </w:pPr>
      <w:r w:rsidDel="00000000" w:rsidR="00000000" w:rsidRPr="00000000">
        <w:rPr>
          <w:rtl w:val="0"/>
        </w:rPr>
      </w:r>
    </w:p>
    <w:p w:rsidR="00000000" w:rsidDel="00000000" w:rsidP="00000000" w:rsidRDefault="00000000" w:rsidRPr="00000000" w14:paraId="000000AB">
      <w:pPr>
        <w:ind w:left="720" w:firstLine="0"/>
        <w:jc w:val="both"/>
        <w:rPr>
          <w:sz w:val="18"/>
          <w:szCs w:val="18"/>
        </w:rPr>
      </w:pPr>
      <w:r w:rsidDel="00000000" w:rsidR="00000000" w:rsidRPr="00000000">
        <w:rPr>
          <w:rtl w:val="0"/>
        </w:rPr>
      </w:r>
    </w:p>
    <w:p w:rsidR="00000000" w:rsidDel="00000000" w:rsidP="00000000" w:rsidRDefault="00000000" w:rsidRPr="00000000" w14:paraId="000000AC">
      <w:pPr>
        <w:ind w:left="720" w:firstLine="0"/>
        <w:jc w:val="both"/>
        <w:rPr>
          <w:sz w:val="18"/>
          <w:szCs w:val="18"/>
        </w:rPr>
      </w:pPr>
      <w:r w:rsidDel="00000000" w:rsidR="00000000" w:rsidRPr="00000000">
        <w:rPr>
          <w:rtl w:val="0"/>
        </w:rPr>
      </w:r>
    </w:p>
    <w:p w:rsidR="00000000" w:rsidDel="00000000" w:rsidP="00000000" w:rsidRDefault="00000000" w:rsidRPr="00000000" w14:paraId="000000AD">
      <w:pPr>
        <w:ind w:left="720" w:firstLine="0"/>
        <w:jc w:val="both"/>
        <w:rPr>
          <w:sz w:val="18"/>
          <w:szCs w:val="18"/>
        </w:rPr>
      </w:pPr>
      <w:r w:rsidDel="00000000" w:rsidR="00000000" w:rsidRPr="00000000">
        <w:rPr>
          <w:rtl w:val="0"/>
        </w:rPr>
      </w:r>
    </w:p>
    <w:p w:rsidR="00000000" w:rsidDel="00000000" w:rsidP="00000000" w:rsidRDefault="00000000" w:rsidRPr="00000000" w14:paraId="000000AE">
      <w:pPr>
        <w:ind w:left="720" w:firstLine="0"/>
        <w:jc w:val="both"/>
        <w:rPr>
          <w:sz w:val="18"/>
          <w:szCs w:val="18"/>
        </w:rPr>
      </w:pPr>
      <w:r w:rsidDel="00000000" w:rsidR="00000000" w:rsidRPr="00000000">
        <w:rPr>
          <w:sz w:val="18"/>
          <w:szCs w:val="18"/>
          <w:rtl w:val="0"/>
        </w:rPr>
        <w:t xml:space="preserve">et al. (1990). Structure and variability of human chromosome ends. Molecular and Cellular Biology, 10, 518–527.</w:t>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Earle, W. R. (1943). Production of malignancy in vitro: Mouse fibroblast cultures and changes seen in living cells. Journal of the National Cancer Institute, 4, 165–212.</w:t>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Enders, J. F., Weller, T. H., &amp; Robbins, F. C. (1949). Cultivation of Lansing strain of poliomyelitis virus in cultures of various human embryonic tissues. Science, 109, 85–87.</w:t>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Feng, J., Funk, W. D., Wang, S. S., Weinrich, S. L., Avilion, A. A., et al. (1995). The RNA component of human telomerase. Science, 269, 1236–1241.</w:t>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Greider, C. W., &amp; Blackburn, E. H. (1985). Identification of a specific telomere terminal transferase activity in Tetrahymena extracts. Cell, 43, 405–413.</w:t>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Harrison, R. G. (1907). Observations on the living developing nerve fiber. Proceedings of the Society for Experimental Biology and Medicine, 4, 140–143.</w:t>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Hastie, N. D., Dempster, M., Dunlop, M. G., Thompson, A. M., Green, D. K., &amp; Allshire, R. C. (1990). Telomere reduction in human colorectal carcinoma and with aging. Nature, 346, 866–868.</w:t>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Hayflick, L. (1965). The limited in vitro lifetime of human diploid cell strains. Experimental Cell Research, 37, 614–636.</w:t>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Hayflick, L. (1980). Cell aging. Annual Review of Gerontology and Geriatrics, 1, 26–67.</w:t>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Hayflick, L. (1984). The coming of age of WI-38. Advances in Cell Culture, 3, 303–316.</w:t>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Hayflick, L. (1989). History of cell substrates used for human biologicals. Developmental Biology Standards, 70, 11–26.</w:t>
      </w:r>
    </w:p>
    <w:p w:rsidR="00000000" w:rsidDel="00000000" w:rsidP="00000000" w:rsidRDefault="00000000" w:rsidRPr="00000000" w14:paraId="000000B9">
      <w:pPr>
        <w:numPr>
          <w:ilvl w:val="0"/>
          <w:numId w:val="1"/>
        </w:numPr>
        <w:ind w:left="720" w:hanging="360"/>
        <w:jc w:val="both"/>
        <w:rPr>
          <w:sz w:val="18"/>
          <w:szCs w:val="18"/>
        </w:rPr>
      </w:pPr>
      <w:r w:rsidDel="00000000" w:rsidR="00000000" w:rsidRPr="00000000">
        <w:rPr>
          <w:sz w:val="18"/>
          <w:szCs w:val="18"/>
          <w:rtl w:val="0"/>
        </w:rPr>
        <w:t xml:space="preserve">Hayflick, L. (1994). How and why we age. New York: Ballantine Books.</w:t>
      </w:r>
    </w:p>
    <w:p w:rsidR="00000000" w:rsidDel="00000000" w:rsidP="00000000" w:rsidRDefault="00000000" w:rsidRPr="00000000" w14:paraId="000000BA">
      <w:pPr>
        <w:numPr>
          <w:ilvl w:val="0"/>
          <w:numId w:val="1"/>
        </w:numPr>
        <w:ind w:left="720" w:hanging="360"/>
        <w:jc w:val="both"/>
        <w:rPr>
          <w:sz w:val="18"/>
          <w:szCs w:val="18"/>
        </w:rPr>
      </w:pPr>
      <w:r w:rsidDel="00000000" w:rsidR="00000000" w:rsidRPr="00000000">
        <w:rPr>
          <w:sz w:val="18"/>
          <w:szCs w:val="18"/>
          <w:rtl w:val="0"/>
        </w:rPr>
        <w:t xml:space="preserve">Hayflick, L., &amp; Moorhead, P. S. (1961). The serial cultivation of human diploid cell strains. Experimental Cell Research, 25, 585–621.</w:t>
      </w:r>
    </w:p>
    <w:p w:rsidR="00000000" w:rsidDel="00000000" w:rsidP="00000000" w:rsidRDefault="00000000" w:rsidRPr="00000000" w14:paraId="000000BB">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C">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F">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0">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1">
      <w:pPr>
        <w:numPr>
          <w:ilvl w:val="0"/>
          <w:numId w:val="1"/>
        </w:numPr>
        <w:ind w:left="720" w:hanging="360"/>
        <w:jc w:val="both"/>
        <w:rPr>
          <w:sz w:val="18"/>
          <w:szCs w:val="18"/>
        </w:rPr>
      </w:pPr>
      <w:r w:rsidDel="00000000" w:rsidR="00000000" w:rsidRPr="00000000">
        <w:rPr>
          <w:sz w:val="18"/>
          <w:szCs w:val="18"/>
          <w:rtl w:val="0"/>
        </w:rPr>
        <w:t xml:space="preserve">Levy, M. Z., Allsopp, R. C., Futcher, A. B., Greider, C. W., &amp; Harley, C. B. (1992). Telomere end-replication problem and cellular aging. Journal of Molecular Biology, 225, 951–960.</w:t>
      </w:r>
    </w:p>
    <w:p w:rsidR="00000000" w:rsidDel="00000000" w:rsidP="00000000" w:rsidRDefault="00000000" w:rsidRPr="00000000" w14:paraId="000000C2">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w:t>
      </w:r>
    </w:p>
    <w:p w:rsidR="00000000" w:rsidDel="00000000" w:rsidP="00000000" w:rsidRDefault="00000000" w:rsidRPr="00000000" w14:paraId="000000C3">
      <w:pPr>
        <w:ind w:left="720" w:firstLine="0"/>
        <w:jc w:val="both"/>
        <w:rPr>
          <w:sz w:val="18"/>
          <w:szCs w:val="18"/>
        </w:rPr>
      </w:pPr>
      <w:r w:rsidDel="00000000" w:rsidR="00000000" w:rsidRPr="00000000">
        <w:rPr>
          <w:rtl w:val="0"/>
        </w:rPr>
      </w:r>
    </w:p>
    <w:p w:rsidR="00000000" w:rsidDel="00000000" w:rsidP="00000000" w:rsidRDefault="00000000" w:rsidRPr="00000000" w14:paraId="000000C4">
      <w:pPr>
        <w:ind w:left="720" w:firstLine="0"/>
        <w:jc w:val="both"/>
        <w:rPr>
          <w:sz w:val="18"/>
          <w:szCs w:val="18"/>
        </w:rPr>
      </w:pPr>
      <w:r w:rsidDel="00000000" w:rsidR="00000000" w:rsidRPr="00000000">
        <w:rPr>
          <w:rtl w:val="0"/>
        </w:rPr>
      </w:r>
    </w:p>
    <w:p w:rsidR="00000000" w:rsidDel="00000000" w:rsidP="00000000" w:rsidRDefault="00000000" w:rsidRPr="00000000" w14:paraId="000000C5">
      <w:pPr>
        <w:ind w:left="720" w:firstLine="0"/>
        <w:jc w:val="both"/>
        <w:rPr>
          <w:sz w:val="18"/>
          <w:szCs w:val="18"/>
        </w:rPr>
      </w:pPr>
      <w:r w:rsidDel="00000000" w:rsidR="00000000" w:rsidRPr="00000000">
        <w:rPr>
          <w:rtl w:val="0"/>
        </w:rPr>
      </w:r>
    </w:p>
    <w:p w:rsidR="00000000" w:rsidDel="00000000" w:rsidP="00000000" w:rsidRDefault="00000000" w:rsidRPr="00000000" w14:paraId="000000C6">
      <w:pPr>
        <w:ind w:left="720" w:firstLine="0"/>
        <w:jc w:val="both"/>
        <w:rPr>
          <w:sz w:val="18"/>
          <w:szCs w:val="18"/>
        </w:rPr>
      </w:pPr>
      <w:r w:rsidDel="00000000" w:rsidR="00000000" w:rsidRPr="00000000">
        <w:rPr>
          <w:rtl w:val="0"/>
        </w:rPr>
      </w:r>
    </w:p>
    <w:p w:rsidR="00000000" w:rsidDel="00000000" w:rsidP="00000000" w:rsidRDefault="00000000" w:rsidRPr="00000000" w14:paraId="000000C7">
      <w:pPr>
        <w:ind w:left="720" w:firstLine="0"/>
        <w:jc w:val="both"/>
        <w:rPr>
          <w:sz w:val="18"/>
          <w:szCs w:val="18"/>
        </w:rPr>
      </w:pPr>
      <w:r w:rsidDel="00000000" w:rsidR="00000000" w:rsidRPr="00000000">
        <w:rPr>
          <w:sz w:val="18"/>
          <w:szCs w:val="18"/>
          <w:rtl w:val="0"/>
        </w:rPr>
        <w:t xml:space="preserve">M. (2011). Gerontology research in Georgia. Biogerontology, 12, 87-91. doi: 10.1007/s10522-010-9283-6. Epub 2010 May 18. PMID: 20480236; PMCID: PMC3063552</w:t>
      </w:r>
    </w:p>
    <w:p w:rsidR="00000000" w:rsidDel="00000000" w:rsidP="00000000" w:rsidRDefault="00000000" w:rsidRPr="00000000" w14:paraId="000000C8">
      <w:pPr>
        <w:numPr>
          <w:ilvl w:val="0"/>
          <w:numId w:val="1"/>
        </w:numPr>
        <w:ind w:left="720" w:hanging="360"/>
        <w:jc w:val="both"/>
        <w:rPr>
          <w:sz w:val="18"/>
          <w:szCs w:val="18"/>
        </w:rPr>
      </w:pPr>
      <w:r w:rsidDel="00000000" w:rsidR="00000000" w:rsidRPr="00000000">
        <w:rPr>
          <w:sz w:val="18"/>
          <w:szCs w:val="18"/>
          <w:rtl w:val="0"/>
        </w:rPr>
        <w:t xml:space="preserve">Lindsey, J., McGill, N. I., Lindsey, L. A., Green, D. K., &amp; Cooke, H. J. (1991). In vivo loss of telomere repeats with age in humans. Mutation Research, 256, 45–48.</w:t>
      </w:r>
    </w:p>
    <w:p w:rsidR="00000000" w:rsidDel="00000000" w:rsidP="00000000" w:rsidRDefault="00000000" w:rsidRPr="00000000" w14:paraId="000000C9">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McClintock, B. (1941). The stability of broken ends of chromosomes in Zea mays. Genetics, 26, 234–282.</w:t>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Morin, G. B. (1989). The human telomere terminal transferase enzyme is a ribonucleoprotein that synthesizes TTAGGG repeats. Cell, 59, 521–529.</w:t>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Muller, H. J. (1962). The remaking of chromosomes. In Studies of genetics (pp. 384–408). Bloomington, IN: Indiana University Press.</w:t>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Nakamura, T. M., Morin, G. B., Chapman, K. B., Weinrich, S. L., et al. (1997). Telomerase catalytic subunit homologs from fission yeast and humans. Science, 277, 955–959.</w:t>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Olovnikov, A. M. (1996). Telomeres, telomerase and aging: Origin of the theory. Experimental Gerontology, 31, 443–448.</w:t>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Shippen-Lentz, D., &amp; Blackburn, E. H. (1990). Functional evidence for an RNA template in telomerase. Science, 247, 546–552.</w:t>
      </w:r>
    </w:p>
    <w:p w:rsidR="00000000" w:rsidDel="00000000" w:rsidP="00000000" w:rsidRDefault="00000000" w:rsidRPr="00000000" w14:paraId="000000D1">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Horizons, 1(2). doi: </w:t>
      </w:r>
      <w:hyperlink r:id="rId17">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0D2">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Replicative Hayflick Limit. Longevity Horizons, 1(2).  doi: </w:t>
      </w:r>
      <w:hyperlink r:id="rId18">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0D3">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Horizons, 1(2).  doi: </w:t>
      </w:r>
      <w:hyperlink r:id="rId19">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D4">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Restoring Dogmas. Longevity Horizons, 1(1).  doi: </w:t>
      </w:r>
      <w:hyperlink r:id="rId20">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D5">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21">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0D6">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Caucasian Bridge. Longevity Horizons, 1(1). doi: </w:t>
      </w:r>
      <w:hyperlink r:id="rId22">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D7">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Alive Language. Longevity Horizons, 1(1). doi: </w:t>
      </w:r>
      <w:hyperlink r:id="rId23">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D8">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w:t>
      </w:r>
    </w:p>
    <w:p w:rsidR="00000000" w:rsidDel="00000000" w:rsidP="00000000" w:rsidRDefault="00000000" w:rsidRPr="00000000" w14:paraId="000000D9">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DA">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DB">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DC">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DD">
      <w:pPr>
        <w:widowControl w:val="1"/>
        <w:spacing w:line="276" w:lineRule="auto"/>
        <w:ind w:left="720" w:firstLine="0"/>
        <w:jc w:val="both"/>
        <w:rPr>
          <w:sz w:val="18"/>
          <w:szCs w:val="18"/>
        </w:rPr>
      </w:pPr>
      <w:r w:rsidDel="00000000" w:rsidR="00000000" w:rsidRPr="00000000">
        <w:rPr>
          <w:sz w:val="18"/>
          <w:szCs w:val="18"/>
          <w:rtl w:val="0"/>
        </w:rPr>
        <w:t xml:space="preserve">secundam animam" Charlemagne. doi:  </w:t>
      </w:r>
      <w:hyperlink r:id="rId24">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0DE">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Eternal Youth. Longevity Horizons, 1(1). doi:  </w:t>
      </w:r>
      <w:hyperlink r:id="rId25">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DF">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26">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0E0">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Curing All Diseases. Longevity Horizons, 1(1). doi: </w:t>
      </w:r>
      <w:hyperlink r:id="rId27">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E1">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8">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0E2">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29">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0E3">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Food Security. Longevity Horizons, 1(1). doi:  </w:t>
      </w:r>
      <w:hyperlink r:id="rId30">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E4">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31">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0E5">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Concept to the Living Space. Longevity Horizons, 1(1). doi: </w:t>
      </w:r>
      <w:hyperlink r:id="rId3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E6">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33">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0E7">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34">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E8">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35">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E9">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36">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EA">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37">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EB">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38">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EC">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39">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ED">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40">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EE">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w:t>
      </w:r>
    </w:p>
    <w:p w:rsidR="00000000" w:rsidDel="00000000" w:rsidP="00000000" w:rsidRDefault="00000000" w:rsidRPr="00000000" w14:paraId="000000EF">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F0">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F1">
      <w:pPr>
        <w:widowControl w:val="1"/>
        <w:spacing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F2">
      <w:pPr>
        <w:widowControl w:val="1"/>
        <w:spacing w:line="276" w:lineRule="auto"/>
        <w:ind w:left="720" w:firstLine="0"/>
        <w:jc w:val="both"/>
        <w:rPr>
          <w:sz w:val="18"/>
          <w:szCs w:val="18"/>
        </w:rPr>
      </w:pPr>
      <w:r w:rsidDel="00000000" w:rsidR="00000000" w:rsidRPr="00000000">
        <w:rPr>
          <w:sz w:val="18"/>
          <w:szCs w:val="18"/>
          <w:rtl w:val="0"/>
        </w:rPr>
        <w:t xml:space="preserve">6;14:1324446. doi: 10.3389/fphar.2023.1324446. PMID: 38510429; PMCID: PMC10953819.</w:t>
      </w:r>
    </w:p>
    <w:p w:rsidR="00000000" w:rsidDel="00000000" w:rsidP="00000000" w:rsidRDefault="00000000" w:rsidRPr="00000000" w14:paraId="000000F3">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41">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42">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0F4">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43">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F5">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4">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F6">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45">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F7">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46">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F8">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F9">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FA">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FB">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FC">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FD">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FE">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FF">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Watson, J. D. (1972). Origin of concatemeric T7 DNA. Nature New Biology, 239, 197–201.</w:t>
      </w:r>
    </w:p>
    <w:p w:rsidR="00000000" w:rsidDel="00000000" w:rsidP="00000000" w:rsidRDefault="00000000" w:rsidRPr="00000000" w14:paraId="00000100">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101">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102">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103">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104">
      <w:pPr>
        <w:numPr>
          <w:ilvl w:val="0"/>
          <w:numId w:val="1"/>
        </w:numPr>
        <w:ind w:left="720" w:hanging="360"/>
        <w:jc w:val="both"/>
        <w:rPr>
          <w:sz w:val="18"/>
          <w:szCs w:val="18"/>
        </w:rPr>
      </w:pPr>
      <w:r w:rsidDel="00000000" w:rsidR="00000000" w:rsidRPr="00000000">
        <w:rPr>
          <w:sz w:val="18"/>
          <w:szCs w:val="18"/>
          <w:rtl w:val="0"/>
        </w:rPr>
        <w:t xml:space="preserve">Wright, W. E., &amp; Shay, J. W. (1992). Telomere positional effects and the regulation of cellular senescence. Trends in Genetics, 8, 193–197.</w:t>
      </w:r>
    </w:p>
    <w:p w:rsidR="00000000" w:rsidDel="00000000" w:rsidP="00000000" w:rsidRDefault="00000000" w:rsidRPr="00000000" w14:paraId="00000105">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06">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07">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47">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08">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48">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09">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49">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0A">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0B">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0C">
      <w:pPr>
        <w:widowControl w:val="1"/>
        <w:numPr>
          <w:ilvl w:val="0"/>
          <w:numId w:val="1"/>
        </w:numPr>
        <w:spacing w:line="276" w:lineRule="auto"/>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0D">
      <w:pPr>
        <w:widowControl w:val="1"/>
        <w:numPr>
          <w:ilvl w:val="0"/>
          <w:numId w:val="1"/>
        </w:numPr>
        <w:spacing w:line="276" w:lineRule="auto"/>
        <w:ind w:left="720" w:hanging="360"/>
        <w:jc w:val="both"/>
        <w:rPr>
          <w:sz w:val="18"/>
          <w:szCs w:val="18"/>
        </w:rPr>
        <w:sectPr>
          <w:type w:val="continuous"/>
          <w:pgSz w:h="16840" w:w="11910" w:orient="portrait"/>
          <w:pgMar w:bottom="0" w:top="0" w:left="566" w:right="546.671052631579" w:header="360" w:footer="360"/>
          <w:cols w:equalWidth="0" w:num="2">
            <w:col w:space="720" w:w="5036.42"/>
            <w:col w:space="0" w:w="5036.42"/>
          </w:cols>
        </w:sect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0E">
      <w:pPr>
        <w:widowControl w:val="1"/>
        <w:spacing w:line="276" w:lineRule="auto"/>
        <w:ind w:left="0"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2" name="Shape 2"/>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6" name="Shape 6"/>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w:t>
                            </w:r>
                            <w:r w:rsidDel="00000000" w:rsidR="00000000" w:rsidRPr="00000000">
                              <w:rPr>
                                <w:rFonts w:ascii="Arial" w:cs="Arial" w:eastAsia="Arial" w:hAnsi="Arial"/>
                                <w:b w:val="1"/>
                                <w:i w:val="0"/>
                                <w:smallCaps w:val="0"/>
                                <w:strike w:val="0"/>
                                <w:color w:val="000000"/>
                                <w:sz w:val="34"/>
                                <w:vertAlign w:val="baseline"/>
                              </w:rPr>
                              <w:t xml:space="preserve">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2:2</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6" name="Shape 6"/>
                      <wps:spPr>
                        <a:xfrm>
                          <a:off x="8973725" y="3351850"/>
                          <a:ext cx="15909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2:2</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gs.2024.06.02.04" TargetMode="External"/><Relationship Id="rId42" Type="http://schemas.openxmlformats.org/officeDocument/2006/relationships/hyperlink" Target="https://dx.doi.org/10.2139/ssrn.4633202" TargetMode="External"/><Relationship Id="rId41" Type="http://schemas.openxmlformats.org/officeDocument/2006/relationships/hyperlink" Target="https://ssrn.com/abstract=4633202" TargetMode="External"/><Relationship Id="rId44" Type="http://schemas.openxmlformats.org/officeDocument/2006/relationships/hyperlink" Target="https://doi.org/10.52340/2023.05.03.15" TargetMode="External"/><Relationship Id="rId43" Type="http://schemas.openxmlformats.org/officeDocument/2006/relationships/hyperlink" Target="https://doi.org/10.52340/2023.05.03.22" TargetMode="External"/><Relationship Id="rId46" Type="http://schemas.openxmlformats.org/officeDocument/2006/relationships/hyperlink" Target="https://doi.org/10.52340/2023.01.01.15" TargetMode="External"/><Relationship Id="rId45" Type="http://schemas.openxmlformats.org/officeDocument/2006/relationships/hyperlink" Target="https://doi.org/10.52340/2023.01.0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dx.doi.org/10.13140/RG.2.2.23348.97929/1" TargetMode="External"/><Relationship Id="rId47" Type="http://schemas.openxmlformats.org/officeDocument/2006/relationships/hyperlink" Target="http://dx.doi.org/10.13140/RG.2.2.25803.30249" TargetMode="External"/><Relationship Id="rId49" Type="http://schemas.openxmlformats.org/officeDocument/2006/relationships/hyperlink" Target="http://dx.doi.org/10.13140/RG.2.2.27441.70245/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jtkemaladze@longevity.ge" TargetMode="External"/><Relationship Id="rId8" Type="http://schemas.openxmlformats.org/officeDocument/2006/relationships/hyperlink" Target="https://doi.org/10.5281/zenodo.14752664" TargetMode="External"/><Relationship Id="rId31" Type="http://schemas.openxmlformats.org/officeDocument/2006/relationships/hyperlink" Target="http://dx.doi.org/10.13140/RG.2.2.18943.32169/1" TargetMode="External"/><Relationship Id="rId30" Type="http://schemas.openxmlformats.org/officeDocument/2006/relationships/hyperlink" Target="https://doi.org/10.5281/zenodo.14642407" TargetMode="External"/><Relationship Id="rId33" Type="http://schemas.openxmlformats.org/officeDocument/2006/relationships/hyperlink" Target="http://dx.doi.org/10.13140/RG.2.2.34655.57768" TargetMode="External"/><Relationship Id="rId32" Type="http://schemas.openxmlformats.org/officeDocument/2006/relationships/hyperlink" Target="https://doi.org/10.5281/zenodo.14635991" TargetMode="External"/><Relationship Id="rId35" Type="http://schemas.openxmlformats.org/officeDocument/2006/relationships/hyperlink" Target="https://doi.org/10.52340/gs.2024.06.04.25" TargetMode="External"/><Relationship Id="rId34" Type="http://schemas.openxmlformats.org/officeDocument/2006/relationships/hyperlink" Target="https://doi.org/10.52340/gs.2024.06.04.38" TargetMode="External"/><Relationship Id="rId37" Type="http://schemas.openxmlformats.org/officeDocument/2006/relationships/hyperlink" Target="https://doi.org/10.52340/gs.2024.06.04.08" TargetMode="External"/><Relationship Id="rId36" Type="http://schemas.openxmlformats.org/officeDocument/2006/relationships/hyperlink" Target="https://doi.org/10.52340/gs.2024.06.04.21" TargetMode="External"/><Relationship Id="rId39" Type="http://schemas.openxmlformats.org/officeDocument/2006/relationships/hyperlink" Target="https://doi.org/10.52340/gs.2024.06.02.32" TargetMode="External"/><Relationship Id="rId38" Type="http://schemas.openxmlformats.org/officeDocument/2006/relationships/hyperlink" Target="https://doi.org/10.52340/gs.2024.06.02.44" TargetMode="External"/><Relationship Id="rId20" Type="http://schemas.openxmlformats.org/officeDocument/2006/relationships/hyperlink" Target="https://doi.org/10.5281/zenodo.14708980" TargetMode="External"/><Relationship Id="rId22" Type="http://schemas.openxmlformats.org/officeDocument/2006/relationships/hyperlink" Target="https://doi.org/10.5281/zenodo.14689276" TargetMode="External"/><Relationship Id="rId21" Type="http://schemas.openxmlformats.org/officeDocument/2006/relationships/hyperlink" Target="http://dx.doi.org/10.13140/RG.2.2.28347.73769" TargetMode="External"/><Relationship Id="rId24" Type="http://schemas.openxmlformats.org/officeDocument/2006/relationships/hyperlink" Target="http://dx.doi.org/10.13140/RG.2.2.16105.61286" TargetMode="External"/><Relationship Id="rId23" Type="http://schemas.openxmlformats.org/officeDocument/2006/relationships/hyperlink" Target="https://doi.org/10.5281/zenodo.14688792" TargetMode="External"/><Relationship Id="rId26" Type="http://schemas.openxmlformats.org/officeDocument/2006/relationships/hyperlink" Target="http://dx.doi.org/10.13140/RG.2.2.31113.35685" TargetMode="External"/><Relationship Id="rId25" Type="http://schemas.openxmlformats.org/officeDocument/2006/relationships/hyperlink" Target="https://doi.org/10.5281/zenodo.14681902" TargetMode="External"/><Relationship Id="rId28" Type="http://schemas.openxmlformats.org/officeDocument/2006/relationships/hyperlink" Target="http://dx.doi.org/10.13140/RG.2.2.24481.11366" TargetMode="External"/><Relationship Id="rId27" Type="http://schemas.openxmlformats.org/officeDocument/2006/relationships/hyperlink" Target="https://doi.org/10.5281/zenodo.14676208" TargetMode="External"/><Relationship Id="rId29" Type="http://schemas.openxmlformats.org/officeDocument/2006/relationships/hyperlink" Target="http://dx.doi.org/10.13140/RG.2.2.19153.03680" TargetMode="External"/><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5" Type="http://schemas.openxmlformats.org/officeDocument/2006/relationships/hyperlink" Target="https://doi.org/10.52340/2023.01.01.19" TargetMode="External"/><Relationship Id="rId14" Type="http://schemas.openxmlformats.org/officeDocument/2006/relationships/footer" Target="footer3.xml"/><Relationship Id="rId17" Type="http://schemas.openxmlformats.org/officeDocument/2006/relationships/hyperlink" Target="https://doi.org/10.5281/10.5281/zenodo.14778927" TargetMode="External"/><Relationship Id="rId16" Type="http://schemas.openxmlformats.org/officeDocument/2006/relationships/hyperlink" Target="https://doi.org/10.52340/2023.01.01.20" TargetMode="External"/><Relationship Id="rId19" Type="http://schemas.openxmlformats.org/officeDocument/2006/relationships/hyperlink" Target="https://doi.org/10.5281/zenodo.14742232" TargetMode="External"/><Relationship Id="rId18" Type="http://schemas.openxmlformats.org/officeDocument/2006/relationships/hyperlink" Target="https://doi.org/10.5281/zenodo.147526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