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5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ye0rimjrdnrm" w:id="0"/>
      <w:bookmarkEnd w:id="0"/>
      <w:r w:rsidDel="00000000" w:rsidR="00000000" w:rsidRPr="00000000">
        <w:rPr>
          <w:b w:val="1"/>
          <w:bCs w:val="1"/>
          <w:rtl w:val="0"/>
        </w:rPr>
        <w:t xml:space="preserve">Centriole Elimination: </w:t>
        <w:br w:type="textWrapping"/>
        <w:t xml:space="preserve">A Mechanism for Resetting Entropy in the Cell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4" name=""/>
                <a:graphic>
                  <a:graphicData uri="http://schemas.microsoft.com/office/word/2010/wordprocessingGroup">
                    <wpg:wgp>
                      <wpg:cNvGrpSpPr/>
                      <wpg:grpSpPr>
                        <a:xfrm>
                          <a:off x="2574225" y="3536800"/>
                          <a:ext cx="5443696" cy="538276"/>
                          <a:chOff x="2574225" y="3536800"/>
                          <a:chExt cx="5086275" cy="486400"/>
                        </a:xfrm>
                      </wpg:grpSpPr>
                      <wpg:grpSp>
                        <wpg:cNvGrpSpPr/>
                        <wpg:grpSpPr>
                          <a:xfrm>
                            <a:off x="2574225" y="3536800"/>
                            <a:ext cx="5086253" cy="486400"/>
                            <a:chOff x="0" y="0"/>
                            <a:chExt cx="5543600" cy="486400"/>
                          </a:xfrm>
                        </wpg:grpSpPr>
                        <wps:wsp>
                          <wps:cNvSpPr/>
                          <wps:cNvPr id="2" name="Shape 2"/>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4" name="Shape 14"/>
                          <wps:spPr>
                            <a:xfrm>
                              <a:off x="4216400" y="0"/>
                              <a:ext cx="1327200" cy="486300"/>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5</w:t>
                                </w:r>
                              </w:p>
                            </w:txbxContent>
                          </wps:txbx>
                          <wps:bodyPr anchorCtr="0" anchor="t" bIns="0" lIns="0" spcFirstLastPara="1" rIns="0" wrap="square" tIns="0">
                            <a:noAutofit/>
                          </wps:bodyPr>
                        </wps:wsp>
                        <wps:wsp>
                          <wps:cNvSpPr/>
                          <wps:cNvPr id="4" name="Shape 4"/>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g:grpSp>
                      <wps:wsp>
                        <wps:cNvSpPr txBox="1"/>
                        <wps:cNvPr id="15" name="Shape 15"/>
                        <wps:spPr>
                          <a:xfrm>
                            <a:off x="48286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Horizons</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2960-9011</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443696" cy="538276"/>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Longevity Clinic. 46 Shota Rustaveli Street, 3001, Abastumani, Georgia</w:t>
      </w:r>
    </w:p>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January 27,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January 29,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February 15, 2025</w:t>
      </w:r>
    </w:p>
    <w:p w:rsidR="00000000" w:rsidDel="00000000" w:rsidP="00000000" w:rsidRDefault="00000000" w:rsidRPr="00000000" w14:paraId="00000008">
      <w:pP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 </w:t>
      </w:r>
      <w:r w:rsidDel="00000000" w:rsidR="00000000" w:rsidRPr="00000000">
        <w:rPr>
          <w:sz w:val="18"/>
          <w:szCs w:val="18"/>
          <w:rtl w:val="0"/>
        </w:rPr>
        <w:t xml:space="preserve">Tel: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Centriole Elimination: A Mechanism for Resetting Entropy in the Cell. Longevity Horizons, 1(2). doi: </w:t>
      </w:r>
      <w:r w:rsidDel="00000000" w:rsidR="00000000" w:rsidRPr="00000000">
        <w:rPr>
          <w:sz w:val="18"/>
          <w:szCs w:val="18"/>
          <w:rtl w:val="0"/>
        </w:rPr>
        <w:t xml:space="preserve">https://doi.org/10.5281/</w:t>
      </w:r>
      <w:r w:rsidDel="00000000" w:rsidR="00000000" w:rsidRPr="00000000">
        <w:rPr>
          <w:sz w:val="18"/>
          <w:szCs w:val="18"/>
          <w:highlight w:val="white"/>
          <w:rtl w:val="0"/>
        </w:rPr>
        <w:t xml:space="preserve">zenodo.14876013</w:t>
      </w:r>
      <w:r w:rsidDel="00000000" w:rsidR="00000000" w:rsidRPr="00000000">
        <w:rPr>
          <w:rtl w:val="0"/>
        </w:rPr>
      </w:r>
    </w:p>
    <w:p w:rsidR="00000000" w:rsidDel="00000000" w:rsidP="00000000" w:rsidRDefault="00000000" w:rsidRPr="00000000" w14:paraId="0000000B">
      <w:pPr>
        <w:spacing w:before="109" w:line="235" w:lineRule="auto"/>
        <w:ind w:left="5400" w:right="540" w:firstLine="0"/>
        <w:jc w:val="left"/>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5908270"/>
                <wp:effectExtent b="0" l="0" r="0" t="0"/>
                <wp:wrapNone/>
                <wp:docPr id="3" name=""/>
                <a:graphic>
                  <a:graphicData uri="http://schemas.microsoft.com/office/word/2010/wordprocessingGroup">
                    <wpg:wgp>
                      <wpg:cNvGrpSpPr/>
                      <wpg:grpSpPr>
                        <a:xfrm>
                          <a:off x="1293500" y="777775"/>
                          <a:ext cx="3305175" cy="5908270"/>
                          <a:chOff x="1293500" y="777775"/>
                          <a:chExt cx="2900650" cy="4643350"/>
                        </a:xfrm>
                      </wpg:grpSpPr>
                      <wps:wsp>
                        <wps:cNvSpPr/>
                        <wps:cNvPr id="11" name="Shape 11"/>
                        <wps:spPr>
                          <a:xfrm>
                            <a:off x="1298275" y="782550"/>
                            <a:ext cx="2891100" cy="46338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1382475" y="853500"/>
                            <a:ext cx="2754900" cy="44106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ahoma" w:cs="Tahoma" w:eastAsia="Tahoma" w:hAnsi="Tahoma"/>
                                  <w:b w:val="1"/>
                                  <w:i w:val="0"/>
                                  <w:smallCaps w:val="0"/>
                                  <w:strike w:val="0"/>
                                  <w:color w:val="67993f"/>
                                  <w:sz w:val="20"/>
                                  <w:vertAlign w:val="baseline"/>
                                </w:rPr>
                                <w:t xml:space="preserve">Abstract</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ahoma" w:cs="Tahoma" w:eastAsia="Tahoma" w:hAnsi="Tahoma"/>
                                  <w:b w:val="1"/>
                                  <w:i w:val="0"/>
                                  <w:smallCaps w:val="0"/>
                                  <w:strike w:val="0"/>
                                  <w:color w:val="67993f"/>
                                  <w:sz w:val="20"/>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Centrioles are highly conserved organelles essential for microtubule organization, cellular differentiation, and the formation of cilia and flagella. However, in certain organisms, centrioles are eliminated during oogenesis and spermatogenesis, preventing the transmission of either young or aged centrioles to the zygote. This elimination serves as a mechanism to reset cellular entropy and restore totipotency, a critical step for embryonic development. In somatic cells, centriole removal also occurs during terminal differentiation, suggesting a potential link to replicative aging. Studies indicate that programmed centriole elimination involves microtubule degradation and the ubiquitin-proteasome system. Unlike other cellular structures, centrioles lack self-repair mechanisms, leading to an accumulation of structural damage over time. This progressive entropy contributes to cellular and organismal aging. By removing centrioles when they are no longer needed, cells may mitigate aging-related dysfunctions. Furthermore, centriole elimination prevents centrosome-related pathologies, abnormal cell division, and possibly oncogenesis. Understanding these mechanisms holds promise for biomedical applications, including tissue rejuvenation and aging control.</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590827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305175" cy="5908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71500"/>
                <wp:effectExtent b="0" l="0" r="0" t="0"/>
                <wp:wrapTopAndBottom distB="0" distT="0"/>
                <wp:docPr id="5" name=""/>
                <a:graphic>
                  <a:graphicData uri="http://schemas.microsoft.com/office/word/2010/wordprocessingGroup">
                    <wpg:wgp>
                      <wpg:cNvGrpSpPr/>
                      <wpg:grpSpPr>
                        <a:xfrm>
                          <a:off x="3686425" y="3145625"/>
                          <a:ext cx="3376454" cy="571500"/>
                          <a:chOff x="3686425" y="3145625"/>
                          <a:chExt cx="3319150" cy="556925"/>
                        </a:xfrm>
                      </wpg:grpSpPr>
                      <wps:wsp>
                        <wps:cNvSpPr/>
                        <wps:cNvPr id="2" name="Shape 2"/>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691200" y="3150400"/>
                            <a:ext cx="3309620" cy="547376"/>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17" name="Shape 17"/>
                        <wps:spPr>
                          <a:xfrm>
                            <a:off x="3750950" y="3220400"/>
                            <a:ext cx="31812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both"/>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Calibri" w:cs="Calibri" w:eastAsia="Calibri" w:hAnsi="Calibri"/>
                                  <w:b w:val="0"/>
                                  <w:i w:val="0"/>
                                  <w:smallCaps w:val="0"/>
                                  <w:strike w:val="0"/>
                                  <w:color w:val="000000"/>
                                  <w:sz w:val="18"/>
                                  <w:vertAlign w:val="baseline"/>
                                </w:rPr>
                                <w:t xml:space="preserve">centrioles, elimination, entropy,  totipotency, differentiation, aging</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715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376454" cy="57150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54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widowControl w:val="1"/>
        <w:spacing w:line="276" w:lineRule="auto"/>
        <w:ind w:left="5400" w:right="592.5" w:firstLine="0"/>
        <w:jc w:val="both"/>
        <w:rPr/>
      </w:pPr>
      <w:bookmarkStart w:colFirst="0" w:colLast="0" w:name="_i3melofo0tv4" w:id="1"/>
      <w:bookmarkEnd w:id="1"/>
      <w:r w:rsidDel="00000000" w:rsidR="00000000" w:rsidRPr="00000000">
        <w:rPr>
          <w:rtl w:val="0"/>
        </w:rPr>
        <w:t xml:space="preserve">Introduction</w:t>
      </w:r>
    </w:p>
    <w:p w:rsidR="00000000" w:rsidDel="00000000" w:rsidP="00000000" w:rsidRDefault="00000000" w:rsidRPr="00000000" w14:paraId="0000000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0F">
      <w:pPr>
        <w:widowControl w:val="1"/>
        <w:spacing w:line="276" w:lineRule="auto"/>
        <w:ind w:left="5445" w:right="592.5" w:firstLine="0"/>
        <w:jc w:val="both"/>
        <w:rPr>
          <w:rFonts w:ascii="Arial" w:cs="Arial" w:eastAsia="Arial" w:hAnsi="Arial"/>
        </w:rPr>
      </w:pPr>
      <w:r w:rsidDel="00000000" w:rsidR="00000000" w:rsidRPr="00000000">
        <w:rPr>
          <w:rtl w:val="0"/>
        </w:rPr>
        <w:t xml:space="preserve">Centrioles represent evolutionarily conserved organelles that perform a variety of fundamental cellular functions, including cell motility, intracellular signaling, and differentiation. Despite their structural stability and persistence, centrioles can be actively removed under specific physiological conditions—a phenomenon first recognized in oocytes in pioneering studies by Theodor Boveri (Boveri, 1887). Since then, additional cases of centriole elimination have been identified, yet the overarching molecular and regulatory mechanisms remain largely elusive, preventing a comprehensive understanding of its functional significance across different cell types. In many terminally differentiated cells, centrioles become anchored beneath the plasma membrane, where they act as basal bodies, dictating the structural organization of the axoneme in primary cilia (Breslow, D. K., &amp; Holland, A. J., 2019). Additionally, centrioles play an essential role in the formation of axonemes within motile cilia and flagella, which are crucial for cellular movement and environmental sensing. Given these diverse functional roles, centrioles are indispensable for proper signal transduction and cell motility.</w:t>
      </w:r>
      <w:r w:rsidDel="00000000" w:rsidR="00000000" w:rsidRPr="00000000">
        <w:rPr>
          <w:rtl w:val="0"/>
        </w:rPr>
      </w:r>
    </w:p>
    <w:p w:rsidR="00000000" w:rsidDel="00000000" w:rsidP="00000000" w:rsidRDefault="00000000" w:rsidRPr="00000000" w14:paraId="00000010">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1">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3">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4">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1"/>
        <w:spacing w:line="276" w:lineRule="auto"/>
        <w:ind w:right="592.5"/>
        <w:jc w:val="both"/>
        <w:rPr/>
        <w:sectPr>
          <w:headerReference r:id="rId8" w:type="default"/>
          <w:headerReference r:id="rId9" w:type="first"/>
          <w:headerReference r:id="rId10" w:type="even"/>
          <w:footerReference r:id="rId11" w:type="default"/>
          <w:footerReference r:id="rId12" w:type="first"/>
          <w:footerReference r:id="rId13" w:type="even"/>
          <w:pgSz w:h="16840" w:w="11910" w:orient="portrait"/>
          <w:pgMar w:bottom="0" w:top="0" w:left="566" w:right="0" w:header="360" w:footer="360"/>
          <w:pgNumType w:start="1"/>
          <w:titlePg w:val="1"/>
        </w:sectPr>
      </w:pPr>
      <w:r w:rsidDel="00000000" w:rsidR="00000000" w:rsidRPr="00000000">
        <w:rPr>
          <w:rtl w:val="0"/>
        </w:rPr>
      </w:r>
    </w:p>
    <w:p w:rsidR="00000000" w:rsidDel="00000000" w:rsidP="00000000" w:rsidRDefault="00000000" w:rsidRPr="00000000" w14:paraId="00000016">
      <w:pPr>
        <w:widowControl w:val="1"/>
        <w:spacing w:line="276" w:lineRule="auto"/>
        <w:ind w:right="592.5"/>
        <w:jc w:val="both"/>
        <w:rPr/>
      </w:pPr>
      <w:r w:rsidDel="00000000" w:rsidR="00000000" w:rsidRPr="00000000">
        <w:rPr>
          <w:rtl w:val="0"/>
        </w:rPr>
        <w:t xml:space="preserve">Moreover, in the majority of cycling animal cells, centrioles are embedded within the pericentriolar material (PCM, also known as the pericentriolar matrix), forming the centrosome, which serves as the primary microtubule-organizing center (MTOC). This role is crucial both during interphase, for maintaining cellular architecture, and during mitosis, where centrosomes facilitate bipolar spindle assembly, ensuring precise chromosome segregation and asymmetric distribution of biomolecules and cellular structures (Pintard, L., &amp; Bowerman, B., 2019). Given their essential role in cellular organization, structural alterations or numerical aberrations of centrioles have been implicated in a variety of pathologies, including ciliopathies and cancer (Braun, D. A., &amp; Hildebrandt, F., 2017).</w:t>
      </w:r>
    </w:p>
    <w:p w:rsidR="00000000" w:rsidDel="00000000" w:rsidP="00000000" w:rsidRDefault="00000000" w:rsidRPr="00000000" w14:paraId="00000017">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18">
      <w:pPr>
        <w:widowControl w:val="1"/>
        <w:spacing w:line="276" w:lineRule="auto"/>
        <w:ind w:right="592.5"/>
        <w:jc w:val="both"/>
        <w:rPr/>
      </w:pPr>
      <w:r w:rsidDel="00000000" w:rsidR="00000000" w:rsidRPr="00000000">
        <w:rPr>
          <w:rtl w:val="0"/>
        </w:rPr>
        <w:t xml:space="preserve">The number of centrioles within a cell is tightly regulated. In cycling cells, the initial centriole pair consists of a mother centriole—characterized by distal and subdistal appendages—and a daughter centriole, which remains linked to the mother via a flexible connection. During the early S-phase, a new procentriole begins to form at a nearly orthogonal angle relative to each existing centriole. By the G2/early mitotic phase, the two pairs of centrioles, now surrounded by PCM and thus forming functional centrosomes, separate to direct the assembly of a bipolar spindle. The molecular pathways and regulatory proteins governing this tightly orchestrated centriole duplication cycle are well characterized (Gomes et al., 2021).</w:t>
      </w:r>
    </w:p>
    <w:p w:rsidR="00000000" w:rsidDel="00000000" w:rsidP="00000000" w:rsidRDefault="00000000" w:rsidRPr="00000000" w14:paraId="0000001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1A">
      <w:pPr>
        <w:widowControl w:val="1"/>
        <w:spacing w:line="276" w:lineRule="auto"/>
        <w:ind w:right="592.5"/>
        <w:jc w:val="both"/>
        <w:rPr/>
      </w:pPr>
      <w:r w:rsidDel="00000000" w:rsidR="00000000" w:rsidRPr="00000000">
        <w:rPr>
          <w:rtl w:val="0"/>
        </w:rPr>
        <w:t xml:space="preserve">However, while centriole numbers increase from two to four in cycling cells, different mechanisms govern centriole control in other contexts. For instance, some cells initially lack centrioles but later assemble them de novo (Takumi, K., &amp; Kitagawa, D., 2022). This process occurs in early rodent embryos, as well as in certain plant species such as mosses, ferns, and gymnosperms. Additionally, it has been observed in Naegleria gruberi, a unicellular protist undergoing transformation from an amoeboid to a flagellated state (Gomes et al., 2021). Interestingly, de novo centriole formation often involves bicentriolar structures coiling in opposite directions. Experimentally induced de novo centriole assembly has also been demonstrated in human cells depleted of centrioles (Khodjakov et al., 2002). Moreover, in multiciliated epithelial cells, multiple procentrioles cluster around existing centrioles and specialized organelles called deuterosomes, leading to the rapid expansion of centriole numbers into the hundreds (Dirksen, 1971). Finally, centriole numbers can also be reduced from four or two down to zero through the process of centriole elimination.</w:t>
      </w:r>
    </w:p>
    <w:p w:rsidR="00000000" w:rsidDel="00000000" w:rsidP="00000000" w:rsidRDefault="00000000" w:rsidRPr="00000000" w14:paraId="0000001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1C">
      <w:pPr>
        <w:pStyle w:val="Heading2"/>
        <w:rPr>
          <w:color w:val="67993f"/>
        </w:rPr>
      </w:pPr>
      <w:bookmarkStart w:colFirst="0" w:colLast="0" w:name="_dximsuaedyxs" w:id="2"/>
      <w:bookmarkEnd w:id="2"/>
      <w:r w:rsidDel="00000000" w:rsidR="00000000" w:rsidRPr="00000000">
        <w:rPr>
          <w:color w:val="67993f"/>
          <w:rtl w:val="0"/>
        </w:rPr>
        <w:t xml:space="preserve">Centriole Proteins Can Be Mistaken for Centrioles</w:t>
      </w:r>
    </w:p>
    <w:p w:rsidR="00000000" w:rsidDel="00000000" w:rsidP="00000000" w:rsidRDefault="00000000" w:rsidRPr="00000000" w14:paraId="0000001D">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1E">
      <w:pPr>
        <w:widowControl w:val="1"/>
        <w:spacing w:line="276" w:lineRule="auto"/>
        <w:ind w:right="592.5"/>
        <w:jc w:val="both"/>
        <w:rPr/>
      </w:pPr>
      <w:r w:rsidDel="00000000" w:rsidR="00000000" w:rsidRPr="00000000">
        <w:rPr>
          <w:rtl w:val="0"/>
        </w:rPr>
        <w:t xml:space="preserve">Centrioles are ultrastructurally defined by their characteristic ninefold symmetrical arrangement of microtubules. However, they can also be functionally identified as structures capable of recruiting PCM and initiating axonemal organization. The elimination of centrioles is a process wherein both their ultrastructure and functional capacity are lost. Given their minute size and limited copy number within most cells, centriole presence or absence has often been assessed indirectly by tracking protein foci containing centriole-associated markers, rather than relying solely on high-resolution electron microscopy (EM). In some cases, such as human cells depleted of RBM14, Neurl4, or TRIM37, foci containing centriole-associated proteins, which act as MTOCs, were revealed by EM analysis to lack microtubules entirely (Balestra et al., 2021). These findings highlight that centriole-associated protein foci do not necessarily correspond to actual centrioles, despite maintaining the capacity to recruit PCM and function as MTOCs. More broadly, during centriole elimination, protein foci containing centriole-associated markers may persist and recruit PCM even in the absence of the signature microtubule-based centriole structure. Clearly, assessing multiple centriole markers minimizes the risk of misinterpretation in such cases. Furthermore, advancements in microscopy now provide resolutions sufficient to detect the distinctive ninefold radial symmetry of centriole microtubules (Chang et al., 2023), and these techniques will likely become the gold standard for verifying centriole presence in foci containing centriole-associated proteins.</w:t>
      </w:r>
    </w:p>
    <w:p w:rsidR="00000000" w:rsidDel="00000000" w:rsidP="00000000" w:rsidRDefault="00000000" w:rsidRPr="00000000" w14:paraId="0000001F">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0">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2">
      <w:pPr>
        <w:widowControl w:val="1"/>
        <w:spacing w:line="276" w:lineRule="auto"/>
        <w:ind w:right="592.5"/>
        <w:jc w:val="both"/>
        <w:rPr/>
      </w:pPr>
      <w:r w:rsidDel="00000000" w:rsidR="00000000" w:rsidRPr="00000000">
        <w:rPr>
          <w:rtl w:val="0"/>
        </w:rPr>
        <w:t xml:space="preserve">It is highly probable that, similar to oogenesis in animals, centrioles undergo reduction during spermatogenesis in rodents. By the final stages of gametogenesis, both centrioles completely degenerate, despite the retention of foci containing the core centriole protein centrin (Courtois et al., 2012). The absence of centrioles in both oocytes and sperm results in acentriolar cell divisions in the early embryo for the first eight divisions (as observed in mice and potentially other species), followed by de novo centriole formation at the blastocyst stage (Gueth-Hallonet et al., 1993).</w:t>
      </w:r>
    </w:p>
    <w:p w:rsidR="00000000" w:rsidDel="00000000" w:rsidP="00000000" w:rsidRDefault="00000000" w:rsidRPr="00000000" w14:paraId="00000023">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4">
      <w:pPr>
        <w:pStyle w:val="Heading2"/>
        <w:rPr>
          <w:color w:val="67993f"/>
        </w:rPr>
      </w:pPr>
      <w:bookmarkStart w:colFirst="0" w:colLast="0" w:name="_s5c587150arl" w:id="3"/>
      <w:bookmarkEnd w:id="3"/>
      <w:r w:rsidDel="00000000" w:rsidR="00000000" w:rsidRPr="00000000">
        <w:rPr>
          <w:color w:val="67993f"/>
          <w:rtl w:val="0"/>
        </w:rPr>
        <w:t xml:space="preserve">Elimination in the Female Germ Line</w:t>
      </w:r>
    </w:p>
    <w:p w:rsidR="00000000" w:rsidDel="00000000" w:rsidP="00000000" w:rsidRDefault="00000000" w:rsidRPr="00000000" w14:paraId="0000002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6">
      <w:pPr>
        <w:widowControl w:val="1"/>
        <w:spacing w:line="276" w:lineRule="auto"/>
        <w:ind w:right="592.5"/>
        <w:jc w:val="both"/>
        <w:rPr/>
      </w:pPr>
      <w:r w:rsidDel="00000000" w:rsidR="00000000" w:rsidRPr="00000000">
        <w:rPr>
          <w:rtl w:val="0"/>
        </w:rPr>
        <w:t xml:space="preserve">Centrioles are entirely absent in the oocytes of vertebrates (Hertig, A. T., &amp; Adams, E. C., 1967), a phenomenon that was initially hypothesized based on early observations made by Boveri in sea urchin eggs. The elimination of centrioles during oogenesis is now widely recognized as a ubiquitous biological event, occurring universally across all multicellular animal organisms.</w:t>
      </w:r>
    </w:p>
    <w:p w:rsidR="00000000" w:rsidDel="00000000" w:rsidP="00000000" w:rsidRDefault="00000000" w:rsidRPr="00000000" w14:paraId="00000027">
      <w:pPr>
        <w:widowControl w:val="1"/>
        <w:spacing w:line="276" w:lineRule="auto"/>
        <w:ind w:right="592.5"/>
        <w:jc w:val="both"/>
        <w:rPr/>
      </w:pPr>
      <w:r w:rsidDel="00000000" w:rsidR="00000000" w:rsidRPr="00000000">
        <w:rPr>
          <w:rtl w:val="0"/>
        </w:rPr>
        <w:t xml:space="preserve">Despite its broad prevalence, the specific timing and mechanisms underlying centriole elimination during oogenesis exhibit remarkable variation across different biological systems. In the first mechanism, observed in species such as X. laevis, M. musculus, and H. sapiens, as well as in C. elegans and Drosophila, centrioles are eliminated during the prolonged prophase of meiosis I, leading to the formation of acentriolar meiotic spindles (Januschke et al., 2006). Recent studies employing correlated light and electron microscopy (CLEM) in C. elegans have revealed that centrioles lose their characteristic central tube structure in late pachytene, followed by their complete disappearance in early diplotene (Pierron et al., 2023). In Drosophila, the maturing oocyte is initially endowed with a cluster of numerous centrioles supplied by 15 supporting nurse cells (Januschke et al., 2006). This centriole cluster plays a crucial role in facilitating the transport of mRNA and proteins from the nurse cells to the oocyte and persists until meiotic spindle assembly begins, although the overall number of centrioles within the cluster appears to decline beforehand (Becalska, A. N., &amp; </w:t>
      </w:r>
    </w:p>
    <w:p w:rsidR="00000000" w:rsidDel="00000000" w:rsidP="00000000" w:rsidRDefault="00000000" w:rsidRPr="00000000" w14:paraId="00000028">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A">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B">
      <w:pPr>
        <w:widowControl w:val="1"/>
        <w:spacing w:line="276" w:lineRule="auto"/>
        <w:ind w:right="592.5"/>
        <w:jc w:val="both"/>
        <w:rPr/>
      </w:pPr>
      <w:r w:rsidDel="00000000" w:rsidR="00000000" w:rsidRPr="00000000">
        <w:rPr>
          <w:rtl w:val="0"/>
        </w:rPr>
        <w:t xml:space="preserve">Gavis, E. R., 2009). Subsequently, centriole elimination involves the exit of Polo kinase from the pericentriolar material (PCM), followed by PCM loss and, ultimately, the degradation of the organelles themselves (Pimenta-Marques et al., 2016).</w:t>
      </w:r>
    </w:p>
    <w:p w:rsidR="00000000" w:rsidDel="00000000" w:rsidP="00000000" w:rsidRDefault="00000000" w:rsidRPr="00000000" w14:paraId="0000002C">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D">
      <w:pPr>
        <w:widowControl w:val="1"/>
        <w:spacing w:line="276" w:lineRule="auto"/>
        <w:ind w:right="592.5"/>
        <w:jc w:val="both"/>
        <w:rPr/>
      </w:pPr>
      <w:r w:rsidDel="00000000" w:rsidR="00000000" w:rsidRPr="00000000">
        <w:rPr>
          <w:rtl w:val="0"/>
        </w:rPr>
        <w:t xml:space="preserve">A second mechanism, observed in echinoderms, mollusks, and annelids, operates differently: centrioles are not removed during oogenesis but are instead expelled during and after female meiotic divisions. In these species, due to the strategic positioning of centrioles at spindle poles, three out of four centrioles are ejected into polar bodies during the two meiotic divisions, leaving behind a single centriole within the oocyte (Nakashima, S., &amp; Kato, K. H., 2001). In the sea star P. miniata, this remaining centriole is invariably the daughter centriole, whereas both maternal centrioles and one additional daughter centriole are discarded into the polar bodies (Borrego-Pinto, 2016). Similar to Drosophila, the daughter centriole first sheds its surrounding PCM and subsequently disappears, following sperm centriole-mediated recruitment of PCM components.</w:t>
      </w:r>
    </w:p>
    <w:p w:rsidR="00000000" w:rsidDel="00000000" w:rsidP="00000000" w:rsidRDefault="00000000" w:rsidRPr="00000000" w14:paraId="0000002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2F">
      <w:pPr>
        <w:widowControl w:val="1"/>
        <w:spacing w:line="276" w:lineRule="auto"/>
        <w:ind w:right="592.5"/>
        <w:jc w:val="both"/>
        <w:rPr/>
      </w:pPr>
      <w:r w:rsidDel="00000000" w:rsidR="00000000" w:rsidRPr="00000000">
        <w:rPr>
          <w:rtl w:val="0"/>
        </w:rPr>
        <w:t xml:space="preserve">These observations collectively underscore the existence of significant diversity in the mechanisms ensuring that no functional centriole remains within the oocyte. If irreversible differentiation inducers are linked to centrioles, then such a strict centriole elimination process likely signifies a cytogenetic reset, restoring totipotency. Furthermore, with the removal of the centriole—the only irreparable structure within the cell—its accumulated entropy is also effectively nullified.</w:t>
      </w:r>
    </w:p>
    <w:p w:rsidR="00000000" w:rsidDel="00000000" w:rsidP="00000000" w:rsidRDefault="00000000" w:rsidRPr="00000000" w14:paraId="00000030">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1">
      <w:pPr>
        <w:pStyle w:val="Heading2"/>
        <w:rPr>
          <w:color w:val="67993f"/>
        </w:rPr>
      </w:pPr>
      <w:bookmarkStart w:colFirst="0" w:colLast="0" w:name="_q4vj71wxikv6" w:id="4"/>
      <w:bookmarkEnd w:id="4"/>
      <w:r w:rsidDel="00000000" w:rsidR="00000000" w:rsidRPr="00000000">
        <w:rPr>
          <w:color w:val="67993f"/>
          <w:rtl w:val="0"/>
        </w:rPr>
        <w:t xml:space="preserve">Elimination in the Male Germ Line</w:t>
      </w:r>
    </w:p>
    <w:p w:rsidR="00000000" w:rsidDel="00000000" w:rsidP="00000000" w:rsidRDefault="00000000" w:rsidRPr="00000000" w14:paraId="00000032">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3">
      <w:pPr>
        <w:widowControl w:val="1"/>
        <w:spacing w:line="276" w:lineRule="auto"/>
        <w:ind w:right="592.5"/>
        <w:jc w:val="both"/>
        <w:rPr/>
      </w:pPr>
      <w:r w:rsidDel="00000000" w:rsidR="00000000" w:rsidRPr="00000000">
        <w:rPr>
          <w:rtl w:val="0"/>
        </w:rPr>
        <w:t xml:space="preserve">Reduction in centriole numbers, and in some cases their complete removal, can also occur during spermatogenesis. While spermatozoa often introduce two fully functional centrioles into the zygote, as seen in C. elegans, sea urchins, and sea stars (Wolf et al., 1978), this is not universally the case. For instance, in human sperm, the distal centriole, which serves as the template for the flagellar axoneme, degenerates during </w:t>
      </w:r>
    </w:p>
    <w:p w:rsidR="00000000" w:rsidDel="00000000" w:rsidP="00000000" w:rsidRDefault="00000000" w:rsidRPr="00000000" w14:paraId="00000034">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6">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7">
      <w:pPr>
        <w:widowControl w:val="1"/>
        <w:spacing w:line="276" w:lineRule="auto"/>
        <w:ind w:right="592.5"/>
        <w:jc w:val="both"/>
        <w:rPr/>
      </w:pPr>
      <w:r w:rsidDel="00000000" w:rsidR="00000000" w:rsidRPr="00000000">
        <w:rPr>
          <w:rtl w:val="0"/>
        </w:rPr>
        <w:t xml:space="preserve">spermatogenesis. This process involves the disassembly of microtubule triplets, while the centriole proximal to the nucleus remains largely intact (Avidor-Reiss et al., 2020). Some centriolar proteins, including POC1B, CETN1/2, POC5, and CPAP, persist at the site where the distal centriole once resided (Fishman et al., 2018). It has been proposed that both the proximal and residual distal structures derived from sperm continue to function in the zygote, as indicated by their ability to recruit centrosomal components in Xenopus extracts.</w:t>
      </w:r>
    </w:p>
    <w:p w:rsidR="00000000" w:rsidDel="00000000" w:rsidP="00000000" w:rsidRDefault="00000000" w:rsidRPr="00000000" w14:paraId="00000038">
      <w:pPr>
        <w:widowControl w:val="1"/>
        <w:spacing w:line="276" w:lineRule="auto"/>
        <w:ind w:right="592.5"/>
        <w:jc w:val="both"/>
        <w:rPr/>
      </w:pPr>
      <w:r w:rsidDel="00000000" w:rsidR="00000000" w:rsidRPr="00000000">
        <w:rPr>
          <w:rtl w:val="0"/>
        </w:rPr>
        <w:t xml:space="preserve">An intriguing case is observed in Drosophila, where mature sperm contain a giant centriole (GC), which serves as the axoneme template, and a degenerate proximal centriole-like structure (PCL) (Blachon et al., 2014). While the GC maintains its microtubule wall, the PCL lacks this feature (Khire et al., 2016). Moreover, numerous centriolar proteins, such as Asl, Ana1, Bld10, Ana2, Sas6, and Sas4, are lost from both centrioles by the end of spermatogenesis. In contrast, Poc1B remains in the GC and becomes enriched in the PCL. Both the GC and PCL retain functionality in the zygote, as evidenced by their ability to recruit the PCM component Asl and centriolar proteins Sas6 and Sas4, mirroring findings in human sperm. Notably, the loss of Asl from mature sperm is essential for proper sperm aster formation following fertilization (Khire et al., 2015). Interestingly, Asl must be recruited from the maternal protein pool to assemble these sperm asters. Similarly, in bovine sperm, one canonical and one degenerate centriole are introduced into the zygote, both of which attract PCM components and SAS-6 (Kai et al., 2015). Ultrastructural analysis of early bovine embryos further reveals that atypical centrioles present in the early embryo can initiate procentriole formation (Uzbekov et al., 2023). Collectively, these findings demonstrate that sperm-derived centrioles, while sometimes degenerative, can retain essential functional roles.</w:t>
      </w:r>
    </w:p>
    <w:p w:rsidR="00000000" w:rsidDel="00000000" w:rsidP="00000000" w:rsidRDefault="00000000" w:rsidRPr="00000000" w14:paraId="0000003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A">
      <w:pPr>
        <w:pStyle w:val="Heading2"/>
        <w:ind w:right="585"/>
        <w:rPr>
          <w:color w:val="67993f"/>
        </w:rPr>
      </w:pPr>
      <w:bookmarkStart w:colFirst="0" w:colLast="0" w:name="_mm06k9i97cnp" w:id="5"/>
      <w:bookmarkEnd w:id="5"/>
      <w:r w:rsidDel="00000000" w:rsidR="00000000" w:rsidRPr="00000000">
        <w:rPr>
          <w:color w:val="67993f"/>
          <w:rtl w:val="0"/>
        </w:rPr>
        <w:t xml:space="preserve">Elimination of Centrioles in Somatic Cells</w:t>
      </w:r>
    </w:p>
    <w:p w:rsidR="00000000" w:rsidDel="00000000" w:rsidP="00000000" w:rsidRDefault="00000000" w:rsidRPr="00000000" w14:paraId="0000003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C">
      <w:pPr>
        <w:widowControl w:val="1"/>
        <w:spacing w:line="276" w:lineRule="auto"/>
        <w:ind w:right="592.5"/>
        <w:jc w:val="both"/>
        <w:rPr/>
      </w:pPr>
      <w:r w:rsidDel="00000000" w:rsidR="00000000" w:rsidRPr="00000000">
        <w:rPr>
          <w:rtl w:val="0"/>
        </w:rPr>
        <w:t xml:space="preserve">Centriole elimination is by no means restricted to germ cells. Numerous instances of organelle removal have been documented in somatic cells across </w:t>
      </w:r>
    </w:p>
    <w:p w:rsidR="00000000" w:rsidDel="00000000" w:rsidP="00000000" w:rsidRDefault="00000000" w:rsidRPr="00000000" w14:paraId="0000003D">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3F">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0">
      <w:pPr>
        <w:widowControl w:val="1"/>
        <w:spacing w:line="276" w:lineRule="auto"/>
        <w:ind w:right="592.5"/>
        <w:jc w:val="both"/>
        <w:rPr/>
      </w:pPr>
      <w:r w:rsidDel="00000000" w:rsidR="00000000" w:rsidRPr="00000000">
        <w:rPr>
          <w:rtl w:val="0"/>
        </w:rPr>
        <w:t xml:space="preserve">diverse eukaryotic species. Notably, centriole removal is a hallmark of terminal differentiation in many cell types, as documented in C. elegans and Drosophila. This suggests that: (1) centrioles are necessary for irreversible differentiation during development but not for later maturation, and (2) since centrioles are inherently difficult to repair, they are eliminated once they become redundant in terminally differentiated cells. Generally, centrioles are preserved only in terminally differentiated cells that bear primary cilia, where centrioles function as basal bodies templating the axonemal structure of cilia. However, in sensory neurons of C. elegans, centrioles degenerate following axoneme assembly (Serwas et al., 2017), leaving only concentrated PCM components at the ciliary base (Magescas et al., 2021). This finding further highlights the potential hazards posed by centrioles due to entropy accumulation over time as a result of their irreparability.</w:t>
      </w:r>
    </w:p>
    <w:p w:rsidR="00000000" w:rsidDel="00000000" w:rsidP="00000000" w:rsidRDefault="00000000" w:rsidRPr="00000000" w14:paraId="0000004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2">
      <w:pPr>
        <w:pStyle w:val="Heading2"/>
        <w:rPr>
          <w:color w:val="67993f"/>
        </w:rPr>
      </w:pPr>
      <w:bookmarkStart w:colFirst="0" w:colLast="0" w:name="_ws1zd3yggalo" w:id="6"/>
      <w:bookmarkEnd w:id="6"/>
      <w:r w:rsidDel="00000000" w:rsidR="00000000" w:rsidRPr="00000000">
        <w:rPr>
          <w:color w:val="67993f"/>
          <w:rtl w:val="0"/>
        </w:rPr>
        <w:t xml:space="preserve">How Pervasive is Centriole Elimination During Development?</w:t>
      </w:r>
    </w:p>
    <w:p w:rsidR="00000000" w:rsidDel="00000000" w:rsidP="00000000" w:rsidRDefault="00000000" w:rsidRPr="00000000" w14:paraId="00000043">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4">
      <w:pPr>
        <w:widowControl w:val="1"/>
        <w:spacing w:line="276" w:lineRule="auto"/>
        <w:ind w:right="592.5"/>
        <w:jc w:val="both"/>
        <w:rPr/>
      </w:pPr>
      <w:r w:rsidDel="00000000" w:rsidR="00000000" w:rsidRPr="00000000">
        <w:rPr>
          <w:rtl w:val="0"/>
        </w:rPr>
        <w:t xml:space="preserve">This question was comprehensively addressed during C. elegans embryogenesis (Kalbfuss et al., 2023). Given that nematodes possess ciliated sensory neurons but lack motile cilia and flagella, centriole elimination could be studied without the confounding influence of cilia and flagellar template constraints. Systematic analysis in L1 larvae revealed that centrioles are eliminated in approximately 88% of cells during C. elegans embryogenesis (Kalbfuss, N., &amp; Gönczy, P., 2023). Detailed cell lineage tracing further demonstrated that centriole elimination occurs in a highly stereotypical manner, at defined developmental time points for each specific cell type.</w:t>
      </w:r>
    </w:p>
    <w:p w:rsidR="00000000" w:rsidDel="00000000" w:rsidP="00000000" w:rsidRDefault="00000000" w:rsidRPr="00000000" w14:paraId="0000004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6">
      <w:pPr>
        <w:widowControl w:val="1"/>
        <w:spacing w:line="276" w:lineRule="auto"/>
        <w:ind w:right="592.5"/>
        <w:jc w:val="both"/>
        <w:rPr/>
      </w:pPr>
      <w:r w:rsidDel="00000000" w:rsidR="00000000" w:rsidRPr="00000000">
        <w:rPr>
          <w:rtl w:val="0"/>
        </w:rPr>
        <w:t xml:space="preserve">Interestingly, centriole elimination frequently occurs in cell types that form syncytia or undergo polyploidization, such as Drosophila follicular cells, nurse cells, midgut enterocytes, secretory salivary gland cells, enterocytes, adipocytes, and intestinal cells of C. elegans. However, numerous examples demonstrate that neither polyploidization nor syncytium formation is a strictly necessary or </w:t>
      </w:r>
    </w:p>
    <w:p w:rsidR="00000000" w:rsidDel="00000000" w:rsidP="00000000" w:rsidRDefault="00000000" w:rsidRPr="00000000" w14:paraId="00000047">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8">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A">
      <w:pPr>
        <w:widowControl w:val="1"/>
        <w:spacing w:line="276" w:lineRule="auto"/>
        <w:ind w:right="592.5"/>
        <w:jc w:val="both"/>
        <w:rPr/>
      </w:pPr>
      <w:r w:rsidDel="00000000" w:rsidR="00000000" w:rsidRPr="00000000">
        <w:rPr>
          <w:rtl w:val="0"/>
        </w:rPr>
        <w:t xml:space="preserve">sufficient condition for systematic centriole elimination. For instance, some polyploid cells retain centrioles or even amplify them, as observed in polyploid giant trophoblast cells of mammals (Buss et al., 2022). Additionally, centrioles persist in certain polyploidized cells that re-enter mitosis, such as the rectal papillary cells of Drosophila. Moreover, centriole elimination also occurs in cells that do not undergo either syncytium formation or polyploidization, including most cells during C. elegans embryogenesis, as well as ommatidial and interommatidial cells in the Drosophila eye. In terminally differentiated human erythrocytes, centrioles are actively extruded from the cell.</w:t>
      </w:r>
    </w:p>
    <w:p w:rsidR="00000000" w:rsidDel="00000000" w:rsidP="00000000" w:rsidRDefault="00000000" w:rsidRPr="00000000" w14:paraId="0000004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C">
      <w:pPr>
        <w:widowControl w:val="1"/>
        <w:spacing w:line="276" w:lineRule="auto"/>
        <w:ind w:right="592.5"/>
        <w:jc w:val="both"/>
        <w:rPr/>
      </w:pPr>
      <w:r w:rsidDel="00000000" w:rsidR="00000000" w:rsidRPr="00000000">
        <w:rPr>
          <w:rtl w:val="0"/>
        </w:rPr>
        <w:t xml:space="preserve">The fact that centrioles are eliminated in a stereotypical manner in certain cell types but not in others suggests that this process is not merely a consequence of inevitable centriole degradation over time due to their irreparability but rather an actively programmed event. Merely exiting the cell cycle is insufficient to trigger organelle removal, as evidenced by numerous terminally differentiated cells that retain cilia or flagella, along with their centrioles. Furthermore, in C. elegans, some terminally differentiated cells in the adult organism maintain foci enriched in centriolar proteins, whereas others, which exited the cell cycle later, do not. These observations collectively imply that centriole elimination should be regarded as a manifestation of cell fate, a hallmark of irreversible differentiation processes. Correspondingly, in C. elegans embryos, altering the fate of a progenitor cell that typically generates cells devoid of centrioles, such as pharyngeal cells, into that of a progenitor that usually gives rise to centriole-containing cells, such as intestinal cells, results in the retention of centrioles. Similarly, preventing the transdifferentiation of a cell that normally retains centrioles into one that typically eliminates them also alters the fate of centrioles, leading to their preservation.</w:t>
      </w:r>
    </w:p>
    <w:p w:rsidR="00000000" w:rsidDel="00000000" w:rsidP="00000000" w:rsidRDefault="00000000" w:rsidRPr="00000000" w14:paraId="0000004D">
      <w:pPr>
        <w:widowControl w:val="1"/>
        <w:spacing w:line="276" w:lineRule="auto"/>
        <w:ind w:right="592.5"/>
        <w:jc w:val="both"/>
        <w:rPr/>
      </w:pPr>
      <w:r w:rsidDel="00000000" w:rsidR="00000000" w:rsidRPr="00000000">
        <w:rPr>
          <w:rtl w:val="0"/>
        </w:rPr>
        <w:t xml:space="preserve">Centriole elimination is by no means restricted to female germ cells but is widely observed in cells that lack cilia or flagella.</w:t>
      </w:r>
    </w:p>
    <w:p w:rsidR="00000000" w:rsidDel="00000000" w:rsidP="00000000" w:rsidRDefault="00000000" w:rsidRPr="00000000" w14:paraId="0000004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4F">
      <w:pPr>
        <w:pStyle w:val="Heading1"/>
        <w:keepNext w:val="1"/>
        <w:keepLines w:val="1"/>
        <w:widowControl w:val="1"/>
        <w:spacing w:after="120" w:before="400" w:line="276" w:lineRule="auto"/>
        <w:ind w:left="0" w:right="592.5"/>
        <w:jc w:val="both"/>
        <w:rPr>
          <w:b w:val="0"/>
          <w:bCs w:val="0"/>
          <w:sz w:val="40"/>
          <w:szCs w:val="40"/>
        </w:rPr>
      </w:pPr>
      <w:bookmarkStart w:colFirst="0" w:colLast="0" w:name="_m8eqxrmz509t" w:id="7"/>
      <w:bookmarkEnd w:id="7"/>
      <w:r w:rsidDel="00000000" w:rsidR="00000000" w:rsidRPr="00000000">
        <w:rPr>
          <w:rtl w:val="0"/>
        </w:rPr>
      </w:r>
    </w:p>
    <w:p w:rsidR="00000000" w:rsidDel="00000000" w:rsidP="00000000" w:rsidRDefault="00000000" w:rsidRPr="00000000" w14:paraId="00000050">
      <w:pPr>
        <w:pStyle w:val="Heading1"/>
        <w:ind w:right="585"/>
        <w:rPr/>
      </w:pPr>
      <w:bookmarkStart w:colFirst="0" w:colLast="0" w:name="_wp3zgs25uy9y" w:id="8"/>
      <w:bookmarkEnd w:id="8"/>
      <w:r w:rsidDel="00000000" w:rsidR="00000000" w:rsidRPr="00000000">
        <w:rPr>
          <w:rtl w:val="0"/>
        </w:rPr>
        <w:t xml:space="preserve">Possible Reasons for Centriole Elimination</w:t>
      </w:r>
    </w:p>
    <w:p w:rsidR="00000000" w:rsidDel="00000000" w:rsidP="00000000" w:rsidRDefault="00000000" w:rsidRPr="00000000" w14:paraId="0000005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2">
      <w:pPr>
        <w:widowControl w:val="1"/>
        <w:spacing w:line="276" w:lineRule="auto"/>
        <w:ind w:right="592.5"/>
        <w:jc w:val="both"/>
        <w:rPr/>
      </w:pPr>
      <w:r w:rsidDel="00000000" w:rsidR="00000000" w:rsidRPr="00000000">
        <w:rPr>
          <w:rtl w:val="0"/>
        </w:rPr>
        <w:t xml:space="preserve">In the context of oogenesis, the answer is straightforward: to ensure species continuity by resetting the cytogenetic status (restoring totipotency). Indeed, centriole elimination from the female gamete is essential in most metazoan organisms to ensure the correct number of centrioles in the zygote, thereby facilitating the assembly of a bipolar spindle (Manandhar et al., 2005). Failure to do so risks the formation of a tetrapolar spindle, leading to aberrant chromosome segregation and abortive development. This is corroborated by experiments on P. miniata, where experimentally induced retention of maternal centrioles in the zygote results in the formation of a tetrapolar spindle (Uetake et al., 2002). Similarly, in Drosophila, the retention of maternal centrioles interferes with meiotic spindle assembly, causes mitotic defects, and leads to embryonic developmental failure. Furthermore, in pathological polyspermy, such as in sea urchins, excess centrioles give rise to multipolar spindles and improper chromosome segregation (Snook et al., 2011).</w:t>
      </w:r>
    </w:p>
    <w:p w:rsidR="00000000" w:rsidDel="00000000" w:rsidP="00000000" w:rsidRDefault="00000000" w:rsidRPr="00000000" w14:paraId="00000053">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4">
      <w:pPr>
        <w:widowControl w:val="1"/>
        <w:spacing w:line="276" w:lineRule="auto"/>
        <w:ind w:right="592.5"/>
        <w:jc w:val="both"/>
        <w:rPr/>
      </w:pPr>
      <w:r w:rsidDel="00000000" w:rsidR="00000000" w:rsidRPr="00000000">
        <w:rPr>
          <w:rtl w:val="0"/>
        </w:rPr>
        <w:t xml:space="preserve">One plausible explanation is that the requirement for at least one centriole/centrosome during spermatogenesis to seed axonemal formation of the flagellum constrains the evolution of elimination mechanisms. Additionally, centriole elimination during oogenesis may function as a barrier against parthenogenesis, as demonstrated in Xenopus embryos, where injection of purified human centrosomes can lead to successful parthenogenetic development (Maller et al., 1976). The Centriolar Theory of Differentiation postulates that the primary biological rationale for centriole elimination in oocytes is the restoration of totipotency in the new organism.</w:t>
      </w:r>
    </w:p>
    <w:p w:rsidR="00000000" w:rsidDel="00000000" w:rsidP="00000000" w:rsidRDefault="00000000" w:rsidRPr="00000000" w14:paraId="0000005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6">
      <w:pPr>
        <w:widowControl w:val="1"/>
        <w:spacing w:line="276" w:lineRule="auto"/>
        <w:ind w:right="592.5"/>
        <w:jc w:val="both"/>
        <w:rPr/>
      </w:pPr>
      <w:r w:rsidDel="00000000" w:rsidR="00000000" w:rsidRPr="00000000">
        <w:rPr>
          <w:rtl w:val="0"/>
        </w:rPr>
        <w:t xml:space="preserve">Unlike in oogenesis, the biological significance of centriole elimination in terminally differentiated somatic cells remains largely unexplored, apart from the Centriolar Theory of Aging, which posits that the accumulation of old centrioles (and entropy) is a fundamental driver of organismal aging. The current </w:t>
      </w:r>
    </w:p>
    <w:p w:rsidR="00000000" w:rsidDel="00000000" w:rsidP="00000000" w:rsidRDefault="00000000" w:rsidRPr="00000000" w14:paraId="00000057">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8">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A">
      <w:pPr>
        <w:widowControl w:val="1"/>
        <w:spacing w:line="276" w:lineRule="auto"/>
        <w:ind w:right="592.5"/>
        <w:jc w:val="both"/>
        <w:rPr/>
      </w:pPr>
      <w:r w:rsidDel="00000000" w:rsidR="00000000" w:rsidRPr="00000000">
        <w:rPr>
          <w:rtl w:val="0"/>
        </w:rPr>
        <w:t xml:space="preserve">lack of understanding regarding this proposed significance is largely due to an insufficient grasp of the underlying mechanisms and, consequently, the means to artificially preserve centrioles. Therefore, we can only speculate on potential reasons why centriole elimination may be advantageous in terminally differentiated somatic cells. First, beyond entropy accumulation in old centrioles, it is possible that aging centrioles must be removed to prevent the formation of uncontrolled microtubule-organizing centers (MTOCs). This could be particularly important in differentiated cell types where non-centrosomal MTOCs operate (Sanchez, A. D., &amp; Feldman, J. L., 2017). Second, centriole elimination might help prevent inappropriate proliferation. Human cells lacking centrioles exhibit a p53-dependent G1/S arrest (Mikule et al., 2007). Thus, eliminating old centrioles could serve as an additional regulatory step to curtail unrestrained proliferation, thereby reinforcing tumor suppression. Third, centriole elimination (whether of old or young centrioles) may be required to erase information stored within the organelle, such as post-translational modifications (PTMs) of stable components. Since centrioles are conservatively inherited across cell generations, their components have the potential to transmit information over extended periods (Kochanski, R. S., &amp; Borisy, G. G., 1990). This information potential is illustrated by the behavior of stem cells in Drosophila, which invariably retain either the centrosome containing the old or young mother centriole, depending on the tissue type (Conduit, P. T., &amp; Raff, J. W., 2010). Consequently, temporal information may be encoded in centriole lineage and necessitate erasure under specific circumstances. Finally, centriole elimination may be crucial in terminally differentiating cells to prevent primary cilium formation, which could pose risks by aberrantly activating signaling pathways dependent on this structure, triggering apoptosis, and ultimately erasing cytogenetic potency information to restore totipotency.</w:t>
      </w:r>
    </w:p>
    <w:p w:rsidR="00000000" w:rsidDel="00000000" w:rsidP="00000000" w:rsidRDefault="00000000" w:rsidRPr="00000000" w14:paraId="0000005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C">
      <w:pPr>
        <w:widowControl w:val="1"/>
        <w:spacing w:line="276" w:lineRule="auto"/>
        <w:ind w:right="592.5"/>
        <w:jc w:val="both"/>
        <w:rPr/>
      </w:pPr>
      <w:r w:rsidDel="00000000" w:rsidR="00000000" w:rsidRPr="00000000">
        <w:rPr>
          <w:rtl w:val="0"/>
        </w:rPr>
        <w:t xml:space="preserve">In addition to its fundamental importance in oogenesis, future research into centriole elimination mechanisms is expected to shed light on the </w:t>
      </w:r>
    </w:p>
    <w:p w:rsidR="00000000" w:rsidDel="00000000" w:rsidP="00000000" w:rsidRDefault="00000000" w:rsidRPr="00000000" w14:paraId="0000005D">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5F">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0">
      <w:pPr>
        <w:widowControl w:val="1"/>
        <w:spacing w:line="276" w:lineRule="auto"/>
        <w:ind w:right="592.5"/>
        <w:jc w:val="both"/>
        <w:rPr/>
      </w:pPr>
      <w:r w:rsidDel="00000000" w:rsidR="00000000" w:rsidRPr="00000000">
        <w:rPr>
          <w:rtl w:val="0"/>
        </w:rPr>
        <w:t xml:space="preserve">significance of this process in specific somatic cell types.</w:t>
      </w:r>
    </w:p>
    <w:p w:rsidR="00000000" w:rsidDel="00000000" w:rsidP="00000000" w:rsidRDefault="00000000" w:rsidRPr="00000000" w14:paraId="0000006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2">
      <w:pPr>
        <w:pStyle w:val="Heading1"/>
        <w:rPr/>
      </w:pPr>
      <w:bookmarkStart w:colFirst="0" w:colLast="0" w:name="_1ta96nvv08sl" w:id="9"/>
      <w:bookmarkEnd w:id="9"/>
      <w:r w:rsidDel="00000000" w:rsidR="00000000" w:rsidRPr="00000000">
        <w:rPr>
          <w:rtl w:val="0"/>
        </w:rPr>
        <w:t xml:space="preserve">Regulation of Centriole Elimination</w:t>
      </w:r>
    </w:p>
    <w:p w:rsidR="00000000" w:rsidDel="00000000" w:rsidP="00000000" w:rsidRDefault="00000000" w:rsidRPr="00000000" w14:paraId="00000063">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4">
      <w:pPr>
        <w:widowControl w:val="1"/>
        <w:spacing w:line="276" w:lineRule="auto"/>
        <w:ind w:right="592.5"/>
        <w:jc w:val="both"/>
        <w:rPr/>
      </w:pPr>
      <w:r w:rsidDel="00000000" w:rsidR="00000000" w:rsidRPr="00000000">
        <w:rPr>
          <w:rtl w:val="0"/>
        </w:rPr>
        <w:t xml:space="preserve">Similar to the variability in the time required for centriole assembly, ranging from mere minutes in early embryos of Spisula, Drosophila, or C. elegans (Pelletier et al., 2006) to several hours in cultured human cells, significant variability appears to apply to centriole elimination as well (Kong et al., 2020). Ultrastructural analysis of centriole elimination during C. elegans oogenesis revealed that the initial structural change involves the loss of the central tube in late pachytene, which resides inside the centriole microtubule wall. By early diplotene, approximately four hours later, only remnants of centriolar microtubules remain. In Drosophila oogenesis, centriolar protein foci diminish in intensity starting at stages 9–12 and become entirely undetectable by stage 14, corresponding to roughly one day of development (He, L., Wang, X., &amp; Montell, D. J., 2011). The specific timeline of centriole elimination varies across species and cell types, underscoring its dynamic and regulated nature.</w:t>
      </w:r>
    </w:p>
    <w:p w:rsidR="00000000" w:rsidDel="00000000" w:rsidP="00000000" w:rsidRDefault="00000000" w:rsidRPr="00000000" w14:paraId="0000006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6">
      <w:pPr>
        <w:widowControl w:val="1"/>
        <w:spacing w:line="276" w:lineRule="auto"/>
        <w:ind w:right="592.5"/>
        <w:jc w:val="both"/>
        <w:rPr/>
      </w:pPr>
      <w:r w:rsidDel="00000000" w:rsidR="00000000" w:rsidRPr="00000000">
        <w:rPr>
          <w:rtl w:val="0"/>
        </w:rPr>
        <w:t xml:space="preserve">The elimination of centrioles frequently takes place in close proximity to the nucleus, but it can also occur in other regions of the cell. For instance, in C. elegans, centriole foci are positioned at a distance from the nuclear envelope during elimination because they migrate through the dendrite of the PQR cell in L1 larvae (Li et al., 2017). In this context, the centriole-associated SAS-6::GFP focus vanishes when it is approximately 5 µm away from the cell body. Furthermore, one of the two centrioles remains close to the nucleus and retains SAS-6 for a longer duration, increasing the likelihood that the elimination mechanism is more active at a distance from the nucleus or that the nucleus plays a protective role. Similarly, in the worm embryo, centriole elimination in ciliated neurons begins when these cells initiate retrograde migration, during which the nucleus moves away from the centrioles that remain at the tip of the dendrite. However, it remains possible that in the </w:t>
      </w:r>
    </w:p>
    <w:p w:rsidR="00000000" w:rsidDel="00000000" w:rsidP="00000000" w:rsidRDefault="00000000" w:rsidRPr="00000000" w14:paraId="00000067">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8">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A">
      <w:pPr>
        <w:widowControl w:val="1"/>
        <w:spacing w:line="276" w:lineRule="auto"/>
        <w:ind w:right="592.5"/>
        <w:jc w:val="both"/>
        <w:rPr/>
      </w:pPr>
      <w:r w:rsidDel="00000000" w:rsidR="00000000" w:rsidRPr="00000000">
        <w:rPr>
          <w:rtl w:val="0"/>
        </w:rPr>
        <w:t xml:space="preserve">aforementioned cases, centriole elimination is also initiated when the centrioles are still near the nucleus, but the monitoring of only certain centriole proteins fails to reveal this event. In line with the idea that centrioles undergo restructuring prior to their migration, SAS-4 cannot be detected on the centrioles of the PQR neuron even when it is still located near the nucleus. Collectively, these observations indicate that the subcellular positioning of eliminated centrioles may vary depending on the physiological context. Nevertheless, a high-resolution ultrastructural analysis is required to more precisely determine the location within the cell where organelle elimination begins.</w:t>
      </w:r>
    </w:p>
    <w:p w:rsidR="00000000" w:rsidDel="00000000" w:rsidP="00000000" w:rsidRDefault="00000000" w:rsidRPr="00000000" w14:paraId="0000006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C">
      <w:pPr>
        <w:pStyle w:val="Heading2"/>
        <w:rPr>
          <w:color w:val="67993f"/>
        </w:rPr>
      </w:pPr>
      <w:bookmarkStart w:colFirst="0" w:colLast="0" w:name="_c3wz7epr7zyy" w:id="10"/>
      <w:bookmarkEnd w:id="10"/>
      <w:r w:rsidDel="00000000" w:rsidR="00000000" w:rsidRPr="00000000">
        <w:rPr>
          <w:color w:val="67993f"/>
          <w:rtl w:val="0"/>
        </w:rPr>
        <w:t xml:space="preserve">Selectivity</w:t>
      </w:r>
    </w:p>
    <w:p w:rsidR="00000000" w:rsidDel="00000000" w:rsidP="00000000" w:rsidRDefault="00000000" w:rsidRPr="00000000" w14:paraId="0000006D">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6E">
      <w:pPr>
        <w:widowControl w:val="1"/>
        <w:spacing w:line="276" w:lineRule="auto"/>
        <w:ind w:right="592.5"/>
        <w:jc w:val="both"/>
        <w:rPr/>
      </w:pPr>
      <w:r w:rsidDel="00000000" w:rsidR="00000000" w:rsidRPr="00000000">
        <w:rPr>
          <w:rtl w:val="0"/>
        </w:rPr>
        <w:t xml:space="preserve">Female germ cells, such as those in C. elegans, contain two pairs of centrioles/procentrioles following the meiotic S-phase, all of which are subsequently eliminated (Mikeladze-Dvali et al., 2012). Interestingly, the oocyte in Drosophila inherits a significantly greater number of centrioles than just four from the 15 interconnected nurse cells and somehow manages to eliminate all of them. Consequently, centriole elimination in worms and flies appears to target both centrioles and procentrioles and governs more than four organelles in flies. In contrast, the elimination mechanism in starfish is specifically selective for daughter centrioles. Indeed, experimental retention of maternal centrioles in the cytoplasm by preventing polar body extrusion leads to their persistence in P. miniata. Under these experimental conditions, the maternal centrioles maintain PCM and MTOC activity, whereas both daughter centrioles are eliminated. Therefore, in this case, centriole removal specifically targets daughter centrioles. Moreover, these findings suggest that the elimination mechanism can act on not just a single daughter centriole, as typically expected, but on at least two. A comparable selectivity is observed in another starfish species, A. forbesi, except that in this case, the experimentally retained maternal centrioles, while persisting, lose their MTOC activity. Overall, these observations suggest that, depending on the </w:t>
      </w:r>
    </w:p>
    <w:p w:rsidR="00000000" w:rsidDel="00000000" w:rsidP="00000000" w:rsidRDefault="00000000" w:rsidRPr="00000000" w14:paraId="0000006F">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0">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2">
      <w:pPr>
        <w:widowControl w:val="1"/>
        <w:spacing w:line="276" w:lineRule="auto"/>
        <w:ind w:right="592.5"/>
        <w:jc w:val="both"/>
        <w:rPr/>
      </w:pPr>
      <w:r w:rsidDel="00000000" w:rsidR="00000000" w:rsidRPr="00000000">
        <w:rPr>
          <w:rtl w:val="0"/>
        </w:rPr>
        <w:t xml:space="preserve">cellular context, centriole elimination can either affect all present centrioles or selectively target a subset of them.</w:t>
      </w:r>
    </w:p>
    <w:p w:rsidR="00000000" w:rsidDel="00000000" w:rsidP="00000000" w:rsidRDefault="00000000" w:rsidRPr="00000000" w14:paraId="00000073">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4">
      <w:pPr>
        <w:pStyle w:val="Heading2"/>
        <w:rPr>
          <w:color w:val="67993f"/>
        </w:rPr>
      </w:pPr>
      <w:bookmarkStart w:colFirst="0" w:colLast="0" w:name="_w78u7bx0l53k" w:id="11"/>
      <w:bookmarkEnd w:id="11"/>
      <w:r w:rsidDel="00000000" w:rsidR="00000000" w:rsidRPr="00000000">
        <w:rPr>
          <w:color w:val="67993f"/>
          <w:rtl w:val="0"/>
        </w:rPr>
        <w:t xml:space="preserve">Elimination in Polyspermy</w:t>
      </w:r>
    </w:p>
    <w:p w:rsidR="00000000" w:rsidDel="00000000" w:rsidP="00000000" w:rsidRDefault="00000000" w:rsidRPr="00000000" w14:paraId="0000007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6">
      <w:pPr>
        <w:widowControl w:val="1"/>
        <w:spacing w:line="276" w:lineRule="auto"/>
        <w:ind w:right="592.5"/>
        <w:jc w:val="both"/>
        <w:rPr/>
      </w:pPr>
      <w:r w:rsidDel="00000000" w:rsidR="00000000" w:rsidRPr="00000000">
        <w:rPr>
          <w:rtl w:val="0"/>
        </w:rPr>
        <w:t xml:space="preserve">In echinoderms and other species where centrioles are eliminated during and after meiotic divisions, sperm-derived centrioles exist in the same cytoplasmic environment as the daughter centriole derived from the oocyte, which is about to be eliminated. This raises the question of how sperm-derived centrioles evade elimination in the newly fertilized embryo. Conceptually, either the elimination mechanism acts locally, or paternal and maternal centrioles are somehow distinct, ensuring that the elimination process exclusively targets the organelle originating from the female gamete.</w:t>
      </w:r>
    </w:p>
    <w:p w:rsidR="00000000" w:rsidDel="00000000" w:rsidP="00000000" w:rsidRDefault="00000000" w:rsidRPr="00000000" w14:paraId="00000077">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8">
      <w:pPr>
        <w:widowControl w:val="1"/>
        <w:spacing w:line="276" w:lineRule="auto"/>
        <w:ind w:right="592.5"/>
        <w:jc w:val="both"/>
        <w:rPr/>
      </w:pPr>
      <w:r w:rsidDel="00000000" w:rsidR="00000000" w:rsidRPr="00000000">
        <w:rPr>
          <w:rtl w:val="0"/>
        </w:rPr>
        <w:t xml:space="preserve">The selectivity of centriole elimination becomes even more evident during physiological polyspermy, where multiple sperm fertilizations are required for successful embryogenesis (Iwao et al., 2020). In the newt Cynops pyrrhogaster and the ctenophore Beroe ovata, multiple sperm enter the oocyte, yet only two large microtubule asters form, presumably around two sperm-derived centrioles. Consequently, the remaining centrioles must be either eliminated or inactivated (Carré, D., &amp; Sardet, C., 1984). It is likely that mechanisms leading to the removal of supernumerary sperm nuclei, termed accessory nuclei, also contribute to the elimination of their accompanying centrioles. In B. ovata, the female pronucleus migrates toward multiple sperm-derived nuclei, probing them before fusing with only one, while the others subsequently degenerate (Rouvière et al., 1994). It has been proposed that failure to enter mitosis leads to the degeneration of accessory nuclei since the injection of metaphase-promoting factor (MPF) from unfertilized Xenopus eggs into fertilized Cynops eggs results in the persistence of accessory nuclei and multipolar divisions, also indicating the presence of centrioles (Iwao, Y., &amp; Elinson, R. P., 1990). Typically, accessory nuclei are highly ubiquitinated and enriched with autophagosome markers (LC3) and autolysosome markers (LAMP1), in contrast to the zygotic nucleus, </w:t>
      </w:r>
    </w:p>
    <w:p w:rsidR="00000000" w:rsidDel="00000000" w:rsidP="00000000" w:rsidRDefault="00000000" w:rsidRPr="00000000" w14:paraId="0000007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A">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C">
      <w:pPr>
        <w:widowControl w:val="1"/>
        <w:spacing w:line="276" w:lineRule="auto"/>
        <w:ind w:right="592.5"/>
        <w:jc w:val="both"/>
        <w:rPr/>
      </w:pPr>
      <w:r w:rsidDel="00000000" w:rsidR="00000000" w:rsidRPr="00000000">
        <w:rPr>
          <w:rtl w:val="0"/>
        </w:rPr>
        <w:t xml:space="preserve">suggesting that autophagy plays a role in the elimination of accessory nuclei. More broadly, it is possible that autophagy also participates in the removal of their accompanying centrioles. Additionally, ubiquitination prepares proteins for degradation via the proteasome (Nandi et al., 2006), which could also contribute to centriole elimination.</w:t>
      </w:r>
    </w:p>
    <w:p w:rsidR="00000000" w:rsidDel="00000000" w:rsidP="00000000" w:rsidRDefault="00000000" w:rsidRPr="00000000" w14:paraId="0000007D">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7E">
      <w:pPr>
        <w:widowControl w:val="1"/>
        <w:spacing w:line="276" w:lineRule="auto"/>
        <w:ind w:right="592.5"/>
        <w:jc w:val="both"/>
        <w:rPr/>
      </w:pPr>
      <w:r w:rsidDel="00000000" w:rsidR="00000000" w:rsidRPr="00000000">
        <w:rPr>
          <w:rtl w:val="0"/>
        </w:rPr>
        <w:t xml:space="preserve">It has been suggested that the selection of which aster is preserved is mediated by differences in the availability of specific proteins, particularly α-/β-/γ-tubulins. By analogy, variations in the cytoplasmic pool of centriolar proteins may be decisive in balancing centriole retention and elimination. Another hypothesis proposes that the female pronucleus may be enriched with factors necessary for aster retention, which are transported to the nearest sperm pronucleus via microtubules. By analogy, it is conceivable that the female pronucleus is also enriched with factors favoring centriole retention, which are similarly delivered to the rescued centriole pair.</w:t>
      </w:r>
    </w:p>
    <w:p w:rsidR="00000000" w:rsidDel="00000000" w:rsidP="00000000" w:rsidRDefault="00000000" w:rsidRPr="00000000" w14:paraId="0000007F">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0">
      <w:pPr>
        <w:widowControl w:val="1"/>
        <w:spacing w:line="276" w:lineRule="auto"/>
        <w:ind w:right="592.5"/>
        <w:jc w:val="both"/>
        <w:rPr/>
      </w:pPr>
      <w:r w:rsidDel="00000000" w:rsidR="00000000" w:rsidRPr="00000000">
        <w:rPr>
          <w:rtl w:val="0"/>
        </w:rPr>
        <w:t xml:space="preserve">Thus, physiological polyspermy vividly illustrates that the fate of multiple centrioles can diverge within the same cytoplasmic environment.</w:t>
      </w:r>
    </w:p>
    <w:p w:rsidR="00000000" w:rsidDel="00000000" w:rsidP="00000000" w:rsidRDefault="00000000" w:rsidRPr="00000000" w14:paraId="0000008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2">
      <w:pPr>
        <w:pStyle w:val="Heading1"/>
        <w:rPr/>
      </w:pPr>
      <w:bookmarkStart w:colFirst="0" w:colLast="0" w:name="_l645ksustgbt" w:id="12"/>
      <w:bookmarkEnd w:id="12"/>
      <w:r w:rsidDel="00000000" w:rsidR="00000000" w:rsidRPr="00000000">
        <w:rPr>
          <w:rtl w:val="0"/>
        </w:rPr>
        <w:t xml:space="preserve">Centriole Maintenance</w:t>
      </w:r>
    </w:p>
    <w:p w:rsidR="00000000" w:rsidDel="00000000" w:rsidP="00000000" w:rsidRDefault="00000000" w:rsidRPr="00000000" w14:paraId="00000083">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4">
      <w:pPr>
        <w:widowControl w:val="1"/>
        <w:spacing w:line="276" w:lineRule="auto"/>
        <w:ind w:right="592.5"/>
        <w:jc w:val="both"/>
        <w:rPr/>
      </w:pPr>
      <w:r w:rsidDel="00000000" w:rsidR="00000000" w:rsidRPr="00000000">
        <w:rPr>
          <w:rtl w:val="0"/>
        </w:rPr>
        <w:t xml:space="preserve">The very fact that centrioles can be eliminated in the first place is particularly remarkable, given the overall exceptional stability of these organelles. Unlike cytoplasmic microtubules, which are highly dynamic and depolymerize upon nocodazole or cold treatment, centriolar microtubules do not undergo dynamic instability and remain intact under conditions that dismantle cytoplasmic microtubules (Inoué, S., &amp; Sato, H., 1967). Furthermore, the axoneme of primary cilia, which is built by centrioles and also consists of ninefold microtubule structures, is dynamic and frequently disassembles during each cell cycle, whereas the centriole persists (Kasahara, K., &amp; Inagaki, M., 2021). Similarly, after fertilization, the sperm axoneme is often incorporated into the zygote and subsequently disassembled, while the centrioles remain intact (Fechter et al., 1996). Moreover, while α/β-tubulin dimers exhibit high </w:t>
      </w:r>
    </w:p>
    <w:p w:rsidR="00000000" w:rsidDel="00000000" w:rsidP="00000000" w:rsidRDefault="00000000" w:rsidRPr="00000000" w14:paraId="0000008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6">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7">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8">
      <w:pPr>
        <w:widowControl w:val="1"/>
        <w:spacing w:line="276" w:lineRule="auto"/>
        <w:ind w:right="592.5"/>
        <w:jc w:val="both"/>
        <w:rPr/>
      </w:pPr>
      <w:r w:rsidDel="00000000" w:rsidR="00000000" w:rsidRPr="00000000">
        <w:rPr>
          <w:rtl w:val="0"/>
        </w:rPr>
        <w:t xml:space="preserve">turnover in cytoplasmic microtubules (Saxton et al., 1984), they do not appear to be significantly turned over within a single cell cycle in human centrioles. Accordingly, pre-existing centrioles persist for days even after centriole formation has been blocked using the Plk4 inhibitor centrinone in p53-deficient human cells (Wong et al., 2015). These results emphasize that centrioles are essential for non-terminally differentiated cells, supporting the Centriole Differentiation Theory, which posits that centrioles are crucial for the transport and distribution of irreversible differentiation inducers until they are fully and sequentially released in the progeny.</w:t>
      </w:r>
    </w:p>
    <w:p w:rsidR="00000000" w:rsidDel="00000000" w:rsidP="00000000" w:rsidRDefault="00000000" w:rsidRPr="00000000" w14:paraId="0000008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A">
      <w:pPr>
        <w:widowControl w:val="1"/>
        <w:spacing w:line="276" w:lineRule="auto"/>
        <w:ind w:right="592.5"/>
        <w:jc w:val="both"/>
        <w:rPr/>
      </w:pPr>
      <w:r w:rsidDel="00000000" w:rsidR="00000000" w:rsidRPr="00000000">
        <w:rPr>
          <w:rtl w:val="0"/>
        </w:rPr>
        <w:t xml:space="preserve">The structural integrity of centrioles is primarily ensured by the presence of triplet and doublet microtubules, which distinguish them from the cytoplasmic microtubules that exist as single tubular polymers. Typically, cytoplasmic microtubules are composed of 13 protofilaments, forming a hollow cylindrical structure. However, in the majority of species, centriolar microtubules adopt a unique geometric arrangement by forming either triplet or doublet configurations. Each triplet consists of a single complete microtubule, known as the A-microtubule, which is composed of 13 protofilaments, along with two additional incomplete microtubules—B- and C-microtubules—each containing 10 protofilaments. In contrast, doublets consist of only the A- and B-microtubules (Guichard et al., 2013). These structural distinctions are spatially organized within the centriole, where triplet microtubules are predominantly located in the proximal region, while doublet microtubules are found in the distal part. The assembly of these specialized microtubule structures requires the presence of δ-tubulin and ε-tubulin isoforms, which have been identified as essential factors in both the unicellular green alga Chlamydomonas reinhardtii and human cells (Dutcher et al., 2002). In human cells lacking both p53 and either δ-tubulin or ε-tubulin, centrioles fail to develop their characteristic triplet microtubule structure, instead forming unstable singlet microtubules. These aberrant centrioles are prone to disintegration during mitosis, resulting in </w:t>
      </w:r>
    </w:p>
    <w:p w:rsidR="00000000" w:rsidDel="00000000" w:rsidP="00000000" w:rsidRDefault="00000000" w:rsidRPr="00000000" w14:paraId="0000008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C">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D">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8E">
      <w:pPr>
        <w:widowControl w:val="1"/>
        <w:spacing w:line="276" w:lineRule="auto"/>
        <w:ind w:right="592.5"/>
        <w:jc w:val="both"/>
        <w:rPr/>
      </w:pPr>
      <w:r w:rsidDel="00000000" w:rsidR="00000000" w:rsidRPr="00000000">
        <w:rPr>
          <w:rtl w:val="0"/>
        </w:rPr>
        <w:t xml:space="preserve">daughter cells that are initially devoid of centrioles. Subsequently, these cells undergo de novo centriole formation. The proteins TEDC1 and TEDC2 are also thought to play a role in this process, as they interact with δ-tubulin and ε-tubulin, and their deletion results in phenotypic effects similar to those observed when δ-tubulin or ε-tubulin is absent (Breslow et al., 2018). Collectively, these findings suggest that centriole elimination may be initiated through the disruption or weakening of triplet and doublet microtubule structures. However, it is important to note that centrioles in Caenorhabditis elegans are composed of singlet microtubules yet remain remarkably stable, indicating that triplet and doublet microtubules may not be a universal prerequisite for centriole stability.</w:t>
      </w:r>
    </w:p>
    <w:p w:rsidR="00000000" w:rsidDel="00000000" w:rsidP="00000000" w:rsidRDefault="00000000" w:rsidRPr="00000000" w14:paraId="0000008F">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0">
      <w:pPr>
        <w:widowControl w:val="1"/>
        <w:spacing w:line="276" w:lineRule="auto"/>
        <w:ind w:right="592.5"/>
        <w:jc w:val="both"/>
        <w:rPr/>
      </w:pPr>
      <w:r w:rsidDel="00000000" w:rsidR="00000000" w:rsidRPr="00000000">
        <w:rPr>
          <w:rtl w:val="0"/>
        </w:rPr>
        <w:t xml:space="preserve">Another potential mechanism conferring exceptional stability to centrioles involves specific stabilizing proteins. In human cells, such proteins include HsPOC1A and HsPOC1B, both of which associate with microtubules, as well as the pericentriolar material (PCM) component CAP350. Despite their apparent stabilizing function, the precise molecular mechanisms by which these proteins reinforce centriole integrity remain unclear (Le Clech, 2008). Additionally, Centrobin, a protein specifically associated with daughter centrioles, has been implicated in centriole stabilization (Zou et al., 2005). Expression of a truncated version of the tubulin-binding domain of Centrobin (Centrobin-TuBD) results in centriole loss in approximately 25% of cells. Although Centrobin is generally regarded as a component exclusive to procentrioles and daughter centrioles, it has been proposed that Centrobin-TuBD may compete with maternal centriole proteins by binding to tubulin, thereby displacing proteins essential for centriole stability (Gudi et al., 2011). Moreover, Centrobin is known to protect CPAP from proteasomal degradation, as CPAP is absent from centrioles when Centrobin is depleted, and this deficiency can be rescued by proteasome inhibition (Gudi et al., 2015).</w:t>
      </w:r>
    </w:p>
    <w:p w:rsidR="00000000" w:rsidDel="00000000" w:rsidP="00000000" w:rsidRDefault="00000000" w:rsidRPr="00000000" w14:paraId="0000009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2">
      <w:pPr>
        <w:widowControl w:val="1"/>
        <w:spacing w:line="276" w:lineRule="auto"/>
        <w:ind w:right="592.5"/>
        <w:jc w:val="both"/>
        <w:rPr/>
      </w:pPr>
      <w:r w:rsidDel="00000000" w:rsidR="00000000" w:rsidRPr="00000000">
        <w:rPr>
          <w:rtl w:val="0"/>
        </w:rPr>
        <w:t xml:space="preserve">The protein Bld10p, which serves as a vertebrate ortholog of Cep135 (Matsuura et al., 2004), has also been identified as a crucial stabilizing factor for </w:t>
      </w:r>
    </w:p>
    <w:p w:rsidR="00000000" w:rsidDel="00000000" w:rsidP="00000000" w:rsidRDefault="00000000" w:rsidRPr="00000000" w14:paraId="00000093">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4">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6">
      <w:pPr>
        <w:widowControl w:val="1"/>
        <w:spacing w:line="276" w:lineRule="auto"/>
        <w:ind w:right="592.5"/>
        <w:jc w:val="both"/>
        <w:rPr/>
      </w:pPr>
      <w:r w:rsidDel="00000000" w:rsidR="00000000" w:rsidRPr="00000000">
        <w:rPr>
          <w:rtl w:val="0"/>
        </w:rPr>
        <w:t xml:space="preserve">centrioles. In Chlamydomonas, centriole assembly is entirely dependent on the presence of Bld10p, as centrioles fail to form in its absence. Additionally, expression of an N-terminally truncated version of Bld10p results in premature loss of the cartwheel structure, suggesting that the connection between the cartwheel and triplet microtubules is unstable without full-length Bld10p. Furthermore, some triplets are entirely absent under these experimental conditions. In Tetrahymena, cells that lack Bld10p and are arrested in the G1 phase—thus preventing the formation of new procentrioles—exhibit a progressive decline in centriole numbers over time (Bayless et al., 2012). Beyond this, Bld10p plays a role in stabilizing A- and C-microtubules while ensuring the correct positioning of triplet microtubules, likely enabling them to withstand the mechanical forces generated by ciliary beating.</w:t>
      </w:r>
    </w:p>
    <w:p w:rsidR="00000000" w:rsidDel="00000000" w:rsidP="00000000" w:rsidRDefault="00000000" w:rsidRPr="00000000" w14:paraId="00000097">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8">
      <w:pPr>
        <w:widowControl w:val="1"/>
        <w:spacing w:line="276" w:lineRule="auto"/>
        <w:ind w:right="592.5"/>
        <w:jc w:val="both"/>
        <w:rPr/>
      </w:pPr>
      <w:r w:rsidDel="00000000" w:rsidR="00000000" w:rsidRPr="00000000">
        <w:rPr>
          <w:rtl w:val="0"/>
        </w:rPr>
        <w:t xml:space="preserve">It is hypothesized that altering the turnover rates of stabilizing proteins such as HsPOC1A, HsPOC1B, CAP350, or Cep135/Bld10p may prime centrioles for elimination. Proteomic analysis using pulse-SILAC in human cells has revealed a wide range of turnover rates among 145 centriolar and centrosomal proteins, with an average exchange of approximately 57% of the protein pool over a 20-hour period (Jakobsen et al., 2011). NEK2 exhibits the highest turnover rate, with approximately 96% of the centriolar protein pool being replaced within 20 hours, whereas TUBG1 has the lowest rate, exchanging only about 22% in the same time frame. HsPOC1A and HsPOC1B have turnover rates of approximately 35% and 47%, respectively, while Cep350 and Centrobin are more dynamic, with turnover rates of approximately 74% and 73%, respectively. Cep135 has an intermediate turnover rate of about 56%. The cessation of incorporation of high-turnover proteins into centrioles could serve as a rapid mechanism to initiate organelle removal. Conversely, proteins with lower turnover rates may be selectively degraded through post-translational modifications and proteasomal pathways. However, whether turnover rates actively change during centriole elimination and how these changes might be regulated remain unexplored questions.</w:t>
      </w:r>
    </w:p>
    <w:p w:rsidR="00000000" w:rsidDel="00000000" w:rsidP="00000000" w:rsidRDefault="00000000" w:rsidRPr="00000000" w14:paraId="00000099">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A">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C">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D">
      <w:pPr>
        <w:widowControl w:val="1"/>
        <w:spacing w:line="276" w:lineRule="auto"/>
        <w:ind w:right="592.5"/>
        <w:jc w:val="both"/>
        <w:rPr/>
      </w:pPr>
      <w:r w:rsidDel="00000000" w:rsidR="00000000" w:rsidRPr="00000000">
        <w:rPr>
          <w:rtl w:val="0"/>
        </w:rPr>
        <w:t xml:space="preserve">An additional key centriole stabilizer in C. elegans is SAS-1, as evidenced by the observation that centrioles derived from sperm of sas-1 mutants lose structural integrity shortly after fertilization (Gönczy et al., 1999). Similarly, if maternal SAS-1 function is absent, centrioles initially form but disassemble during embryogenesis. Recently, SAS-1 has also been implicated in centriole elimination during oogenesis, where its disappearance precedes that of other centriolar components and coincides with the loss of the central tube, in which SAS-1 is localized. Moreover, in the sas-1(t1521ts) mutant worms, both centriolar microtubule signals and SAS-4 fade more rapidly than usual, accompanied by premature centriole disintegration. It has been suggested that SAS-1, when expressed in human cells, associates with and stabilizes microtubules (von Tobel et al., 2014). SAS-1 is homologous to human C2CD3, which is essential for centriole completion and primary cilia formation in mammals and mice (Balestra et al., 2013). However, the precise molecular mechanisms by which SAS-1 and possibly C2CD3 contribute to centriole stability remain unclear.</w:t>
      </w:r>
    </w:p>
    <w:p w:rsidR="00000000" w:rsidDel="00000000" w:rsidP="00000000" w:rsidRDefault="00000000" w:rsidRPr="00000000" w14:paraId="0000009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9F">
      <w:pPr>
        <w:widowControl w:val="1"/>
        <w:spacing w:line="276" w:lineRule="auto"/>
        <w:ind w:right="592.5"/>
        <w:jc w:val="both"/>
        <w:rPr/>
      </w:pPr>
      <w:r w:rsidDel="00000000" w:rsidR="00000000" w:rsidRPr="00000000">
        <w:rPr>
          <w:rtl w:val="0"/>
        </w:rPr>
        <w:t xml:space="preserve">Finally, centriole integrity may depend on post-translational modifications (PTMs) of α- and β-tubulin. Centriolar microtubules undergo extensive PTMs, including acetylation, detyrosination, and polyglutamylation (Janke, C., &amp; Magiera, M. M., 2020). Injection of antibodies targeting polyglutamylated tubulin into human cells results in centriole elimination, suggesting that such PTMs are crucial for centriole maintenance (Bobinnec et al., 1998). However, further research is required to determine whether PTM modulation directly facilitates centriole elimination.</w:t>
      </w:r>
    </w:p>
    <w:p w:rsidR="00000000" w:rsidDel="00000000" w:rsidP="00000000" w:rsidRDefault="00000000" w:rsidRPr="00000000" w14:paraId="000000A0">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1">
      <w:pPr>
        <w:pStyle w:val="Heading1"/>
        <w:ind w:right="585"/>
        <w:rPr/>
      </w:pPr>
      <w:bookmarkStart w:colFirst="0" w:colLast="0" w:name="_suqjwea8mmo0" w:id="13"/>
      <w:bookmarkEnd w:id="13"/>
      <w:r w:rsidDel="00000000" w:rsidR="00000000" w:rsidRPr="00000000">
        <w:rPr>
          <w:rtl w:val="0"/>
        </w:rPr>
        <w:t xml:space="preserve">Factors Contributing to Destabilization</w:t>
      </w:r>
    </w:p>
    <w:p w:rsidR="00000000" w:rsidDel="00000000" w:rsidP="00000000" w:rsidRDefault="00000000" w:rsidRPr="00000000" w14:paraId="000000A2">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3">
      <w:pPr>
        <w:widowControl w:val="1"/>
        <w:spacing w:line="276" w:lineRule="auto"/>
        <w:ind w:right="592.5"/>
        <w:jc w:val="both"/>
        <w:rPr/>
      </w:pPr>
      <w:r w:rsidDel="00000000" w:rsidR="00000000" w:rsidRPr="00000000">
        <w:rPr>
          <w:rtl w:val="0"/>
        </w:rPr>
        <w:t xml:space="preserve">Given the widespread nature of centriole elimination across various species, it is quite striking that there remains a significant gap in our understanding of the fundamental mechanisms underlying this process. This lack of insight is particularly noteworthy considering the several genome-wide screens that have been conducted, </w:t>
      </w:r>
    </w:p>
    <w:p w:rsidR="00000000" w:rsidDel="00000000" w:rsidP="00000000" w:rsidRDefault="00000000" w:rsidRPr="00000000" w14:paraId="000000A4">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6">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7">
      <w:pPr>
        <w:widowControl w:val="1"/>
        <w:spacing w:line="276" w:lineRule="auto"/>
        <w:ind w:right="592.5"/>
        <w:jc w:val="both"/>
        <w:rPr/>
      </w:pPr>
      <w:r w:rsidDel="00000000" w:rsidR="00000000" w:rsidRPr="00000000">
        <w:rPr>
          <w:rtl w:val="0"/>
        </w:rPr>
        <w:t xml:space="preserve">which could have identified key components that contribute to centriole elimination (Neumann et al., 2010). Large-scale genetic and RNA interference-based screens conducted in C. elegans have played a pivotal role in identifying evolutionarily conserved centriole assembly proteins, achieved through the visualization of early embryos using time-lapse differential interference contrast (DIC) microscopy (Sönnichsen et al., 2005). However, intriguingly, these screens failed to generate the phenotype that would be expected following an unsuccessful centriole elimination during oogenesis—namely, the formation of a tetrapolar spindle at the first division. Several possible explanations could account for this shortcoming. First, despite the extensive nature of these screens, it is possible that some critical components required for centriole elimination during oogenesis were not targeted, either because these genes are small, not predicted, or are resistant to RNA interference-mediated depletion. Second, genes that act redundantly might have been missed, potentially compensating for the loss of other factors involved in the process. Third, it is possible that the prevention of centriole elimination during oogenesis could result in an earlier gonadal phenotype, thus leaving out genes that are crucial for centriole elimination in oogenesis from the embryo's analysis. Finally, there may be the possibility that centrioles introduced by the oocyte upon the inactivation of a factor responsible for centriole elimination in oogenesis may not function as microtubule-organizing centers (MTOCs), much like the last daughter centriole in a newly fertilized sea star zygote, and thus evade detection by DIC microscopy.</w:t>
      </w:r>
    </w:p>
    <w:p w:rsidR="00000000" w:rsidDel="00000000" w:rsidP="00000000" w:rsidRDefault="00000000" w:rsidRPr="00000000" w14:paraId="000000A8">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9">
      <w:pPr>
        <w:widowControl w:val="1"/>
        <w:spacing w:line="276" w:lineRule="auto"/>
        <w:ind w:right="592.5"/>
        <w:jc w:val="both"/>
        <w:rPr/>
      </w:pPr>
      <w:r w:rsidDel="00000000" w:rsidR="00000000" w:rsidRPr="00000000">
        <w:rPr>
          <w:rtl w:val="0"/>
        </w:rPr>
        <w:t xml:space="preserve">Regardless of the cause, candidate screening in C. elegans revealed that the heterochronic protein LIN-41 and the RNA helicase CGH-1 are somehow involved in determining the timing of centriole elimination during oogenesis, although disruption of these factors merely delays, rather than completely abolishes, the process (Matsuura et al., 2016). It has been suggested that CGH-1, which is involved in the localization and stabilization of mRNA (Boag et al., 2008), might target mRNA encoding a protein that </w:t>
      </w:r>
    </w:p>
    <w:p w:rsidR="00000000" w:rsidDel="00000000" w:rsidP="00000000" w:rsidRDefault="00000000" w:rsidRPr="00000000" w14:paraId="000000AA">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B">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C">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D">
      <w:pPr>
        <w:widowControl w:val="1"/>
        <w:spacing w:line="276" w:lineRule="auto"/>
        <w:ind w:right="592.5"/>
        <w:jc w:val="both"/>
        <w:rPr/>
      </w:pPr>
      <w:r w:rsidDel="00000000" w:rsidR="00000000" w:rsidRPr="00000000">
        <w:rPr>
          <w:rtl w:val="0"/>
        </w:rPr>
        <w:t xml:space="preserve">facilitates centriole elimination. Furthermore, the XX karyotype appears to be important for centriole elimination during oogenesis in C. elegans, as some oocytes in late prophase I contain centrioles in mutant males possessing female somatic gonads and germline. However, the molecular nature of the factor(s) modulated by the XX karyotype remains unresolved.</w:t>
      </w:r>
    </w:p>
    <w:p w:rsidR="00000000" w:rsidDel="00000000" w:rsidP="00000000" w:rsidRDefault="00000000" w:rsidRPr="00000000" w14:paraId="000000A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AF">
      <w:pPr>
        <w:widowControl w:val="1"/>
        <w:spacing w:line="276" w:lineRule="auto"/>
        <w:ind w:right="592.5"/>
        <w:jc w:val="both"/>
        <w:rPr/>
      </w:pPr>
      <w:r w:rsidDel="00000000" w:rsidR="00000000" w:rsidRPr="00000000">
        <w:rPr>
          <w:rtl w:val="0"/>
        </w:rPr>
        <w:t xml:space="preserve">One potential explanation could be that the priming of centriole elimination is simply a manifestation of the deactivation of mechanisms that are responsible for maintaining the centrioles, as previously described for the stabilization of certain proteins. It has been proposed that the pericentriolar material (PCM) plays a critical role in the maintenance of centrioles, such that its removal could potentially prime the process of centriole elimination. For example, in Tetrahymena, centrioles become unstable when the PCM component γ-tubulin is depleted (Shang, Y., Li, B., &amp; Gorovsky, M. A., 2002), although the additional localization of γ-tubulin at the centriole core may be more relevant in this case (Schweizer et al., 2021). Similarly, the depletion of several PCM components, including Asl, D-Plp, Spd2, Cnn, or Polo kinase, results in the loss of centrioles in cultured Drosophila cells arrested in the S-phase. Interestingly, during Drosophila oogenesis, Polo moves away from the PCM before its removal occurs, whereas the expression of a Polo fusion protein with a centriole-targeting PACT domain leads to the preservation of centriolar foci after fertilization. These foci act as microtubule-organizing centers (MTOC) and interact with the spindle, leading to abnormal meiotic divisions; most of the resulting embryos halt during the first mitotic division with scattered DNA and multiple MTOCs. However, due to the lack of electron microscopy data, it remains unclear whether these additional foci are true centrioles or simply centriolar protein aggregates serving as MTOCs. Notably, neither PCM nor the activity of the Polo-like kinase Plk1 appears to be sufficient for centriole protection in other systems. For instance, maternal centrioles in A. forbesi remain intact after being experimentally retained in the oocyte, although they do not nucleate microtubules. Moreover, pharmacological </w:t>
      </w:r>
    </w:p>
    <w:p w:rsidR="00000000" w:rsidDel="00000000" w:rsidP="00000000" w:rsidRDefault="00000000" w:rsidRPr="00000000" w14:paraId="000000B0">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1">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2">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3">
      <w:pPr>
        <w:widowControl w:val="1"/>
        <w:spacing w:line="276" w:lineRule="auto"/>
        <w:ind w:right="592.5"/>
        <w:jc w:val="both"/>
        <w:rPr/>
      </w:pPr>
      <w:r w:rsidDel="00000000" w:rsidR="00000000" w:rsidRPr="00000000">
        <w:rPr>
          <w:rtl w:val="0"/>
        </w:rPr>
        <w:t xml:space="preserve">inhibition of Plk1 does not lead to premature centriole elimination in P. miniata. Similarly, in C. elegans, centrioles are eliminated from the ciliary base despite the presence of PCM components. Additionally, PLK-1 is absent from centriolar foci in L1 larvae and the germline, except in the mitotic zone, and depletion of PLK-1, PLK-2, and PLK-3 does not result in premature elimination during oogenesis (Harper et al., 2011). Nonetheless, it would be intriguing to determine what drives the removal of Polo from centrioles in Drosophila and to explore the consequences of such removal. Ana1, which localizes to the wall of the centriole, may be particularly important in this context, acting downstream of the Polo-mediated removal process (Pimenta-Marques et al., 2024). Indeed, the depletion of Ana1 in Drosophila cells in S-phase promotes centriole loss, while the expression of Polo-PACT in cells lacking Ana1 does not result in the formation of additional centriolar foci, suggesting that Ana1 must be continuously replenished in centrioles through exchange with the cytoplasmic pool of proteins.</w:t>
      </w:r>
    </w:p>
    <w:p w:rsidR="00000000" w:rsidDel="00000000" w:rsidP="00000000" w:rsidRDefault="00000000" w:rsidRPr="00000000" w14:paraId="000000B4">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5">
      <w:pPr>
        <w:widowControl w:val="1"/>
        <w:spacing w:line="276" w:lineRule="auto"/>
        <w:ind w:right="592.5"/>
        <w:jc w:val="both"/>
        <w:rPr/>
      </w:pPr>
      <w:r w:rsidDel="00000000" w:rsidR="00000000" w:rsidRPr="00000000">
        <w:rPr>
          <w:rtl w:val="0"/>
        </w:rPr>
        <w:t xml:space="preserve">While the removal of Polo and PCM is essential for centriole elimination in Drosophila, including during oogenesis, these mechanisms do not appear to be universally employed across other systems for the initiation and execution of centriole elimination.</w:t>
      </w:r>
    </w:p>
    <w:p w:rsidR="00000000" w:rsidDel="00000000" w:rsidP="00000000" w:rsidRDefault="00000000" w:rsidRPr="00000000" w14:paraId="000000B6">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7">
      <w:pPr>
        <w:pStyle w:val="Heading1"/>
        <w:rPr/>
      </w:pPr>
      <w:bookmarkStart w:colFirst="0" w:colLast="0" w:name="_7vmm8jxbvmaz" w:id="14"/>
      <w:bookmarkEnd w:id="14"/>
      <w:r w:rsidDel="00000000" w:rsidR="00000000" w:rsidRPr="00000000">
        <w:rPr>
          <w:rtl w:val="0"/>
        </w:rPr>
        <w:t xml:space="preserve">Conclusion</w:t>
      </w:r>
    </w:p>
    <w:p w:rsidR="00000000" w:rsidDel="00000000" w:rsidP="00000000" w:rsidRDefault="00000000" w:rsidRPr="00000000" w14:paraId="000000B8">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9">
      <w:pPr>
        <w:widowControl w:val="1"/>
        <w:spacing w:line="276" w:lineRule="auto"/>
        <w:ind w:right="592.5"/>
        <w:jc w:val="both"/>
        <w:rPr/>
      </w:pPr>
      <w:r w:rsidDel="00000000" w:rsidR="00000000" w:rsidRPr="00000000">
        <w:rPr>
          <w:rtl w:val="0"/>
        </w:rPr>
        <w:t xml:space="preserve">In most cases, the fundamental mechanisms governing centriole elimination remain poorly understood; however, there is already a broad understanding of when and where centrioles are eliminated, and an increasing array of tools are available to further address this issue.</w:t>
      </w:r>
    </w:p>
    <w:p w:rsidR="00000000" w:rsidDel="00000000" w:rsidP="00000000" w:rsidRDefault="00000000" w:rsidRPr="00000000" w14:paraId="000000BA">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B">
      <w:pPr>
        <w:widowControl w:val="1"/>
        <w:spacing w:line="276" w:lineRule="auto"/>
        <w:ind w:right="592.5"/>
        <w:jc w:val="both"/>
        <w:rPr/>
      </w:pPr>
      <w:r w:rsidDel="00000000" w:rsidR="00000000" w:rsidRPr="00000000">
        <w:rPr>
          <w:rtl w:val="0"/>
        </w:rPr>
        <w:t xml:space="preserve">To shed more light on the mechanisms controlling centriole elimination, screenings specifically designed for this process will be valuable. Genome-wide mutant screenings, RNA interference, or CRISPR/Cas9-based approaches aimed at identifying conditions with delayed or accelerated centriole elimination, not only during oogenesis but also in somatic cells, will likely uncover new </w:t>
      </w:r>
    </w:p>
    <w:p w:rsidR="00000000" w:rsidDel="00000000" w:rsidP="00000000" w:rsidRDefault="00000000" w:rsidRPr="00000000" w14:paraId="000000BC">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D">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E">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BF">
      <w:pPr>
        <w:widowControl w:val="1"/>
        <w:spacing w:line="276" w:lineRule="auto"/>
        <w:ind w:right="592.5"/>
        <w:jc w:val="both"/>
        <w:rPr/>
      </w:pPr>
      <w:r w:rsidDel="00000000" w:rsidR="00000000" w:rsidRPr="00000000">
        <w:rPr>
          <w:rtl w:val="0"/>
        </w:rPr>
        <w:t xml:space="preserve">important candidates. Given that the architecture and assembly mechanisms of centrioles are widely conserved among species, and considering that their elimination is common across the eukaryotic branch of the tree of life, it is highly probable that insights into common mechanisms can be derived from advancements in various systems. In this regard, new model organisms may be especially useful. One such system that could prove particularly insightful is Naegleria gruberi, which can rapidly transform from an amoeboid form without centrioles to a flagellate form with two centrioles. While Naegleria has been used to study de novo centriole formation during this transformation (Fritz-Laylin, L. K., &amp; Fulton, C., 2016), it could also serve as a model for studying centriole elimination during the transition from flagellates to amoeboid forms. Additionally, valuable insights could be gained from other biological systems, such as the neoblasts of planarians and their non-dividing centriolar cells.</w:t>
      </w:r>
    </w:p>
    <w:p w:rsidR="00000000" w:rsidDel="00000000" w:rsidP="00000000" w:rsidRDefault="00000000" w:rsidRPr="00000000" w14:paraId="000000C0">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C1">
      <w:pPr>
        <w:widowControl w:val="1"/>
        <w:spacing w:line="276" w:lineRule="auto"/>
        <w:ind w:right="592.5"/>
        <w:jc w:val="both"/>
        <w:rPr/>
      </w:pPr>
      <w:r w:rsidDel="00000000" w:rsidR="00000000" w:rsidRPr="00000000">
        <w:rPr>
          <w:rtl w:val="0"/>
        </w:rPr>
        <w:t xml:space="preserve">There is compelling evidence suggesting that centriole elimination is widespread and is directed by differentiation and cell fate. A process of similar scope and regulation is programmed cell death, or apoptosis (Nössing, C., &amp; Ryan, K. M., 2023). Just as apoptosis has been found to be critical in numerous physiological conditions, including development, self-repair, homeostasis, and immune function, centriole elimination may play a role in more processes than initially anticipated in the pioneering work of Boveri. Decades of research into the mechanisms governing apoptosis have revealed complex pathways that can be finely regulated in a manner appropriate for each physiological context.</w:t>
      </w:r>
    </w:p>
    <w:p w:rsidR="00000000" w:rsidDel="00000000" w:rsidP="00000000" w:rsidRDefault="00000000" w:rsidRPr="00000000" w14:paraId="000000C2">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C3">
      <w:pPr>
        <w:widowControl w:val="1"/>
        <w:spacing w:line="276" w:lineRule="auto"/>
        <w:ind w:right="592.5"/>
        <w:jc w:val="both"/>
        <w:rPr/>
      </w:pPr>
      <w:r w:rsidDel="00000000" w:rsidR="00000000" w:rsidRPr="00000000">
        <w:rPr>
          <w:rtl w:val="0"/>
        </w:rPr>
        <w:t xml:space="preserve">Just as dysregulated apoptosis can contribute to a range of pathological conditions (Bedoui et al., 2020), improper centriole elimination may have significant implications for disease. For example, premature centriole elimination may result in the cessation of embryo development, or in the case of an adult organism, impair self-repair or contribute to progeria. It will also be of great interest to investigate whether defective mechanisms of centriole elimination contribute to tumorigenesis. Experimentally induced centriole amplification is </w:t>
      </w:r>
    </w:p>
    <w:p w:rsidR="00000000" w:rsidDel="00000000" w:rsidP="00000000" w:rsidRDefault="00000000" w:rsidRPr="00000000" w14:paraId="000000C4">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C5">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C6">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C7">
      <w:pPr>
        <w:widowControl w:val="1"/>
        <w:spacing w:line="276" w:lineRule="auto"/>
        <w:ind w:right="592.5"/>
        <w:jc w:val="both"/>
        <w:rPr/>
      </w:pPr>
      <w:r w:rsidDel="00000000" w:rsidR="00000000" w:rsidRPr="00000000">
        <w:rPr>
          <w:rtl w:val="0"/>
        </w:rPr>
        <w:t xml:space="preserve">sufficient to trigger aneuploidy and subsequent tumor formation (Levine et al., 2017). It seems reasonable to hypothesize that a reduction in centriole number could also influence tumorigenesis. Mitotic errors, including lagging chromatids, micronuclei, aneuploidy, and polyploidy, are common in proliferating cells that lack centrioles and p53 (Lambrus et al., 2015). Furthermore, it has been suggested that cells lacking centrioles may induce genomic instability during the early stages of prostate cancer (Wang et al., 2020).</w:t>
      </w:r>
    </w:p>
    <w:p w:rsidR="00000000" w:rsidDel="00000000" w:rsidP="00000000" w:rsidRDefault="00000000" w:rsidRPr="00000000" w14:paraId="000000C8">
      <w:pPr>
        <w:widowControl w:val="1"/>
        <w:spacing w:line="276" w:lineRule="auto"/>
        <w:ind w:right="592.5"/>
        <w:jc w:val="both"/>
        <w:rPr/>
      </w:pPr>
      <w:r w:rsidDel="00000000" w:rsidR="00000000" w:rsidRPr="00000000">
        <w:rPr>
          <w:rtl w:val="0"/>
        </w:rPr>
      </w:r>
    </w:p>
    <w:p w:rsidR="00000000" w:rsidDel="00000000" w:rsidP="00000000" w:rsidRDefault="00000000" w:rsidRPr="00000000" w14:paraId="000000C9">
      <w:pPr>
        <w:pStyle w:val="Heading1"/>
        <w:rPr/>
      </w:pPr>
      <w:bookmarkStart w:colFirst="0" w:colLast="0" w:name="_11r8kx9phm4d" w:id="15"/>
      <w:bookmarkEnd w:id="15"/>
      <w:r w:rsidDel="00000000" w:rsidR="00000000" w:rsidRPr="00000000">
        <w:rPr>
          <w:rtl w:val="0"/>
        </w:rPr>
        <w:t xml:space="preserve">References:</w:t>
      </w:r>
    </w:p>
    <w:p w:rsidR="00000000" w:rsidDel="00000000" w:rsidP="00000000" w:rsidRDefault="00000000" w:rsidRPr="00000000" w14:paraId="000000CA">
      <w:pPr>
        <w:widowControl w:val="1"/>
        <w:numPr>
          <w:ilvl w:val="0"/>
          <w:numId w:val="1"/>
        </w:numPr>
        <w:spacing w:line="276" w:lineRule="auto"/>
        <w:ind w:left="720" w:right="592.5" w:hanging="360"/>
        <w:jc w:val="both"/>
        <w:rPr/>
      </w:pPr>
      <w:r w:rsidDel="00000000" w:rsidR="00000000" w:rsidRPr="00000000">
        <w:rPr>
          <w:rtl w:val="0"/>
        </w:rPr>
        <w:t xml:space="preserve">Avidor-Reiss, T., Carr, A., &amp; Fishman, E. L. (2020). The sperm centrioles. Molecular and cellular endocrinology, 518, 110987. </w:t>
      </w:r>
      <w:hyperlink r:id="rId14">
        <w:r w:rsidDel="00000000" w:rsidR="00000000" w:rsidRPr="00000000">
          <w:rPr>
            <w:color w:val="1155cc"/>
            <w:u w:val="single"/>
            <w:rtl w:val="0"/>
          </w:rPr>
          <w:t xml:space="preserve">https://doi.org/10.1016/j.mce.2020.110987</w:t>
        </w:r>
      </w:hyperlink>
      <w:r w:rsidDel="00000000" w:rsidR="00000000" w:rsidRPr="00000000">
        <w:rPr>
          <w:rtl w:val="0"/>
        </w:rPr>
      </w:r>
    </w:p>
    <w:p w:rsidR="00000000" w:rsidDel="00000000" w:rsidP="00000000" w:rsidRDefault="00000000" w:rsidRPr="00000000" w14:paraId="000000CB">
      <w:pPr>
        <w:widowControl w:val="1"/>
        <w:numPr>
          <w:ilvl w:val="0"/>
          <w:numId w:val="1"/>
        </w:numPr>
        <w:spacing w:line="276" w:lineRule="auto"/>
        <w:ind w:left="720" w:right="592.5" w:hanging="360"/>
        <w:jc w:val="both"/>
        <w:rPr/>
      </w:pPr>
      <w:r w:rsidDel="00000000" w:rsidR="00000000" w:rsidRPr="00000000">
        <w:rPr>
          <w:rtl w:val="0"/>
        </w:rPr>
        <w:t xml:space="preserve">Azimzadeh J. (2014). Exploring the evolutionary history of centrosomes. Philosophical transactions of the Royal Society of London. Series B, Biological sciences, 369(1650), 20130453. </w:t>
      </w:r>
      <w:hyperlink r:id="rId15">
        <w:r w:rsidDel="00000000" w:rsidR="00000000" w:rsidRPr="00000000">
          <w:rPr>
            <w:color w:val="1155cc"/>
            <w:u w:val="single"/>
            <w:rtl w:val="0"/>
          </w:rPr>
          <w:t xml:space="preserve">https://doi.org/10.1098/rstb.2013.0453</w:t>
        </w:r>
      </w:hyperlink>
      <w:r w:rsidDel="00000000" w:rsidR="00000000" w:rsidRPr="00000000">
        <w:rPr>
          <w:rtl w:val="0"/>
        </w:rPr>
      </w:r>
    </w:p>
    <w:p w:rsidR="00000000" w:rsidDel="00000000" w:rsidP="00000000" w:rsidRDefault="00000000" w:rsidRPr="00000000" w14:paraId="000000CC">
      <w:pPr>
        <w:widowControl w:val="1"/>
        <w:numPr>
          <w:ilvl w:val="0"/>
          <w:numId w:val="1"/>
        </w:numPr>
        <w:spacing w:line="276" w:lineRule="auto"/>
        <w:ind w:left="720" w:right="592.5" w:hanging="360"/>
        <w:jc w:val="both"/>
        <w:rPr/>
      </w:pPr>
      <w:r w:rsidDel="00000000" w:rsidR="00000000" w:rsidRPr="00000000">
        <w:rPr>
          <w:rtl w:val="0"/>
        </w:rPr>
        <w:t xml:space="preserve">Balestra, F. R., Domínguez-Calvo, A., Wolf, B., Busso, C., Buff, A., Averink, T., Lipsanen-Nyman, M., Huertas, P., Ríos, R. M., &amp; Gönczy, P. (2021). TRIM37 prevents formation of centriolar protein assemblies by regulating Centrobin. eLife, 10, e62640. </w:t>
      </w:r>
      <w:hyperlink r:id="rId16">
        <w:r w:rsidDel="00000000" w:rsidR="00000000" w:rsidRPr="00000000">
          <w:rPr>
            <w:color w:val="1155cc"/>
            <w:u w:val="single"/>
            <w:rtl w:val="0"/>
          </w:rPr>
          <w:t xml:space="preserve">https://doi.org/10.7554/eLife.62640</w:t>
        </w:r>
      </w:hyperlink>
      <w:r w:rsidDel="00000000" w:rsidR="00000000" w:rsidRPr="00000000">
        <w:rPr>
          <w:rtl w:val="0"/>
        </w:rPr>
      </w:r>
    </w:p>
    <w:p w:rsidR="00000000" w:rsidDel="00000000" w:rsidP="00000000" w:rsidRDefault="00000000" w:rsidRPr="00000000" w14:paraId="000000CD">
      <w:pPr>
        <w:widowControl w:val="1"/>
        <w:numPr>
          <w:ilvl w:val="0"/>
          <w:numId w:val="1"/>
        </w:numPr>
        <w:spacing w:line="276" w:lineRule="auto"/>
        <w:ind w:left="720" w:right="592.5" w:hanging="360"/>
        <w:jc w:val="both"/>
        <w:rPr/>
      </w:pPr>
      <w:r w:rsidDel="00000000" w:rsidR="00000000" w:rsidRPr="00000000">
        <w:rPr>
          <w:rtl w:val="0"/>
        </w:rPr>
        <w:t xml:space="preserve">Balestra, F. R., Strnad, P., Flückiger, I., &amp; Gönczy, P. (2013). Discovering regulators of centriole biogenesis through siRNA-based functional genomics in human cells. Developmental cell, 25(6), 555–571. </w:t>
      </w:r>
      <w:hyperlink r:id="rId17">
        <w:r w:rsidDel="00000000" w:rsidR="00000000" w:rsidRPr="00000000">
          <w:rPr>
            <w:color w:val="1155cc"/>
            <w:u w:val="single"/>
            <w:rtl w:val="0"/>
          </w:rPr>
          <w:t xml:space="preserve">https://doi.org/10.1016/j.devcel.2013.05.016</w:t>
        </w:r>
      </w:hyperlink>
      <w:r w:rsidDel="00000000" w:rsidR="00000000" w:rsidRPr="00000000">
        <w:rPr>
          <w:rtl w:val="0"/>
        </w:rPr>
      </w:r>
    </w:p>
    <w:p w:rsidR="00000000" w:rsidDel="00000000" w:rsidP="00000000" w:rsidRDefault="00000000" w:rsidRPr="00000000" w14:paraId="000000CE">
      <w:pPr>
        <w:widowControl w:val="1"/>
        <w:numPr>
          <w:ilvl w:val="0"/>
          <w:numId w:val="1"/>
        </w:numPr>
        <w:spacing w:line="276" w:lineRule="auto"/>
        <w:ind w:left="720" w:right="592.5" w:hanging="360"/>
        <w:jc w:val="both"/>
        <w:rPr/>
      </w:pPr>
      <w:r w:rsidDel="00000000" w:rsidR="00000000" w:rsidRPr="00000000">
        <w:rPr>
          <w:rtl w:val="0"/>
        </w:rPr>
        <w:t xml:space="preserve">Balestra, F. R., von Tobel, L., &amp; Gönczy, P. (2015). Paternally contributed centrioles exhibit exceptional persistence in C. elegans embryos. Cell research, 25(5), 642–644. </w:t>
      </w:r>
      <w:hyperlink r:id="rId18">
        <w:r w:rsidDel="00000000" w:rsidR="00000000" w:rsidRPr="00000000">
          <w:rPr>
            <w:color w:val="1155cc"/>
            <w:u w:val="single"/>
            <w:rtl w:val="0"/>
          </w:rPr>
          <w:t xml:space="preserve">https://doi.org/10.1038/cr.2015.49</w:t>
        </w:r>
      </w:hyperlink>
      <w:r w:rsidDel="00000000" w:rsidR="00000000" w:rsidRPr="00000000">
        <w:rPr>
          <w:rtl w:val="0"/>
        </w:rPr>
      </w:r>
    </w:p>
    <w:p w:rsidR="00000000" w:rsidDel="00000000" w:rsidP="00000000" w:rsidRDefault="00000000" w:rsidRPr="00000000" w14:paraId="000000CF">
      <w:pPr>
        <w:widowControl w:val="1"/>
        <w:numPr>
          <w:ilvl w:val="0"/>
          <w:numId w:val="1"/>
        </w:numPr>
        <w:spacing w:line="276" w:lineRule="auto"/>
        <w:ind w:left="720" w:right="592.5" w:hanging="360"/>
        <w:jc w:val="both"/>
        <w:rPr/>
      </w:pPr>
      <w:r w:rsidDel="00000000" w:rsidR="00000000" w:rsidRPr="00000000">
        <w:rPr>
          <w:rtl w:val="0"/>
        </w:rPr>
        <w:t xml:space="preserve">Bayless, B. A., Giddings, T. H., Jr, Winey, M., &amp; Pearson, C. G. (2012). Bld10/Cep135 stabilizes basal bodies to resist cilia-generated forces. Molecular biology of </w:t>
      </w:r>
    </w:p>
    <w:p w:rsidR="00000000" w:rsidDel="00000000" w:rsidP="00000000" w:rsidRDefault="00000000" w:rsidRPr="00000000" w14:paraId="000000D0">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D1">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D2">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D3">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D4">
      <w:pPr>
        <w:widowControl w:val="1"/>
        <w:spacing w:line="276" w:lineRule="auto"/>
        <w:ind w:left="720" w:right="592.5" w:firstLine="0"/>
        <w:jc w:val="both"/>
        <w:rPr/>
      </w:pPr>
      <w:r w:rsidDel="00000000" w:rsidR="00000000" w:rsidRPr="00000000">
        <w:rPr>
          <w:rtl w:val="0"/>
        </w:rPr>
        <w:t xml:space="preserve">the cell, 23(24), 4820–4832. </w:t>
      </w:r>
      <w:hyperlink r:id="rId19">
        <w:r w:rsidDel="00000000" w:rsidR="00000000" w:rsidRPr="00000000">
          <w:rPr>
            <w:color w:val="1155cc"/>
            <w:u w:val="single"/>
            <w:rtl w:val="0"/>
          </w:rPr>
          <w:t xml:space="preserve">https://doi.org/10.1091/mbc.E12-08-0577</w:t>
        </w:r>
      </w:hyperlink>
      <w:r w:rsidDel="00000000" w:rsidR="00000000" w:rsidRPr="00000000">
        <w:rPr>
          <w:rtl w:val="0"/>
        </w:rPr>
      </w:r>
    </w:p>
    <w:p w:rsidR="00000000" w:rsidDel="00000000" w:rsidP="00000000" w:rsidRDefault="00000000" w:rsidRPr="00000000" w14:paraId="000000D5">
      <w:pPr>
        <w:widowControl w:val="1"/>
        <w:numPr>
          <w:ilvl w:val="0"/>
          <w:numId w:val="1"/>
        </w:numPr>
        <w:spacing w:line="276" w:lineRule="auto"/>
        <w:ind w:left="720" w:right="592.5" w:hanging="360"/>
        <w:jc w:val="both"/>
        <w:rPr/>
      </w:pPr>
      <w:r w:rsidDel="00000000" w:rsidR="00000000" w:rsidRPr="00000000">
        <w:rPr>
          <w:rtl w:val="0"/>
        </w:rPr>
        <w:t xml:space="preserve">Becalska, A. N., &amp; Gavis, E. R. (2009). Lighting up mRNA localization in Drosophila oogenesis. Development (Cambridge, England), 136(15), 2493–2503. </w:t>
      </w:r>
      <w:hyperlink r:id="rId20">
        <w:r w:rsidDel="00000000" w:rsidR="00000000" w:rsidRPr="00000000">
          <w:rPr>
            <w:color w:val="1155cc"/>
            <w:u w:val="single"/>
            <w:rtl w:val="0"/>
          </w:rPr>
          <w:t xml:space="preserve">https://doi.org/10.1242/dev.032391</w:t>
        </w:r>
      </w:hyperlink>
      <w:r w:rsidDel="00000000" w:rsidR="00000000" w:rsidRPr="00000000">
        <w:rPr>
          <w:rtl w:val="0"/>
        </w:rPr>
      </w:r>
    </w:p>
    <w:p w:rsidR="00000000" w:rsidDel="00000000" w:rsidP="00000000" w:rsidRDefault="00000000" w:rsidRPr="00000000" w14:paraId="000000D6">
      <w:pPr>
        <w:widowControl w:val="1"/>
        <w:numPr>
          <w:ilvl w:val="0"/>
          <w:numId w:val="1"/>
        </w:numPr>
        <w:spacing w:line="276" w:lineRule="auto"/>
        <w:ind w:left="720" w:right="592.5" w:hanging="360"/>
        <w:jc w:val="both"/>
        <w:rPr/>
      </w:pPr>
      <w:r w:rsidDel="00000000" w:rsidR="00000000" w:rsidRPr="00000000">
        <w:rPr>
          <w:rtl w:val="0"/>
        </w:rPr>
        <w:t xml:space="preserve">Bedoui, S., Herold, M. J., &amp; Strasser, A. (2020). Emerging connectivity of programmed cell death pathways and its physiological implications. Nature reviews. Molecular cell biology, 21(11), 678–695. </w:t>
      </w:r>
      <w:hyperlink r:id="rId21">
        <w:r w:rsidDel="00000000" w:rsidR="00000000" w:rsidRPr="00000000">
          <w:rPr>
            <w:color w:val="1155cc"/>
            <w:u w:val="single"/>
            <w:rtl w:val="0"/>
          </w:rPr>
          <w:t xml:space="preserve">https://doi.org/10.1038/s41580-020-0270-8</w:t>
        </w:r>
      </w:hyperlink>
      <w:r w:rsidDel="00000000" w:rsidR="00000000" w:rsidRPr="00000000">
        <w:rPr>
          <w:rtl w:val="0"/>
        </w:rPr>
      </w:r>
    </w:p>
    <w:p w:rsidR="00000000" w:rsidDel="00000000" w:rsidP="00000000" w:rsidRDefault="00000000" w:rsidRPr="00000000" w14:paraId="000000D7">
      <w:pPr>
        <w:widowControl w:val="1"/>
        <w:numPr>
          <w:ilvl w:val="0"/>
          <w:numId w:val="1"/>
        </w:numPr>
        <w:spacing w:line="276" w:lineRule="auto"/>
        <w:ind w:left="720" w:right="592.5" w:hanging="360"/>
        <w:jc w:val="both"/>
        <w:rPr/>
      </w:pPr>
      <w:r w:rsidDel="00000000" w:rsidR="00000000" w:rsidRPr="00000000">
        <w:rPr>
          <w:rtl w:val="0"/>
        </w:rPr>
        <w:t xml:space="preserve">Bezler, A., &amp; Gönczy, P. (2010). Mutual antagonism between the anaphase promoting complex and the spindle assembly checkpoint contributes to mitotic timing in Caenorhabditis elegans. Genetics, 186(4), 1271–1283. </w:t>
      </w:r>
      <w:hyperlink r:id="rId22">
        <w:r w:rsidDel="00000000" w:rsidR="00000000" w:rsidRPr="00000000">
          <w:rPr>
            <w:color w:val="1155cc"/>
            <w:u w:val="single"/>
            <w:rtl w:val="0"/>
          </w:rPr>
          <w:t xml:space="preserve">https://doi.org/10.1534/genetics.110.123133</w:t>
        </w:r>
      </w:hyperlink>
      <w:r w:rsidDel="00000000" w:rsidR="00000000" w:rsidRPr="00000000">
        <w:rPr>
          <w:rtl w:val="0"/>
        </w:rPr>
      </w:r>
    </w:p>
    <w:p w:rsidR="00000000" w:rsidDel="00000000" w:rsidP="00000000" w:rsidRDefault="00000000" w:rsidRPr="00000000" w14:paraId="000000D8">
      <w:pPr>
        <w:widowControl w:val="1"/>
        <w:numPr>
          <w:ilvl w:val="0"/>
          <w:numId w:val="1"/>
        </w:numPr>
        <w:spacing w:line="276" w:lineRule="auto"/>
        <w:ind w:left="720" w:right="592.5" w:hanging="360"/>
        <w:jc w:val="both"/>
        <w:rPr/>
      </w:pPr>
      <w:r w:rsidDel="00000000" w:rsidR="00000000" w:rsidRPr="00000000">
        <w:rPr>
          <w:rtl w:val="0"/>
        </w:rPr>
        <w:t xml:space="preserve">Blachon, S., Khire, A., &amp; Avidor-Reiss, T. (2014). The origin of the second centriole in the zygote of Drosophila melanogaster. Genetics, 197(1), 199–205. </w:t>
      </w:r>
      <w:hyperlink r:id="rId23">
        <w:r w:rsidDel="00000000" w:rsidR="00000000" w:rsidRPr="00000000">
          <w:rPr>
            <w:color w:val="1155cc"/>
            <w:u w:val="single"/>
            <w:rtl w:val="0"/>
          </w:rPr>
          <w:t xml:space="preserve">https://doi.org/10.1534/genetics.113.160523</w:t>
        </w:r>
      </w:hyperlink>
      <w:r w:rsidDel="00000000" w:rsidR="00000000" w:rsidRPr="00000000">
        <w:rPr>
          <w:rtl w:val="0"/>
        </w:rPr>
      </w:r>
    </w:p>
    <w:p w:rsidR="00000000" w:rsidDel="00000000" w:rsidP="00000000" w:rsidRDefault="00000000" w:rsidRPr="00000000" w14:paraId="000000D9">
      <w:pPr>
        <w:widowControl w:val="1"/>
        <w:numPr>
          <w:ilvl w:val="0"/>
          <w:numId w:val="1"/>
        </w:numPr>
        <w:spacing w:line="276" w:lineRule="auto"/>
        <w:ind w:left="720" w:right="592.5" w:hanging="360"/>
        <w:jc w:val="both"/>
        <w:rPr/>
      </w:pPr>
      <w:r w:rsidDel="00000000" w:rsidR="00000000" w:rsidRPr="00000000">
        <w:rPr>
          <w:rtl w:val="0"/>
        </w:rPr>
        <w:t xml:space="preserve">Boag, P. R., Atalay, A., Robida, S., Reinke, V., &amp; Blackwell, T. K. (2008). Protection of specific maternal messenger RNAs by the P body protein CGH-1 (Dhh1/RCK) during Caenorhabditis elegans oogenesis. The Journal of cell biology, 182(3), 543–557. </w:t>
      </w:r>
      <w:hyperlink r:id="rId24">
        <w:r w:rsidDel="00000000" w:rsidR="00000000" w:rsidRPr="00000000">
          <w:rPr>
            <w:color w:val="1155cc"/>
            <w:u w:val="single"/>
            <w:rtl w:val="0"/>
          </w:rPr>
          <w:t xml:space="preserve">https://doi.org/10.1083/jcb.200801183</w:t>
        </w:r>
      </w:hyperlink>
      <w:r w:rsidDel="00000000" w:rsidR="00000000" w:rsidRPr="00000000">
        <w:rPr>
          <w:rtl w:val="0"/>
        </w:rPr>
      </w:r>
    </w:p>
    <w:p w:rsidR="00000000" w:rsidDel="00000000" w:rsidP="00000000" w:rsidRDefault="00000000" w:rsidRPr="00000000" w14:paraId="000000DA">
      <w:pPr>
        <w:widowControl w:val="1"/>
        <w:numPr>
          <w:ilvl w:val="0"/>
          <w:numId w:val="1"/>
        </w:numPr>
        <w:spacing w:line="276" w:lineRule="auto"/>
        <w:ind w:left="720" w:right="592.5" w:hanging="360"/>
        <w:jc w:val="both"/>
        <w:rPr/>
      </w:pPr>
      <w:r w:rsidDel="00000000" w:rsidR="00000000" w:rsidRPr="00000000">
        <w:rPr>
          <w:rtl w:val="0"/>
        </w:rPr>
        <w:t xml:space="preserve">Bobinnec, Y., Khodjakov, A., Mir, L. M., Rieder, C. L., Eddé, B., &amp; Bornens, M. (1998). Centriole disassembly in vivo and its effect on centrosome structure and function in vertebrate cells. The Journal of cell biology, 143(6), 1575–1589. </w:t>
      </w:r>
      <w:hyperlink r:id="rId25">
        <w:r w:rsidDel="00000000" w:rsidR="00000000" w:rsidRPr="00000000">
          <w:rPr>
            <w:color w:val="1155cc"/>
            <w:u w:val="single"/>
            <w:rtl w:val="0"/>
          </w:rPr>
          <w:t xml:space="preserve">https://doi.org/10.1083/jcb.143.6.1575</w:t>
        </w:r>
      </w:hyperlink>
      <w:r w:rsidDel="00000000" w:rsidR="00000000" w:rsidRPr="00000000">
        <w:rPr>
          <w:rtl w:val="0"/>
        </w:rPr>
      </w:r>
    </w:p>
    <w:p w:rsidR="00000000" w:rsidDel="00000000" w:rsidP="00000000" w:rsidRDefault="00000000" w:rsidRPr="00000000" w14:paraId="000000DB">
      <w:pPr>
        <w:widowControl w:val="1"/>
        <w:numPr>
          <w:ilvl w:val="0"/>
          <w:numId w:val="1"/>
        </w:numPr>
        <w:spacing w:line="276" w:lineRule="auto"/>
        <w:ind w:left="720" w:right="592.5" w:hanging="360"/>
        <w:jc w:val="both"/>
        <w:rPr/>
      </w:pPr>
      <w:r w:rsidDel="00000000" w:rsidR="00000000" w:rsidRPr="00000000">
        <w:rPr>
          <w:rtl w:val="0"/>
        </w:rPr>
        <w:t xml:space="preserve">Borrego-Pinto, J., Somogyi, K., Karreman, M. A., König, J., Müller-Reichert, T., Bettencourt-Dias, M., Gönczy, P., Schwab, Y., &amp; Lénárt, P. (2016). Distinct mechanisms eliminate mother and daughter centrioles in meiosis of starfish oocytes. The Journal of </w:t>
      </w:r>
    </w:p>
    <w:p w:rsidR="00000000" w:rsidDel="00000000" w:rsidP="00000000" w:rsidRDefault="00000000" w:rsidRPr="00000000" w14:paraId="000000DC">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DD">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DE">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DF">
      <w:pPr>
        <w:widowControl w:val="1"/>
        <w:spacing w:line="276" w:lineRule="auto"/>
        <w:ind w:left="720" w:right="592.5" w:firstLine="0"/>
        <w:jc w:val="both"/>
        <w:rPr/>
      </w:pPr>
      <w:r w:rsidDel="00000000" w:rsidR="00000000" w:rsidRPr="00000000">
        <w:rPr>
          <w:rtl w:val="0"/>
        </w:rPr>
        <w:t xml:space="preserve">cell biology, 212(7), 815–827. </w:t>
      </w:r>
      <w:hyperlink r:id="rId26">
        <w:r w:rsidDel="00000000" w:rsidR="00000000" w:rsidRPr="00000000">
          <w:rPr>
            <w:color w:val="1155cc"/>
            <w:u w:val="single"/>
            <w:rtl w:val="0"/>
          </w:rPr>
          <w:t xml:space="preserve">https://doi.org/10.1083/jcb.201510083</w:t>
        </w:r>
      </w:hyperlink>
      <w:r w:rsidDel="00000000" w:rsidR="00000000" w:rsidRPr="00000000">
        <w:rPr>
          <w:rtl w:val="0"/>
        </w:rPr>
      </w:r>
    </w:p>
    <w:p w:rsidR="00000000" w:rsidDel="00000000" w:rsidP="00000000" w:rsidRDefault="00000000" w:rsidRPr="00000000" w14:paraId="000000E0">
      <w:pPr>
        <w:widowControl w:val="1"/>
        <w:numPr>
          <w:ilvl w:val="0"/>
          <w:numId w:val="1"/>
        </w:numPr>
        <w:spacing w:line="276" w:lineRule="auto"/>
        <w:ind w:left="720" w:right="592.5" w:hanging="360"/>
        <w:jc w:val="both"/>
        <w:rPr/>
      </w:pPr>
      <w:r w:rsidDel="00000000" w:rsidR="00000000" w:rsidRPr="00000000">
        <w:rPr>
          <w:rtl w:val="0"/>
        </w:rPr>
        <w:t xml:space="preserve">Boveri, T. (1887). Ueber den Antheil des Spermatozoon an der Theilung des Eies</w:t>
      </w:r>
    </w:p>
    <w:p w:rsidR="00000000" w:rsidDel="00000000" w:rsidP="00000000" w:rsidRDefault="00000000" w:rsidRPr="00000000" w14:paraId="000000E1">
      <w:pPr>
        <w:widowControl w:val="1"/>
        <w:numPr>
          <w:ilvl w:val="0"/>
          <w:numId w:val="1"/>
        </w:numPr>
        <w:spacing w:line="276" w:lineRule="auto"/>
        <w:ind w:left="720" w:right="592.5" w:hanging="360"/>
        <w:jc w:val="both"/>
        <w:rPr/>
      </w:pPr>
      <w:r w:rsidDel="00000000" w:rsidR="00000000" w:rsidRPr="00000000">
        <w:rPr>
          <w:rtl w:val="0"/>
        </w:rPr>
        <w:t xml:space="preserve">Braun, D. A., &amp; Hildebrandt, F. (2017). Ciliopathies. Cold Spring Harbor perspectives in biology, 9(3), a028191. </w:t>
      </w:r>
      <w:hyperlink r:id="rId27">
        <w:r w:rsidDel="00000000" w:rsidR="00000000" w:rsidRPr="00000000">
          <w:rPr>
            <w:color w:val="1155cc"/>
            <w:u w:val="single"/>
            <w:rtl w:val="0"/>
          </w:rPr>
          <w:t xml:space="preserve">https://doi.org/10.1101/cshperspect.a028191</w:t>
        </w:r>
      </w:hyperlink>
      <w:r w:rsidDel="00000000" w:rsidR="00000000" w:rsidRPr="00000000">
        <w:rPr>
          <w:rtl w:val="0"/>
        </w:rPr>
      </w:r>
    </w:p>
    <w:p w:rsidR="00000000" w:rsidDel="00000000" w:rsidP="00000000" w:rsidRDefault="00000000" w:rsidRPr="00000000" w14:paraId="000000E2">
      <w:pPr>
        <w:widowControl w:val="1"/>
        <w:numPr>
          <w:ilvl w:val="0"/>
          <w:numId w:val="1"/>
        </w:numPr>
        <w:spacing w:line="276" w:lineRule="auto"/>
        <w:ind w:left="720" w:right="592.5" w:hanging="360"/>
        <w:jc w:val="both"/>
        <w:rPr/>
      </w:pPr>
      <w:r w:rsidDel="00000000" w:rsidR="00000000" w:rsidRPr="00000000">
        <w:rPr>
          <w:rtl w:val="0"/>
        </w:rPr>
        <w:t xml:space="preserve">Breslow, D. K., &amp; Holland, A. J. (2019). Mechanism and Regulation of Centriole and Cilium Biogenesis. Annual review of biochemistry, 88, 691–724. </w:t>
      </w:r>
      <w:hyperlink r:id="rId28">
        <w:r w:rsidDel="00000000" w:rsidR="00000000" w:rsidRPr="00000000">
          <w:rPr>
            <w:color w:val="1155cc"/>
            <w:u w:val="single"/>
            <w:rtl w:val="0"/>
          </w:rPr>
          <w:t xml:space="preserve">https://doi.org/10.1146/annurev-biochem-013118-111153</w:t>
        </w:r>
      </w:hyperlink>
      <w:r w:rsidDel="00000000" w:rsidR="00000000" w:rsidRPr="00000000">
        <w:rPr>
          <w:rtl w:val="0"/>
        </w:rPr>
      </w:r>
    </w:p>
    <w:p w:rsidR="00000000" w:rsidDel="00000000" w:rsidP="00000000" w:rsidRDefault="00000000" w:rsidRPr="00000000" w14:paraId="000000E3">
      <w:pPr>
        <w:widowControl w:val="1"/>
        <w:numPr>
          <w:ilvl w:val="0"/>
          <w:numId w:val="1"/>
        </w:numPr>
        <w:spacing w:line="276" w:lineRule="auto"/>
        <w:ind w:left="720" w:right="592.5" w:hanging="360"/>
        <w:jc w:val="both"/>
        <w:rPr/>
      </w:pPr>
      <w:r w:rsidDel="00000000" w:rsidR="00000000" w:rsidRPr="00000000">
        <w:rPr>
          <w:rtl w:val="0"/>
        </w:rPr>
        <w:t xml:space="preserve">Breslow, D. K., Hoogendoorn, S., Kopp, A. R., Morgens, D. W., Vu, B. K., Kennedy, M. C., Han, K., Li, A., Hess, G. T., Bassik, M. C., Chen, J. K., &amp; Nachury, M. V. (2018). A CRISPR-based screen for Hedgehog signaling provides insights into ciliary function and ciliopathies. Nature genetics, 50(3), 460–471. </w:t>
      </w:r>
      <w:hyperlink r:id="rId29">
        <w:r w:rsidDel="00000000" w:rsidR="00000000" w:rsidRPr="00000000">
          <w:rPr>
            <w:color w:val="1155cc"/>
            <w:u w:val="single"/>
            <w:rtl w:val="0"/>
          </w:rPr>
          <w:t xml:space="preserve">https://doi.org/10.1038/s41588-018-0054-7</w:t>
        </w:r>
      </w:hyperlink>
      <w:r w:rsidDel="00000000" w:rsidR="00000000" w:rsidRPr="00000000">
        <w:rPr>
          <w:rtl w:val="0"/>
        </w:rPr>
      </w:r>
    </w:p>
    <w:p w:rsidR="00000000" w:rsidDel="00000000" w:rsidP="00000000" w:rsidRDefault="00000000" w:rsidRPr="00000000" w14:paraId="000000E4">
      <w:pPr>
        <w:widowControl w:val="1"/>
        <w:numPr>
          <w:ilvl w:val="0"/>
          <w:numId w:val="1"/>
        </w:numPr>
        <w:spacing w:line="276" w:lineRule="auto"/>
        <w:ind w:left="720" w:right="592.5" w:hanging="360"/>
        <w:jc w:val="both"/>
        <w:rPr/>
      </w:pPr>
      <w:r w:rsidDel="00000000" w:rsidR="00000000" w:rsidRPr="00000000">
        <w:rPr>
          <w:rtl w:val="0"/>
        </w:rPr>
        <w:t xml:space="preserve">Buss, G., Stratton, M. B., Milenkovic, L., &amp; Stearns, T. (2022). Postmitotic centriole disengagement and maturation leads to centrosome amplification in polyploid trophoblast giant cells. Molecular biology of the cell, 33(13), ar118. </w:t>
      </w:r>
      <w:hyperlink r:id="rId30">
        <w:r w:rsidDel="00000000" w:rsidR="00000000" w:rsidRPr="00000000">
          <w:rPr>
            <w:color w:val="1155cc"/>
            <w:u w:val="single"/>
            <w:rtl w:val="0"/>
          </w:rPr>
          <w:t xml:space="preserve">https://doi.org/10.1091/mbc.E22-05-0182</w:t>
        </w:r>
      </w:hyperlink>
      <w:r w:rsidDel="00000000" w:rsidR="00000000" w:rsidRPr="00000000">
        <w:rPr>
          <w:rtl w:val="0"/>
        </w:rPr>
      </w:r>
    </w:p>
    <w:p w:rsidR="00000000" w:rsidDel="00000000" w:rsidP="00000000" w:rsidRDefault="00000000" w:rsidRPr="00000000" w14:paraId="000000E5">
      <w:pPr>
        <w:widowControl w:val="1"/>
        <w:numPr>
          <w:ilvl w:val="0"/>
          <w:numId w:val="1"/>
        </w:numPr>
        <w:spacing w:line="276" w:lineRule="auto"/>
        <w:ind w:left="720" w:right="592.5" w:hanging="360"/>
        <w:jc w:val="both"/>
        <w:rPr/>
      </w:pPr>
      <w:r w:rsidDel="00000000" w:rsidR="00000000" w:rsidRPr="00000000">
        <w:rPr>
          <w:rtl w:val="0"/>
        </w:rPr>
        <w:t xml:space="preserve">Carré, D., &amp; Sardet, C. (1984). Fertilization and early development in Beroe ovata. Developmental biology, 105(1), 188–195. </w:t>
      </w:r>
      <w:hyperlink r:id="rId31">
        <w:r w:rsidDel="00000000" w:rsidR="00000000" w:rsidRPr="00000000">
          <w:rPr>
            <w:color w:val="1155cc"/>
            <w:u w:val="single"/>
            <w:rtl w:val="0"/>
          </w:rPr>
          <w:t xml:space="preserve">https://doi.org/10.1016/0012-1606(84)90274-4</w:t>
        </w:r>
      </w:hyperlink>
      <w:r w:rsidDel="00000000" w:rsidR="00000000" w:rsidRPr="00000000">
        <w:rPr>
          <w:rtl w:val="0"/>
        </w:rPr>
      </w:r>
    </w:p>
    <w:p w:rsidR="00000000" w:rsidDel="00000000" w:rsidP="00000000" w:rsidRDefault="00000000" w:rsidRPr="00000000" w14:paraId="000000E6">
      <w:pPr>
        <w:widowControl w:val="1"/>
        <w:numPr>
          <w:ilvl w:val="0"/>
          <w:numId w:val="1"/>
        </w:numPr>
        <w:spacing w:line="276" w:lineRule="auto"/>
        <w:ind w:left="720" w:right="592.5" w:hanging="360"/>
        <w:jc w:val="both"/>
        <w:rPr/>
      </w:pPr>
      <w:r w:rsidDel="00000000" w:rsidR="00000000" w:rsidRPr="00000000">
        <w:rPr>
          <w:rtl w:val="0"/>
        </w:rPr>
        <w:t xml:space="preserve">Chang, T. B., Hsu, J. C., &amp; Yang, T. T. (2023). Single-molecule localization microscopy reveals the ultrastructural constitution of distal appendages in expanded mammalian centrioles. Nature communications, 14(1), 1688. </w:t>
      </w:r>
      <w:hyperlink r:id="rId32">
        <w:r w:rsidDel="00000000" w:rsidR="00000000" w:rsidRPr="00000000">
          <w:rPr>
            <w:color w:val="1155cc"/>
            <w:u w:val="single"/>
            <w:rtl w:val="0"/>
          </w:rPr>
          <w:t xml:space="preserve">https://doi.org/10.1038/s41467-023-37342-x</w:t>
        </w:r>
      </w:hyperlink>
      <w:r w:rsidDel="00000000" w:rsidR="00000000" w:rsidRPr="00000000">
        <w:rPr>
          <w:rtl w:val="0"/>
        </w:rPr>
      </w:r>
    </w:p>
    <w:p w:rsidR="00000000" w:rsidDel="00000000" w:rsidP="00000000" w:rsidRDefault="00000000" w:rsidRPr="00000000" w14:paraId="000000E7">
      <w:pPr>
        <w:widowControl w:val="1"/>
        <w:numPr>
          <w:ilvl w:val="0"/>
          <w:numId w:val="1"/>
        </w:numPr>
        <w:spacing w:line="276" w:lineRule="auto"/>
        <w:ind w:left="720" w:right="592.5" w:hanging="360"/>
        <w:jc w:val="both"/>
        <w:rPr/>
      </w:pPr>
      <w:r w:rsidDel="00000000" w:rsidR="00000000" w:rsidRPr="00000000">
        <w:rPr>
          <w:rtl w:val="0"/>
        </w:rPr>
        <w:t xml:space="preserve">Chichinadze, K. N., &amp; Tkemaladze, D. V. (2008). Centrosomal hypothesis of cellular aging and differentiation. Advances in </w:t>
      </w:r>
    </w:p>
    <w:p w:rsidR="00000000" w:rsidDel="00000000" w:rsidP="00000000" w:rsidRDefault="00000000" w:rsidRPr="00000000" w14:paraId="000000E8">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E9">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EA">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EB">
      <w:pPr>
        <w:widowControl w:val="1"/>
        <w:spacing w:line="276" w:lineRule="auto"/>
        <w:ind w:left="720" w:right="592.5" w:firstLine="0"/>
        <w:jc w:val="both"/>
        <w:rPr/>
      </w:pPr>
      <w:r w:rsidDel="00000000" w:rsidR="00000000" w:rsidRPr="00000000">
        <w:rPr>
          <w:rtl w:val="0"/>
        </w:rPr>
        <w:t xml:space="preserve">Gerontology= Uspekhi Gerontologii, 21(3), 367-371.</w:t>
      </w:r>
    </w:p>
    <w:p w:rsidR="00000000" w:rsidDel="00000000" w:rsidP="00000000" w:rsidRDefault="00000000" w:rsidRPr="00000000" w14:paraId="000000EC">
      <w:pPr>
        <w:widowControl w:val="1"/>
        <w:numPr>
          <w:ilvl w:val="0"/>
          <w:numId w:val="1"/>
        </w:numPr>
        <w:spacing w:line="276" w:lineRule="auto"/>
        <w:ind w:left="720" w:right="592.5" w:hanging="360"/>
        <w:jc w:val="both"/>
        <w:rPr/>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ED">
      <w:pPr>
        <w:widowControl w:val="1"/>
        <w:numPr>
          <w:ilvl w:val="0"/>
          <w:numId w:val="1"/>
        </w:numPr>
        <w:spacing w:line="276" w:lineRule="auto"/>
        <w:ind w:left="720" w:right="592.5" w:hanging="360"/>
        <w:jc w:val="both"/>
        <w:rPr/>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EE">
      <w:pPr>
        <w:widowControl w:val="1"/>
        <w:numPr>
          <w:ilvl w:val="0"/>
          <w:numId w:val="1"/>
        </w:numPr>
        <w:spacing w:line="276" w:lineRule="auto"/>
        <w:ind w:left="720" w:right="592.5" w:hanging="360"/>
        <w:jc w:val="both"/>
        <w:rPr/>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EF">
      <w:pPr>
        <w:widowControl w:val="1"/>
        <w:numPr>
          <w:ilvl w:val="0"/>
          <w:numId w:val="1"/>
        </w:numPr>
        <w:spacing w:line="276" w:lineRule="auto"/>
        <w:ind w:left="720" w:right="592.5" w:hanging="360"/>
        <w:jc w:val="both"/>
        <w:rPr/>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F0">
      <w:pPr>
        <w:widowControl w:val="1"/>
        <w:numPr>
          <w:ilvl w:val="0"/>
          <w:numId w:val="1"/>
        </w:numPr>
        <w:spacing w:line="276" w:lineRule="auto"/>
        <w:ind w:left="720" w:right="592.5" w:hanging="360"/>
        <w:jc w:val="both"/>
        <w:rPr/>
      </w:pPr>
      <w:r w:rsidDel="00000000" w:rsidR="00000000" w:rsidRPr="00000000">
        <w:rPr>
          <w:rtl w:val="0"/>
        </w:rPr>
        <w:t xml:space="preserve">Clift, D., McEwan, W. A., Labzin, L. I., Konieczny, V., Mogessie, B., James, L. C., &amp; Schuh, M. (2017). A Method for the Acute and Rapid Degradation of Endogenous Proteins. Cell, 171(7), 1692–1706.e18. </w:t>
      </w:r>
      <w:hyperlink r:id="rId33">
        <w:r w:rsidDel="00000000" w:rsidR="00000000" w:rsidRPr="00000000">
          <w:rPr>
            <w:color w:val="1155cc"/>
            <w:u w:val="single"/>
            <w:rtl w:val="0"/>
          </w:rPr>
          <w:t xml:space="preserve">https://doi.org/10.1016/j.cell.2017.10.033</w:t>
        </w:r>
      </w:hyperlink>
      <w:r w:rsidDel="00000000" w:rsidR="00000000" w:rsidRPr="00000000">
        <w:rPr>
          <w:rtl w:val="0"/>
        </w:rPr>
      </w:r>
    </w:p>
    <w:p w:rsidR="00000000" w:rsidDel="00000000" w:rsidP="00000000" w:rsidRDefault="00000000" w:rsidRPr="00000000" w14:paraId="000000F1">
      <w:pPr>
        <w:widowControl w:val="1"/>
        <w:numPr>
          <w:ilvl w:val="0"/>
          <w:numId w:val="1"/>
        </w:numPr>
        <w:spacing w:line="276" w:lineRule="auto"/>
        <w:ind w:left="720" w:right="592.5" w:hanging="360"/>
        <w:jc w:val="both"/>
        <w:rPr/>
      </w:pPr>
      <w:r w:rsidDel="00000000" w:rsidR="00000000" w:rsidRPr="00000000">
        <w:rPr>
          <w:rtl w:val="0"/>
        </w:rPr>
        <w:t xml:space="preserve">Conduit, P. T., &amp; Raff, J. W. (2010). Cnn dynamics drive centrosome size asymmetry to ensure daughter centriole retention in Drosophila neuroblasts. Current biology : CB, 20(24), 2187–2192. </w:t>
      </w:r>
      <w:hyperlink r:id="rId34">
        <w:r w:rsidDel="00000000" w:rsidR="00000000" w:rsidRPr="00000000">
          <w:rPr>
            <w:color w:val="1155cc"/>
            <w:u w:val="single"/>
            <w:rtl w:val="0"/>
          </w:rPr>
          <w:t xml:space="preserve">https://doi.org/10.1016/j.cub.2010.11.055</w:t>
        </w:r>
      </w:hyperlink>
      <w:r w:rsidDel="00000000" w:rsidR="00000000" w:rsidRPr="00000000">
        <w:rPr>
          <w:rtl w:val="0"/>
        </w:rPr>
      </w:r>
    </w:p>
    <w:p w:rsidR="00000000" w:rsidDel="00000000" w:rsidP="00000000" w:rsidRDefault="00000000" w:rsidRPr="00000000" w14:paraId="000000F2">
      <w:pPr>
        <w:widowControl w:val="1"/>
        <w:numPr>
          <w:ilvl w:val="0"/>
          <w:numId w:val="1"/>
        </w:numPr>
        <w:spacing w:line="276" w:lineRule="auto"/>
        <w:ind w:left="720" w:right="592.5" w:hanging="360"/>
        <w:jc w:val="both"/>
        <w:rPr/>
      </w:pPr>
      <w:r w:rsidDel="00000000" w:rsidR="00000000" w:rsidRPr="00000000">
        <w:rPr>
          <w:rtl w:val="0"/>
        </w:rPr>
        <w:t xml:space="preserve">Courtois, A., Schuh, M., Ellenberg, J., &amp; Hiiragi, T. (2012). The transition from meiotic to mitotic spindle assembly is gradual during early mammalian development. The Journal of cell biology, 198(3), 357–370. </w:t>
      </w:r>
      <w:hyperlink r:id="rId35">
        <w:r w:rsidDel="00000000" w:rsidR="00000000" w:rsidRPr="00000000">
          <w:rPr>
            <w:color w:val="1155cc"/>
            <w:u w:val="single"/>
            <w:rtl w:val="0"/>
          </w:rPr>
          <w:t xml:space="preserve">https://doi.org/10.1083/jcb.201202135</w:t>
        </w:r>
      </w:hyperlink>
      <w:r w:rsidDel="00000000" w:rsidR="00000000" w:rsidRPr="00000000">
        <w:rPr>
          <w:rtl w:val="0"/>
        </w:rPr>
      </w:r>
    </w:p>
    <w:p w:rsidR="00000000" w:rsidDel="00000000" w:rsidP="00000000" w:rsidRDefault="00000000" w:rsidRPr="00000000" w14:paraId="000000F3">
      <w:pPr>
        <w:widowControl w:val="1"/>
        <w:numPr>
          <w:ilvl w:val="0"/>
          <w:numId w:val="1"/>
        </w:numPr>
        <w:spacing w:line="276" w:lineRule="auto"/>
        <w:ind w:left="720" w:right="592.5" w:hanging="360"/>
        <w:jc w:val="both"/>
        <w:rPr/>
      </w:pPr>
      <w:r w:rsidDel="00000000" w:rsidR="00000000" w:rsidRPr="00000000">
        <w:rPr>
          <w:rtl w:val="0"/>
        </w:rPr>
        <w:t xml:space="preserve">Dirksen E. R. (1971). Centriole morphogenesis in developing ciliated epithelium of the mouse oviduct. The Journal of cell biology, 51(1), 286–302. </w:t>
      </w:r>
      <w:hyperlink r:id="rId36">
        <w:r w:rsidDel="00000000" w:rsidR="00000000" w:rsidRPr="00000000">
          <w:rPr>
            <w:color w:val="1155cc"/>
            <w:u w:val="single"/>
            <w:rtl w:val="0"/>
          </w:rPr>
          <w:t xml:space="preserve">https://doi.org/10.1083/jcb.51.1.286</w:t>
        </w:r>
      </w:hyperlink>
      <w:r w:rsidDel="00000000" w:rsidR="00000000" w:rsidRPr="00000000">
        <w:rPr>
          <w:rtl w:val="0"/>
        </w:rPr>
      </w:r>
    </w:p>
    <w:p w:rsidR="00000000" w:rsidDel="00000000" w:rsidP="00000000" w:rsidRDefault="00000000" w:rsidRPr="00000000" w14:paraId="000000F4">
      <w:pPr>
        <w:widowControl w:val="1"/>
        <w:numPr>
          <w:ilvl w:val="0"/>
          <w:numId w:val="1"/>
        </w:numPr>
        <w:spacing w:line="276" w:lineRule="auto"/>
        <w:ind w:left="720" w:right="592.5" w:hanging="360"/>
        <w:jc w:val="both"/>
        <w:rPr/>
      </w:pPr>
      <w:r w:rsidDel="00000000" w:rsidR="00000000" w:rsidRPr="00000000">
        <w:rPr>
          <w:rtl w:val="0"/>
        </w:rPr>
        <w:t xml:space="preserve">Dutcher, S. K., Morrissette, N. S., Preble, A. M., Rackley, C., &amp; Stanga, J. (2002). </w:t>
      </w:r>
    </w:p>
    <w:p w:rsidR="00000000" w:rsidDel="00000000" w:rsidP="00000000" w:rsidRDefault="00000000" w:rsidRPr="00000000" w14:paraId="000000F5">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F6">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F7">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0F8">
      <w:pPr>
        <w:widowControl w:val="1"/>
        <w:spacing w:line="276" w:lineRule="auto"/>
        <w:ind w:left="720" w:right="592.5" w:firstLine="0"/>
        <w:jc w:val="both"/>
        <w:rPr/>
      </w:pPr>
      <w:r w:rsidDel="00000000" w:rsidR="00000000" w:rsidRPr="00000000">
        <w:rPr>
          <w:rtl w:val="0"/>
        </w:rPr>
        <w:t xml:space="preserve">Epsilon-tubulin is an essential component of the centriole. Molecular biology of the cell, 13(11), 3859–3869. </w:t>
      </w:r>
      <w:hyperlink r:id="rId37">
        <w:r w:rsidDel="00000000" w:rsidR="00000000" w:rsidRPr="00000000">
          <w:rPr>
            <w:color w:val="1155cc"/>
            <w:u w:val="single"/>
            <w:rtl w:val="0"/>
          </w:rPr>
          <w:t xml:space="preserve">https://doi.org/10.1091/mbc.e02-04-0205</w:t>
        </w:r>
      </w:hyperlink>
      <w:r w:rsidDel="00000000" w:rsidR="00000000" w:rsidRPr="00000000">
        <w:rPr>
          <w:rtl w:val="0"/>
        </w:rPr>
      </w:r>
    </w:p>
    <w:p w:rsidR="00000000" w:rsidDel="00000000" w:rsidP="00000000" w:rsidRDefault="00000000" w:rsidRPr="00000000" w14:paraId="000000F9">
      <w:pPr>
        <w:widowControl w:val="1"/>
        <w:numPr>
          <w:ilvl w:val="0"/>
          <w:numId w:val="1"/>
        </w:numPr>
        <w:spacing w:line="276" w:lineRule="auto"/>
        <w:ind w:left="720" w:right="592.5" w:hanging="360"/>
        <w:jc w:val="both"/>
        <w:rPr/>
      </w:pPr>
      <w:r w:rsidDel="00000000" w:rsidR="00000000" w:rsidRPr="00000000">
        <w:rPr>
          <w:rtl w:val="0"/>
        </w:rPr>
        <w:t xml:space="preserve">Fechter, J., Schöneberg, A., &amp; Schatten, G. (1996). Excision and disassembly of sperm tail microtubules during sea urchin fertilization: requirements for microtubule dynamics. Cell motility and the cytoskeleton, 35(4), 281–288. </w:t>
      </w:r>
      <w:hyperlink r:id="rId38">
        <w:r w:rsidDel="00000000" w:rsidR="00000000" w:rsidRPr="00000000">
          <w:rPr>
            <w:color w:val="1155cc"/>
            <w:u w:val="single"/>
            <w:rtl w:val="0"/>
          </w:rPr>
          <w:t xml:space="preserve">https://doi.org/10.1002/(SICI)1097-0169(1996)35:4</w:t>
        </w:r>
      </w:hyperlink>
      <w:r w:rsidDel="00000000" w:rsidR="00000000" w:rsidRPr="00000000">
        <w:rPr>
          <w:rtl w:val="0"/>
        </w:rPr>
        <w:t xml:space="preserve">&lt;281::AID-CM1&gt;3.0.CO;2-A</w:t>
      </w:r>
    </w:p>
    <w:p w:rsidR="00000000" w:rsidDel="00000000" w:rsidP="00000000" w:rsidRDefault="00000000" w:rsidRPr="00000000" w14:paraId="000000FA">
      <w:pPr>
        <w:widowControl w:val="1"/>
        <w:numPr>
          <w:ilvl w:val="0"/>
          <w:numId w:val="1"/>
        </w:numPr>
        <w:spacing w:line="276" w:lineRule="auto"/>
        <w:ind w:left="720" w:right="592.5" w:hanging="360"/>
        <w:jc w:val="both"/>
        <w:rPr/>
      </w:pPr>
      <w:r w:rsidDel="00000000" w:rsidR="00000000" w:rsidRPr="00000000">
        <w:rPr>
          <w:rtl w:val="0"/>
        </w:rPr>
        <w:t xml:space="preserve">Fishman, E. L., Jo, K., Nguyen, Q. P. H., Kong, D., Royfman, R., Cekic, A. R., Khanal, S., Miller, A. L., Simerly, C., Schatten, G., Loncarek, J., Mennella, V., &amp; Avidor-Reiss, T. (2018). A novel atypical sperm centriole is functional during human fertilization. Nature communications, 9(1), 2210. </w:t>
      </w:r>
      <w:hyperlink r:id="rId39">
        <w:r w:rsidDel="00000000" w:rsidR="00000000" w:rsidRPr="00000000">
          <w:rPr>
            <w:color w:val="1155cc"/>
            <w:u w:val="single"/>
            <w:rtl w:val="0"/>
          </w:rPr>
          <w:t xml:space="preserve">https://doi.org/10.1038/s41467-018-04678-8</w:t>
        </w:r>
      </w:hyperlink>
      <w:r w:rsidDel="00000000" w:rsidR="00000000" w:rsidRPr="00000000">
        <w:rPr>
          <w:rtl w:val="0"/>
        </w:rPr>
      </w:r>
    </w:p>
    <w:p w:rsidR="00000000" w:rsidDel="00000000" w:rsidP="00000000" w:rsidRDefault="00000000" w:rsidRPr="00000000" w14:paraId="000000FB">
      <w:pPr>
        <w:widowControl w:val="1"/>
        <w:numPr>
          <w:ilvl w:val="0"/>
          <w:numId w:val="1"/>
        </w:numPr>
        <w:spacing w:line="276" w:lineRule="auto"/>
        <w:ind w:left="720" w:right="592.5" w:hanging="360"/>
        <w:jc w:val="both"/>
        <w:rPr/>
      </w:pPr>
      <w:r w:rsidDel="00000000" w:rsidR="00000000" w:rsidRPr="00000000">
        <w:rPr>
          <w:rtl w:val="0"/>
        </w:rPr>
        <w:t xml:space="preserve">Fritz-Laylin, L. K., &amp; Fulton, C. (2016). Naegleria: a classic model for de novo basal body assembly. Cilia, 5, 10. </w:t>
      </w:r>
      <w:hyperlink r:id="rId40">
        <w:r w:rsidDel="00000000" w:rsidR="00000000" w:rsidRPr="00000000">
          <w:rPr>
            <w:color w:val="1155cc"/>
            <w:u w:val="single"/>
            <w:rtl w:val="0"/>
          </w:rPr>
          <w:t xml:space="preserve">https://doi.org/10.1186/s13630-016-0032-6</w:t>
        </w:r>
      </w:hyperlink>
      <w:r w:rsidDel="00000000" w:rsidR="00000000" w:rsidRPr="00000000">
        <w:rPr>
          <w:rtl w:val="0"/>
        </w:rPr>
      </w:r>
    </w:p>
    <w:p w:rsidR="00000000" w:rsidDel="00000000" w:rsidP="00000000" w:rsidRDefault="00000000" w:rsidRPr="00000000" w14:paraId="000000FC">
      <w:pPr>
        <w:widowControl w:val="1"/>
        <w:numPr>
          <w:ilvl w:val="0"/>
          <w:numId w:val="1"/>
        </w:numPr>
        <w:spacing w:line="276" w:lineRule="auto"/>
        <w:ind w:left="720" w:right="592.5" w:hanging="360"/>
        <w:jc w:val="both"/>
        <w:rPr/>
      </w:pPr>
      <w:r w:rsidDel="00000000" w:rsidR="00000000" w:rsidRPr="00000000">
        <w:rPr>
          <w:rtl w:val="0"/>
        </w:rPr>
        <w:t xml:space="preserve">Fujita, H., Yoshino, Y., &amp; Chiba, N. (2015). Regulation of the centrosome cycle. Molecular &amp; cellular oncology, 3(2), e1075643. </w:t>
      </w:r>
      <w:hyperlink r:id="rId41">
        <w:r w:rsidDel="00000000" w:rsidR="00000000" w:rsidRPr="00000000">
          <w:rPr>
            <w:color w:val="1155cc"/>
            <w:u w:val="single"/>
            <w:rtl w:val="0"/>
          </w:rPr>
          <w:t xml:space="preserve">https://doi.org/10.1080/23723556.2015.1075643</w:t>
        </w:r>
      </w:hyperlink>
      <w:r w:rsidDel="00000000" w:rsidR="00000000" w:rsidRPr="00000000">
        <w:rPr>
          <w:rtl w:val="0"/>
        </w:rPr>
      </w:r>
    </w:p>
    <w:p w:rsidR="00000000" w:rsidDel="00000000" w:rsidP="00000000" w:rsidRDefault="00000000" w:rsidRPr="00000000" w14:paraId="000000FD">
      <w:pPr>
        <w:widowControl w:val="1"/>
        <w:numPr>
          <w:ilvl w:val="0"/>
          <w:numId w:val="1"/>
        </w:numPr>
        <w:spacing w:line="276" w:lineRule="auto"/>
        <w:ind w:left="720" w:right="592.5" w:hanging="360"/>
        <w:jc w:val="both"/>
        <w:rPr/>
      </w:pPr>
      <w:r w:rsidDel="00000000" w:rsidR="00000000" w:rsidRPr="00000000">
        <w:rPr>
          <w:rtl w:val="0"/>
        </w:rPr>
        <w:t xml:space="preserve">Gomes Pereira, S., Dias Louro, M. A., &amp; Bettencourt-Dias, M. (2021). Biophysical and Quantitative Principles of Centrosome Biogenesis and Structure. Annual review of cell and developmental biology, 37, 43–63. </w:t>
      </w:r>
      <w:hyperlink r:id="rId42">
        <w:r w:rsidDel="00000000" w:rsidR="00000000" w:rsidRPr="00000000">
          <w:rPr>
            <w:color w:val="1155cc"/>
            <w:u w:val="single"/>
            <w:rtl w:val="0"/>
          </w:rPr>
          <w:t xml:space="preserve">https://doi.org/10.1146/annurev-cellbio-120219-051400</w:t>
        </w:r>
      </w:hyperlink>
      <w:r w:rsidDel="00000000" w:rsidR="00000000" w:rsidRPr="00000000">
        <w:rPr>
          <w:rtl w:val="0"/>
        </w:rPr>
      </w:r>
    </w:p>
    <w:p w:rsidR="00000000" w:rsidDel="00000000" w:rsidP="00000000" w:rsidRDefault="00000000" w:rsidRPr="00000000" w14:paraId="000000FE">
      <w:pPr>
        <w:widowControl w:val="1"/>
        <w:numPr>
          <w:ilvl w:val="0"/>
          <w:numId w:val="1"/>
        </w:numPr>
        <w:spacing w:line="276" w:lineRule="auto"/>
        <w:ind w:left="720" w:right="592.5" w:hanging="360"/>
        <w:jc w:val="both"/>
        <w:rPr/>
      </w:pPr>
      <w:r w:rsidDel="00000000" w:rsidR="00000000" w:rsidRPr="00000000">
        <w:rPr>
          <w:rtl w:val="0"/>
        </w:rPr>
        <w:t xml:space="preserve">Gomes Pereira, S., Sousa, A. L., Nabais, C., Paixão, T., Holmes, A. J., Schorb, M., Goshima, G., Tranfield, E. M., Becker, J. D., &amp; Bettencourt-Dias, M. (2021). The 3D architecture and molecular foundations of de novo centriole assembly via bicentrioles. Current biology : CB, 31(19), 4340–4353.e7. </w:t>
      </w:r>
      <w:hyperlink r:id="rId43">
        <w:r w:rsidDel="00000000" w:rsidR="00000000" w:rsidRPr="00000000">
          <w:rPr>
            <w:color w:val="1155cc"/>
            <w:u w:val="single"/>
            <w:rtl w:val="0"/>
          </w:rPr>
          <w:t xml:space="preserve">https://doi.org/10.1016/j.cub.2021.07.063</w:t>
        </w:r>
      </w:hyperlink>
      <w:r w:rsidDel="00000000" w:rsidR="00000000" w:rsidRPr="00000000">
        <w:rPr>
          <w:rtl w:val="0"/>
        </w:rPr>
      </w:r>
    </w:p>
    <w:p w:rsidR="00000000" w:rsidDel="00000000" w:rsidP="00000000" w:rsidRDefault="00000000" w:rsidRPr="00000000" w14:paraId="000000FF">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00">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01">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02">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03">
      <w:pPr>
        <w:widowControl w:val="1"/>
        <w:numPr>
          <w:ilvl w:val="0"/>
          <w:numId w:val="1"/>
        </w:numPr>
        <w:spacing w:line="276" w:lineRule="auto"/>
        <w:ind w:left="720" w:right="592.5" w:hanging="360"/>
        <w:jc w:val="both"/>
        <w:rPr/>
      </w:pPr>
      <w:r w:rsidDel="00000000" w:rsidR="00000000" w:rsidRPr="00000000">
        <w:rPr>
          <w:rtl w:val="0"/>
        </w:rPr>
        <w:t xml:space="preserve">Gönczy, P., Schnabel, H., Kaletta, T., Amores, A. D., Hyman, T., &amp; Schnabel, R. (1999). Dissection of cell division processes in the one cell stage Caenorhabditis elegans embryo by mutational analysis. The Journal of cell biology, 144(5), 927–946. </w:t>
      </w:r>
      <w:hyperlink r:id="rId44">
        <w:r w:rsidDel="00000000" w:rsidR="00000000" w:rsidRPr="00000000">
          <w:rPr>
            <w:color w:val="1155cc"/>
            <w:u w:val="single"/>
            <w:rtl w:val="0"/>
          </w:rPr>
          <w:t xml:space="preserve">https://doi.org/10.1083/jcb.144.5.927</w:t>
        </w:r>
      </w:hyperlink>
      <w:r w:rsidDel="00000000" w:rsidR="00000000" w:rsidRPr="00000000">
        <w:rPr>
          <w:rtl w:val="0"/>
        </w:rPr>
      </w:r>
    </w:p>
    <w:p w:rsidR="00000000" w:rsidDel="00000000" w:rsidP="00000000" w:rsidRDefault="00000000" w:rsidRPr="00000000" w14:paraId="00000104">
      <w:pPr>
        <w:widowControl w:val="1"/>
        <w:numPr>
          <w:ilvl w:val="0"/>
          <w:numId w:val="1"/>
        </w:numPr>
        <w:spacing w:line="276" w:lineRule="auto"/>
        <w:ind w:left="720" w:right="592.5" w:hanging="360"/>
        <w:jc w:val="both"/>
        <w:rPr/>
      </w:pPr>
      <w:r w:rsidDel="00000000" w:rsidR="00000000" w:rsidRPr="00000000">
        <w:rPr>
          <w:rtl w:val="0"/>
        </w:rPr>
        <w:t xml:space="preserve">Gudi, R., Haycraft, C. J., Bell, P. D., Li, Z., &amp; Vasu, C. (2015). Centrobin-mediated regulation of the centrosomal protein 4.1-associated protein (CPAP) level limits centriole length during elongation stage. The Journal of biological chemistry, 290(11), 6890–6902. </w:t>
      </w:r>
      <w:hyperlink r:id="rId45">
        <w:r w:rsidDel="00000000" w:rsidR="00000000" w:rsidRPr="00000000">
          <w:rPr>
            <w:color w:val="1155cc"/>
            <w:u w:val="single"/>
            <w:rtl w:val="0"/>
          </w:rPr>
          <w:t xml:space="preserve">https://doi.org/10.1074/jbc.M114.603423</w:t>
        </w:r>
      </w:hyperlink>
      <w:r w:rsidDel="00000000" w:rsidR="00000000" w:rsidRPr="00000000">
        <w:rPr>
          <w:rtl w:val="0"/>
        </w:rPr>
      </w:r>
    </w:p>
    <w:p w:rsidR="00000000" w:rsidDel="00000000" w:rsidP="00000000" w:rsidRDefault="00000000" w:rsidRPr="00000000" w14:paraId="00000105">
      <w:pPr>
        <w:widowControl w:val="1"/>
        <w:numPr>
          <w:ilvl w:val="0"/>
          <w:numId w:val="1"/>
        </w:numPr>
        <w:spacing w:line="276" w:lineRule="auto"/>
        <w:ind w:left="720" w:right="592.5" w:hanging="360"/>
        <w:jc w:val="both"/>
        <w:rPr/>
      </w:pPr>
      <w:r w:rsidDel="00000000" w:rsidR="00000000" w:rsidRPr="00000000">
        <w:rPr>
          <w:rtl w:val="0"/>
        </w:rPr>
        <w:t xml:space="preserve">Gudi, R., Zou, C., Li, J., &amp; Gao, Q. (2011). Centrobin-tubulin interaction is required for centriole elongation and stability. The Journal of cell biology, 193(4), 711–725. </w:t>
      </w:r>
      <w:hyperlink r:id="rId46">
        <w:r w:rsidDel="00000000" w:rsidR="00000000" w:rsidRPr="00000000">
          <w:rPr>
            <w:color w:val="1155cc"/>
            <w:u w:val="single"/>
            <w:rtl w:val="0"/>
          </w:rPr>
          <w:t xml:space="preserve">https://doi.org/10.1083/jcb.201006135</w:t>
        </w:r>
      </w:hyperlink>
      <w:r w:rsidDel="00000000" w:rsidR="00000000" w:rsidRPr="00000000">
        <w:rPr>
          <w:rtl w:val="0"/>
        </w:rPr>
      </w:r>
    </w:p>
    <w:p w:rsidR="00000000" w:rsidDel="00000000" w:rsidP="00000000" w:rsidRDefault="00000000" w:rsidRPr="00000000" w14:paraId="00000106">
      <w:pPr>
        <w:widowControl w:val="1"/>
        <w:numPr>
          <w:ilvl w:val="0"/>
          <w:numId w:val="1"/>
        </w:numPr>
        <w:spacing w:line="276" w:lineRule="auto"/>
        <w:ind w:left="720" w:right="592.5" w:hanging="360"/>
        <w:jc w:val="both"/>
        <w:rPr/>
      </w:pPr>
      <w:r w:rsidDel="00000000" w:rsidR="00000000" w:rsidRPr="00000000">
        <w:rPr>
          <w:rtl w:val="0"/>
        </w:rPr>
        <w:t xml:space="preserve">Gueth-Hallonet, C., Antony, C., Aghion, J., Santa-Maria, A., Lajoie-Mazenc, I., Wright, M., &amp; Maro, B. (1993). gamma-Tubulin is present in acentriolar MTOCs during early mouse development. Journal of cell science, 105 ( Pt 1), 157–166. </w:t>
      </w:r>
      <w:hyperlink r:id="rId47">
        <w:r w:rsidDel="00000000" w:rsidR="00000000" w:rsidRPr="00000000">
          <w:rPr>
            <w:color w:val="1155cc"/>
            <w:u w:val="single"/>
            <w:rtl w:val="0"/>
          </w:rPr>
          <w:t xml:space="preserve">https://doi.org/10.1242/jcs.105.1.157</w:t>
        </w:r>
      </w:hyperlink>
      <w:r w:rsidDel="00000000" w:rsidR="00000000" w:rsidRPr="00000000">
        <w:rPr>
          <w:rtl w:val="0"/>
        </w:rPr>
      </w:r>
    </w:p>
    <w:p w:rsidR="00000000" w:rsidDel="00000000" w:rsidP="00000000" w:rsidRDefault="00000000" w:rsidRPr="00000000" w14:paraId="00000107">
      <w:pPr>
        <w:widowControl w:val="1"/>
        <w:numPr>
          <w:ilvl w:val="0"/>
          <w:numId w:val="1"/>
        </w:numPr>
        <w:spacing w:line="276" w:lineRule="auto"/>
        <w:ind w:left="720" w:right="592.5" w:hanging="360"/>
        <w:jc w:val="both"/>
        <w:rPr/>
      </w:pPr>
      <w:r w:rsidDel="00000000" w:rsidR="00000000" w:rsidRPr="00000000">
        <w:rPr>
          <w:rtl w:val="0"/>
        </w:rPr>
        <w:t xml:space="preserve">Guichard, P., Hachet, V., Majubu, N., Neves, A., Demurtas, D., Olieric, N., Fluckiger, I., Yamada, A., Kihara, K., Nishida, Y., Moriya, S., Steinmetz, M. O., Hongoh, Y., &amp; Gönczy, P. (2013). Native architecture of the centriole proximal region reveals features underlying its 9-fold radial symmetry. Current biology : CB, 23(17), 1620–1628. </w:t>
      </w:r>
      <w:hyperlink r:id="rId48">
        <w:r w:rsidDel="00000000" w:rsidR="00000000" w:rsidRPr="00000000">
          <w:rPr>
            <w:color w:val="1155cc"/>
            <w:u w:val="single"/>
            <w:rtl w:val="0"/>
          </w:rPr>
          <w:t xml:space="preserve">https://doi.org/10.1016/j.cub.2013.06.061</w:t>
        </w:r>
      </w:hyperlink>
      <w:r w:rsidDel="00000000" w:rsidR="00000000" w:rsidRPr="00000000">
        <w:rPr>
          <w:rtl w:val="0"/>
        </w:rPr>
      </w:r>
    </w:p>
    <w:p w:rsidR="00000000" w:rsidDel="00000000" w:rsidP="00000000" w:rsidRDefault="00000000" w:rsidRPr="00000000" w14:paraId="00000108">
      <w:pPr>
        <w:widowControl w:val="1"/>
        <w:numPr>
          <w:ilvl w:val="0"/>
          <w:numId w:val="1"/>
        </w:numPr>
        <w:spacing w:line="276" w:lineRule="auto"/>
        <w:ind w:left="720" w:right="592.5" w:hanging="360"/>
        <w:jc w:val="both"/>
        <w:rPr/>
      </w:pPr>
      <w:r w:rsidDel="00000000" w:rsidR="00000000" w:rsidRPr="00000000">
        <w:rPr>
          <w:rtl w:val="0"/>
        </w:rPr>
        <w:t xml:space="preserve">Harper, N. C., Rillo, R., Jover-Gil, S., Assaf, Z. J., Bhalla, N., &amp; Dernburg, A. F. (2011). Pairing centers recruit a Polo-like kinase to orchestrate meiotic chromosome dynamics in C. elegans. Developmental cell, 21(5), 934–947. </w:t>
      </w:r>
      <w:hyperlink r:id="rId49">
        <w:r w:rsidDel="00000000" w:rsidR="00000000" w:rsidRPr="00000000">
          <w:rPr>
            <w:color w:val="1155cc"/>
            <w:u w:val="single"/>
            <w:rtl w:val="0"/>
          </w:rPr>
          <w:t xml:space="preserve">https://doi.org/10.1016/j.devcel.2011.09.001</w:t>
        </w:r>
      </w:hyperlink>
      <w:r w:rsidDel="00000000" w:rsidR="00000000" w:rsidRPr="00000000">
        <w:rPr>
          <w:rtl w:val="0"/>
        </w:rPr>
      </w:r>
    </w:p>
    <w:p w:rsidR="00000000" w:rsidDel="00000000" w:rsidP="00000000" w:rsidRDefault="00000000" w:rsidRPr="00000000" w14:paraId="00000109">
      <w:pPr>
        <w:widowControl w:val="1"/>
        <w:numPr>
          <w:ilvl w:val="0"/>
          <w:numId w:val="1"/>
        </w:numPr>
        <w:spacing w:line="276" w:lineRule="auto"/>
        <w:ind w:left="720" w:right="592.5" w:hanging="360"/>
        <w:jc w:val="both"/>
        <w:rPr/>
      </w:pPr>
      <w:r w:rsidDel="00000000" w:rsidR="00000000" w:rsidRPr="00000000">
        <w:rPr>
          <w:rtl w:val="0"/>
        </w:rPr>
        <w:t xml:space="preserve">He, L., Wang, X., &amp; Montell, D. J. (2011). Shining light on Drosophila oogenesis: live imaging of egg development. Current </w:t>
      </w:r>
    </w:p>
    <w:p w:rsidR="00000000" w:rsidDel="00000000" w:rsidP="00000000" w:rsidRDefault="00000000" w:rsidRPr="00000000" w14:paraId="0000010A">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0B">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0C">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0D">
      <w:pPr>
        <w:widowControl w:val="1"/>
        <w:spacing w:line="276" w:lineRule="auto"/>
        <w:ind w:left="720" w:right="592.5" w:firstLine="0"/>
        <w:jc w:val="both"/>
        <w:rPr/>
      </w:pPr>
      <w:r w:rsidDel="00000000" w:rsidR="00000000" w:rsidRPr="00000000">
        <w:rPr>
          <w:rtl w:val="0"/>
        </w:rPr>
        <w:t xml:space="preserve">opinion in genetics &amp; development, 21(5), 612–619. </w:t>
      </w:r>
      <w:hyperlink r:id="rId50">
        <w:r w:rsidDel="00000000" w:rsidR="00000000" w:rsidRPr="00000000">
          <w:rPr>
            <w:color w:val="1155cc"/>
            <w:u w:val="single"/>
            <w:rtl w:val="0"/>
          </w:rPr>
          <w:t xml:space="preserve">https://doi.org/10.1016/j.gde.2011.08.011</w:t>
        </w:r>
      </w:hyperlink>
      <w:r w:rsidDel="00000000" w:rsidR="00000000" w:rsidRPr="00000000">
        <w:rPr>
          <w:rtl w:val="0"/>
        </w:rPr>
      </w:r>
    </w:p>
    <w:p w:rsidR="00000000" w:rsidDel="00000000" w:rsidP="00000000" w:rsidRDefault="00000000" w:rsidRPr="00000000" w14:paraId="0000010E">
      <w:pPr>
        <w:widowControl w:val="1"/>
        <w:numPr>
          <w:ilvl w:val="0"/>
          <w:numId w:val="1"/>
        </w:numPr>
        <w:spacing w:line="276" w:lineRule="auto"/>
        <w:ind w:left="720" w:right="592.5" w:hanging="360"/>
        <w:jc w:val="both"/>
        <w:rPr/>
      </w:pPr>
      <w:r w:rsidDel="00000000" w:rsidR="00000000" w:rsidRPr="00000000">
        <w:rPr>
          <w:rtl w:val="0"/>
        </w:rPr>
        <w:t xml:space="preserve">Hertig, A. T., &amp; Adams, E. C. (1967). Studies on the human oocyte and its follicle. I. Ultrastructural and histochemical observations on the primordial follicle stage. The Journal of cell biology, 34(2), 647–675. </w:t>
      </w:r>
      <w:hyperlink r:id="rId51">
        <w:r w:rsidDel="00000000" w:rsidR="00000000" w:rsidRPr="00000000">
          <w:rPr>
            <w:color w:val="1155cc"/>
            <w:u w:val="single"/>
            <w:rtl w:val="0"/>
          </w:rPr>
          <w:t xml:space="preserve">https://doi.org/10.1083/jcb.34.2.647</w:t>
        </w:r>
      </w:hyperlink>
      <w:r w:rsidDel="00000000" w:rsidR="00000000" w:rsidRPr="00000000">
        <w:rPr>
          <w:rtl w:val="0"/>
        </w:rPr>
      </w:r>
    </w:p>
    <w:p w:rsidR="00000000" w:rsidDel="00000000" w:rsidP="00000000" w:rsidRDefault="00000000" w:rsidRPr="00000000" w14:paraId="0000010F">
      <w:pPr>
        <w:widowControl w:val="1"/>
        <w:numPr>
          <w:ilvl w:val="0"/>
          <w:numId w:val="1"/>
        </w:numPr>
        <w:spacing w:line="276" w:lineRule="auto"/>
        <w:ind w:left="720" w:right="592.5" w:hanging="360"/>
        <w:jc w:val="both"/>
        <w:rPr/>
      </w:pPr>
      <w:r w:rsidDel="00000000" w:rsidR="00000000" w:rsidRPr="00000000">
        <w:rPr>
          <w:rtl w:val="0"/>
        </w:rPr>
        <w:t xml:space="preserve">Inoué, S., &amp; Sato, H. (1967). Cell motility by labile association of molecules. The nature of mitotic spindle fibers and their role in chromosome movement. The Journal of general physiology, 50(6), 259–292.</w:t>
      </w:r>
    </w:p>
    <w:p w:rsidR="00000000" w:rsidDel="00000000" w:rsidP="00000000" w:rsidRDefault="00000000" w:rsidRPr="00000000" w14:paraId="00000110">
      <w:pPr>
        <w:widowControl w:val="1"/>
        <w:numPr>
          <w:ilvl w:val="0"/>
          <w:numId w:val="1"/>
        </w:numPr>
        <w:spacing w:line="276" w:lineRule="auto"/>
        <w:ind w:left="720" w:right="592.5" w:hanging="360"/>
        <w:jc w:val="both"/>
        <w:rPr/>
      </w:pPr>
      <w:r w:rsidDel="00000000" w:rsidR="00000000" w:rsidRPr="00000000">
        <w:rPr>
          <w:rtl w:val="0"/>
        </w:rPr>
        <w:t xml:space="preserve">Iwao, Y., &amp; Elinson, R. P. (1990). Control of sperm nuclear behavior in physiologically polyspermic newt eggs: possible involvement of MPF. Developmental biology, 142(2), 301–312. </w:t>
      </w:r>
      <w:hyperlink r:id="rId52">
        <w:r w:rsidDel="00000000" w:rsidR="00000000" w:rsidRPr="00000000">
          <w:rPr>
            <w:color w:val="1155cc"/>
            <w:u w:val="single"/>
            <w:rtl w:val="0"/>
          </w:rPr>
          <w:t xml:space="preserve">https://doi.org/10.1016/0012-1606(90)90351-i</w:t>
        </w:r>
      </w:hyperlink>
      <w:r w:rsidDel="00000000" w:rsidR="00000000" w:rsidRPr="00000000">
        <w:rPr>
          <w:rtl w:val="0"/>
        </w:rPr>
      </w:r>
    </w:p>
    <w:p w:rsidR="00000000" w:rsidDel="00000000" w:rsidP="00000000" w:rsidRDefault="00000000" w:rsidRPr="00000000" w14:paraId="00000111">
      <w:pPr>
        <w:widowControl w:val="1"/>
        <w:numPr>
          <w:ilvl w:val="0"/>
          <w:numId w:val="1"/>
        </w:numPr>
        <w:spacing w:line="276" w:lineRule="auto"/>
        <w:ind w:left="720" w:right="592.5" w:hanging="360"/>
        <w:jc w:val="both"/>
        <w:rPr/>
      </w:pPr>
      <w:r w:rsidDel="00000000" w:rsidR="00000000" w:rsidRPr="00000000">
        <w:rPr>
          <w:rtl w:val="0"/>
        </w:rPr>
        <w:t xml:space="preserve">Iwao, Y., Kimoto, C., Fujimoto, A., Suda, A., &amp; Hara, Y. (2020). Physiological polyspermy: Selection of a sperm nucleus for the development of diploid genomes in amphibians. Molecular reproduction and development, 87(3), 358–369. </w:t>
      </w:r>
      <w:hyperlink r:id="rId53">
        <w:r w:rsidDel="00000000" w:rsidR="00000000" w:rsidRPr="00000000">
          <w:rPr>
            <w:color w:val="1155cc"/>
            <w:u w:val="single"/>
            <w:rtl w:val="0"/>
          </w:rPr>
          <w:t xml:space="preserve">https://doi.org/10.1002/mrd.23235</w:t>
        </w:r>
      </w:hyperlink>
      <w:r w:rsidDel="00000000" w:rsidR="00000000" w:rsidRPr="00000000">
        <w:rPr>
          <w:rtl w:val="0"/>
        </w:rPr>
      </w:r>
    </w:p>
    <w:p w:rsidR="00000000" w:rsidDel="00000000" w:rsidP="00000000" w:rsidRDefault="00000000" w:rsidRPr="00000000" w14:paraId="00000112">
      <w:pPr>
        <w:widowControl w:val="1"/>
        <w:numPr>
          <w:ilvl w:val="0"/>
          <w:numId w:val="1"/>
        </w:numPr>
        <w:spacing w:line="276" w:lineRule="auto"/>
        <w:ind w:left="720" w:right="592.5" w:hanging="360"/>
        <w:jc w:val="both"/>
        <w:rPr/>
      </w:pPr>
      <w:r w:rsidDel="00000000" w:rsidR="00000000" w:rsidRPr="00000000">
        <w:rPr>
          <w:rtl w:val="0"/>
        </w:rPr>
        <w:t xml:space="preserve">Iwao, Y., Murakawa, T., Yamaguchi, J., &amp; Yamashita, M. (2002). Localization of gamma-tubulin and cyclin B during early cleavage in physiologically polyspermic newt eggs. Development, growth &amp; differentiation, 44(6), 489–499. </w:t>
      </w:r>
      <w:hyperlink r:id="rId54">
        <w:r w:rsidDel="00000000" w:rsidR="00000000" w:rsidRPr="00000000">
          <w:rPr>
            <w:color w:val="1155cc"/>
            <w:u w:val="single"/>
            <w:rtl w:val="0"/>
          </w:rPr>
          <w:t xml:space="preserve">https://doi.org/10.1046/j.1440-169x.2002.00661.x</w:t>
        </w:r>
      </w:hyperlink>
      <w:r w:rsidDel="00000000" w:rsidR="00000000" w:rsidRPr="00000000">
        <w:rPr>
          <w:rtl w:val="0"/>
        </w:rPr>
      </w:r>
    </w:p>
    <w:p w:rsidR="00000000" w:rsidDel="00000000" w:rsidP="00000000" w:rsidRDefault="00000000" w:rsidRPr="00000000" w14:paraId="00000113">
      <w:pPr>
        <w:widowControl w:val="1"/>
        <w:numPr>
          <w:ilvl w:val="0"/>
          <w:numId w:val="1"/>
        </w:numPr>
        <w:spacing w:line="276" w:lineRule="auto"/>
        <w:ind w:left="720" w:right="592.5" w:hanging="360"/>
        <w:jc w:val="both"/>
        <w:rPr/>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14">
      <w:pPr>
        <w:widowControl w:val="1"/>
        <w:numPr>
          <w:ilvl w:val="0"/>
          <w:numId w:val="1"/>
        </w:numPr>
        <w:spacing w:line="276" w:lineRule="auto"/>
        <w:ind w:left="720" w:right="592.5" w:hanging="360"/>
        <w:jc w:val="both"/>
        <w:rPr/>
      </w:pPr>
      <w:r w:rsidDel="00000000" w:rsidR="00000000" w:rsidRPr="00000000">
        <w:rPr>
          <w:rtl w:val="0"/>
        </w:rPr>
        <w:t xml:space="preserve">Jakobsen, L., Vanselow, K., Skogs, M., Toyoda, Y., Lundberg, E., Poser, I., Falkenby, L. G., Bennetzen, M., Westendorf, J., Nigg, E. A., Uhlen, M., Hyman, A. A., &amp; Andersen, J. S. (2011). Novel asymmetrically localizing components of human centrosomes </w:t>
      </w:r>
    </w:p>
    <w:p w:rsidR="00000000" w:rsidDel="00000000" w:rsidP="00000000" w:rsidRDefault="00000000" w:rsidRPr="00000000" w14:paraId="00000115">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16">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17">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18">
      <w:pPr>
        <w:widowControl w:val="1"/>
        <w:spacing w:line="276" w:lineRule="auto"/>
        <w:ind w:left="720" w:right="592.5" w:firstLine="0"/>
        <w:jc w:val="both"/>
        <w:rPr/>
      </w:pPr>
      <w:r w:rsidDel="00000000" w:rsidR="00000000" w:rsidRPr="00000000">
        <w:rPr>
          <w:rtl w:val="0"/>
        </w:rPr>
        <w:t xml:space="preserve">identified by complementary proteomics methods. The EMBO journal, 30(8), 1520–1535. </w:t>
      </w:r>
      <w:hyperlink r:id="rId55">
        <w:r w:rsidDel="00000000" w:rsidR="00000000" w:rsidRPr="00000000">
          <w:rPr>
            <w:color w:val="1155cc"/>
            <w:u w:val="single"/>
            <w:rtl w:val="0"/>
          </w:rPr>
          <w:t xml:space="preserve">https://doi.org/10.1038/emboj.2011.63</w:t>
        </w:r>
      </w:hyperlink>
      <w:r w:rsidDel="00000000" w:rsidR="00000000" w:rsidRPr="00000000">
        <w:rPr>
          <w:rtl w:val="0"/>
        </w:rPr>
      </w:r>
    </w:p>
    <w:p w:rsidR="00000000" w:rsidDel="00000000" w:rsidP="00000000" w:rsidRDefault="00000000" w:rsidRPr="00000000" w14:paraId="00000119">
      <w:pPr>
        <w:widowControl w:val="1"/>
        <w:numPr>
          <w:ilvl w:val="0"/>
          <w:numId w:val="1"/>
        </w:numPr>
        <w:spacing w:line="276" w:lineRule="auto"/>
        <w:ind w:left="720" w:right="592.5" w:hanging="360"/>
        <w:jc w:val="both"/>
        <w:rPr/>
      </w:pPr>
      <w:r w:rsidDel="00000000" w:rsidR="00000000" w:rsidRPr="00000000">
        <w:rPr>
          <w:rtl w:val="0"/>
        </w:rPr>
        <w:t xml:space="preserve">Janke, C., &amp; Magiera, M. M. (2020). The tubulin code and its role in controlling microtubule properties and functions. Nature reviews. Molecular cell biology, 21(6), 307–326. </w:t>
      </w:r>
      <w:hyperlink r:id="rId56">
        <w:r w:rsidDel="00000000" w:rsidR="00000000" w:rsidRPr="00000000">
          <w:rPr>
            <w:color w:val="1155cc"/>
            <w:u w:val="single"/>
            <w:rtl w:val="0"/>
          </w:rPr>
          <w:t xml:space="preserve">https://doi.org/10.1038/s41580-020-0214-3</w:t>
        </w:r>
      </w:hyperlink>
      <w:r w:rsidDel="00000000" w:rsidR="00000000" w:rsidRPr="00000000">
        <w:rPr>
          <w:rtl w:val="0"/>
        </w:rPr>
      </w:r>
    </w:p>
    <w:p w:rsidR="00000000" w:rsidDel="00000000" w:rsidP="00000000" w:rsidRDefault="00000000" w:rsidRPr="00000000" w14:paraId="0000011A">
      <w:pPr>
        <w:widowControl w:val="1"/>
        <w:numPr>
          <w:ilvl w:val="0"/>
          <w:numId w:val="1"/>
        </w:numPr>
        <w:spacing w:line="276" w:lineRule="auto"/>
        <w:ind w:left="720" w:right="592.5" w:hanging="360"/>
        <w:jc w:val="both"/>
        <w:rPr/>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57">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11B">
      <w:pPr>
        <w:widowControl w:val="1"/>
        <w:numPr>
          <w:ilvl w:val="0"/>
          <w:numId w:val="1"/>
        </w:numPr>
        <w:spacing w:line="276" w:lineRule="auto"/>
        <w:ind w:left="720" w:right="592.5" w:hanging="360"/>
        <w:jc w:val="both"/>
        <w:rPr/>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58">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11C">
      <w:pPr>
        <w:widowControl w:val="1"/>
        <w:numPr>
          <w:ilvl w:val="0"/>
          <w:numId w:val="1"/>
        </w:numPr>
        <w:spacing w:line="276" w:lineRule="auto"/>
        <w:ind w:left="720" w:right="592.5" w:hanging="360"/>
        <w:jc w:val="both"/>
        <w:rPr/>
      </w:pPr>
      <w:r w:rsidDel="00000000" w:rsidR="00000000" w:rsidRPr="00000000">
        <w:rPr>
          <w:rtl w:val="0"/>
        </w:rPr>
        <w:t xml:space="preserve">Kai, Y., Iwata, K., Iba, Y., &amp; Mio, Y. (2015). Diagnosis of abnormal human fertilization status based on pronuclear origin and/or centrosome number. Journal of assisted reproduction and genetics, 32(11), 1589–1595. </w:t>
      </w:r>
      <w:hyperlink r:id="rId59">
        <w:r w:rsidDel="00000000" w:rsidR="00000000" w:rsidRPr="00000000">
          <w:rPr>
            <w:color w:val="1155cc"/>
            <w:u w:val="single"/>
            <w:rtl w:val="0"/>
          </w:rPr>
          <w:t xml:space="preserve">https://doi.org/10.1007/s10815-015-0568-1</w:t>
        </w:r>
      </w:hyperlink>
      <w:r w:rsidDel="00000000" w:rsidR="00000000" w:rsidRPr="00000000">
        <w:rPr>
          <w:rtl w:val="0"/>
        </w:rPr>
      </w:r>
    </w:p>
    <w:p w:rsidR="00000000" w:rsidDel="00000000" w:rsidP="00000000" w:rsidRDefault="00000000" w:rsidRPr="00000000" w14:paraId="0000011D">
      <w:pPr>
        <w:widowControl w:val="1"/>
        <w:numPr>
          <w:ilvl w:val="0"/>
          <w:numId w:val="1"/>
        </w:numPr>
        <w:spacing w:line="276" w:lineRule="auto"/>
        <w:ind w:left="720" w:right="592.5" w:hanging="360"/>
        <w:jc w:val="both"/>
        <w:rPr/>
      </w:pPr>
      <w:r w:rsidDel="00000000" w:rsidR="00000000" w:rsidRPr="00000000">
        <w:rPr>
          <w:rtl w:val="0"/>
        </w:rPr>
        <w:t xml:space="preserve">Kalbfuss, N., &amp; Gönczy, P. (2023). Extensive programmed centriole elimination unveiled in C. elegans embryos. Science advances, 9(22), eadg8682. </w:t>
      </w:r>
      <w:hyperlink r:id="rId60">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11E">
      <w:pPr>
        <w:widowControl w:val="1"/>
        <w:numPr>
          <w:ilvl w:val="0"/>
          <w:numId w:val="1"/>
        </w:numPr>
        <w:spacing w:line="276" w:lineRule="auto"/>
        <w:ind w:left="720" w:right="592.5" w:hanging="360"/>
        <w:jc w:val="both"/>
        <w:rPr/>
      </w:pPr>
      <w:r w:rsidDel="00000000" w:rsidR="00000000" w:rsidRPr="00000000">
        <w:rPr>
          <w:rtl w:val="0"/>
        </w:rPr>
        <w:t xml:space="preserve">Kalbfuss, N., &amp; Gönczy, P. (2023). Extensive programmed centriole elimination unveiled in C. elegans embryos. Science advances, 9(22), eadg8682. </w:t>
      </w:r>
      <w:hyperlink r:id="rId61">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11F">
      <w:pPr>
        <w:widowControl w:val="1"/>
        <w:numPr>
          <w:ilvl w:val="0"/>
          <w:numId w:val="1"/>
        </w:numPr>
        <w:spacing w:line="276" w:lineRule="auto"/>
        <w:ind w:left="720" w:right="592.5" w:hanging="360"/>
        <w:jc w:val="both"/>
        <w:rPr/>
      </w:pPr>
      <w:r w:rsidDel="00000000" w:rsidR="00000000" w:rsidRPr="00000000">
        <w:rPr>
          <w:rtl w:val="0"/>
        </w:rPr>
        <w:t xml:space="preserve">Kasahara, K., &amp; Inagaki, M. (2021). Primary ciliary signaling: links with the cell cycle. Trends in cell biology, 31(12), 954–964. </w:t>
      </w:r>
      <w:hyperlink r:id="rId62">
        <w:r w:rsidDel="00000000" w:rsidR="00000000" w:rsidRPr="00000000">
          <w:rPr>
            <w:color w:val="1155cc"/>
            <w:u w:val="single"/>
            <w:rtl w:val="0"/>
          </w:rPr>
          <w:t xml:space="preserve">https://doi.org/10.1016/j.tcb.2021.07.009</w:t>
        </w:r>
      </w:hyperlink>
      <w:r w:rsidDel="00000000" w:rsidR="00000000" w:rsidRPr="00000000">
        <w:rPr>
          <w:rtl w:val="0"/>
        </w:rPr>
      </w:r>
    </w:p>
    <w:p w:rsidR="00000000" w:rsidDel="00000000" w:rsidP="00000000" w:rsidRDefault="00000000" w:rsidRPr="00000000" w14:paraId="00000120">
      <w:pPr>
        <w:widowControl w:val="1"/>
        <w:numPr>
          <w:ilvl w:val="0"/>
          <w:numId w:val="1"/>
        </w:numPr>
        <w:spacing w:line="276" w:lineRule="auto"/>
        <w:ind w:left="720" w:right="592.5" w:hanging="360"/>
        <w:jc w:val="both"/>
        <w:rPr/>
      </w:pPr>
      <w:r w:rsidDel="00000000" w:rsidR="00000000" w:rsidRPr="00000000">
        <w:rPr>
          <w:rtl w:val="0"/>
        </w:rPr>
        <w:t xml:space="preserve">Khire, A., Jo, K. H., Kong, D., Akhshi, T., Blachon, S., Cekic, A. R., Hynek, S., Ha, A., </w:t>
      </w:r>
    </w:p>
    <w:p w:rsidR="00000000" w:rsidDel="00000000" w:rsidP="00000000" w:rsidRDefault="00000000" w:rsidRPr="00000000" w14:paraId="00000121">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22">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23">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24">
      <w:pPr>
        <w:widowControl w:val="1"/>
        <w:numPr>
          <w:ilvl w:val="0"/>
          <w:numId w:val="1"/>
        </w:numPr>
        <w:spacing w:line="276" w:lineRule="auto"/>
        <w:ind w:left="720" w:right="592.5" w:hanging="360"/>
        <w:jc w:val="both"/>
        <w:rPr/>
      </w:pPr>
      <w:r w:rsidDel="00000000" w:rsidR="00000000" w:rsidRPr="00000000">
        <w:rPr>
          <w:rtl w:val="0"/>
        </w:rPr>
        <w:t xml:space="preserve">Loncarek, J., Mennella, V., &amp; Avidor-Reiss, T. (2016). Centriole Remodeling during Spermiogenesis in Drosophila. Current biology : CB, 26(23), 3183–3189. </w:t>
      </w:r>
      <w:hyperlink r:id="rId63">
        <w:r w:rsidDel="00000000" w:rsidR="00000000" w:rsidRPr="00000000">
          <w:rPr>
            <w:color w:val="1155cc"/>
            <w:u w:val="single"/>
            <w:rtl w:val="0"/>
          </w:rPr>
          <w:t xml:space="preserve">https://doi.org/10.1016/j.cub.2016.07.006</w:t>
        </w:r>
      </w:hyperlink>
      <w:r w:rsidDel="00000000" w:rsidR="00000000" w:rsidRPr="00000000">
        <w:rPr>
          <w:rtl w:val="0"/>
        </w:rPr>
      </w:r>
    </w:p>
    <w:p w:rsidR="00000000" w:rsidDel="00000000" w:rsidP="00000000" w:rsidRDefault="00000000" w:rsidRPr="00000000" w14:paraId="00000125">
      <w:pPr>
        <w:widowControl w:val="1"/>
        <w:numPr>
          <w:ilvl w:val="0"/>
          <w:numId w:val="1"/>
        </w:numPr>
        <w:spacing w:line="276" w:lineRule="auto"/>
        <w:ind w:left="720" w:right="592.5" w:hanging="360"/>
        <w:jc w:val="both"/>
        <w:rPr/>
      </w:pPr>
      <w:r w:rsidDel="00000000" w:rsidR="00000000" w:rsidRPr="00000000">
        <w:rPr>
          <w:rtl w:val="0"/>
        </w:rPr>
        <w:t xml:space="preserve">Khire, A., Vizuet, A. A., Davila, E., &amp; Avidor-Reiss, T. (2015). Asterless Reduction during Spermiogenesis Is Regulated by Plk4 and Is Essential for Zygote Development in Drosophila. Current biology : CB, 25(22), 2956–2963. </w:t>
      </w:r>
      <w:hyperlink r:id="rId64">
        <w:r w:rsidDel="00000000" w:rsidR="00000000" w:rsidRPr="00000000">
          <w:rPr>
            <w:color w:val="1155cc"/>
            <w:u w:val="single"/>
            <w:rtl w:val="0"/>
          </w:rPr>
          <w:t xml:space="preserve">https://doi.org/10.1016/j.cub.2015.09.045</w:t>
        </w:r>
      </w:hyperlink>
      <w:r w:rsidDel="00000000" w:rsidR="00000000" w:rsidRPr="00000000">
        <w:rPr>
          <w:rtl w:val="0"/>
        </w:rPr>
      </w:r>
    </w:p>
    <w:p w:rsidR="00000000" w:rsidDel="00000000" w:rsidP="00000000" w:rsidRDefault="00000000" w:rsidRPr="00000000" w14:paraId="00000126">
      <w:pPr>
        <w:widowControl w:val="1"/>
        <w:numPr>
          <w:ilvl w:val="0"/>
          <w:numId w:val="1"/>
        </w:numPr>
        <w:spacing w:line="276" w:lineRule="auto"/>
        <w:ind w:left="720" w:right="592.5" w:hanging="360"/>
        <w:jc w:val="both"/>
        <w:rPr/>
      </w:pPr>
      <w:r w:rsidDel="00000000" w:rsidR="00000000" w:rsidRPr="00000000">
        <w:rPr>
          <w:rtl w:val="0"/>
        </w:rPr>
        <w:t xml:space="preserve">Khodjakov, A., Rieder, C. L., Sluder, G., Cassels, G., Sibon, O., &amp; Wang, C. L. (2002). De novo formation of centrosomes in vertebrate cells arrested during S phase. The Journal of cell biology, 158(7), 1171–1181. </w:t>
      </w:r>
      <w:hyperlink r:id="rId65">
        <w:r w:rsidDel="00000000" w:rsidR="00000000" w:rsidRPr="00000000">
          <w:rPr>
            <w:color w:val="1155cc"/>
            <w:u w:val="single"/>
            <w:rtl w:val="0"/>
          </w:rPr>
          <w:t xml:space="preserve">https://doi.org/10.1083/jcb.200205102</w:t>
        </w:r>
      </w:hyperlink>
      <w:r w:rsidDel="00000000" w:rsidR="00000000" w:rsidRPr="00000000">
        <w:rPr>
          <w:rtl w:val="0"/>
        </w:rPr>
      </w:r>
    </w:p>
    <w:p w:rsidR="00000000" w:rsidDel="00000000" w:rsidP="00000000" w:rsidRDefault="00000000" w:rsidRPr="00000000" w14:paraId="00000127">
      <w:pPr>
        <w:widowControl w:val="1"/>
        <w:numPr>
          <w:ilvl w:val="0"/>
          <w:numId w:val="1"/>
        </w:numPr>
        <w:spacing w:line="276" w:lineRule="auto"/>
        <w:ind w:left="720" w:right="592.5" w:hanging="360"/>
        <w:jc w:val="both"/>
        <w:rPr/>
      </w:pPr>
      <w:r w:rsidDel="00000000" w:rsidR="00000000" w:rsidRPr="00000000">
        <w:rPr>
          <w:rtl w:val="0"/>
        </w:rPr>
        <w:t xml:space="preserve">Kipshidze, M., &amp; Tkemaladze, J. (2023). Comparative Analysis of drugs that improve the Quality of Life and Life Expectancy. Junior Researchers, 1(1), 184–193. doi: </w:t>
      </w:r>
      <w:hyperlink r:id="rId66">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28">
      <w:pPr>
        <w:widowControl w:val="1"/>
        <w:numPr>
          <w:ilvl w:val="0"/>
          <w:numId w:val="1"/>
        </w:numPr>
        <w:spacing w:line="276" w:lineRule="auto"/>
        <w:ind w:left="720" w:right="592.5" w:hanging="360"/>
        <w:jc w:val="both"/>
        <w:rPr/>
      </w:pPr>
      <w:r w:rsidDel="00000000" w:rsidR="00000000" w:rsidRPr="00000000">
        <w:rPr>
          <w:rtl w:val="0"/>
        </w:rPr>
        <w:t xml:space="preserve">Kipshidze, M., &amp; Tkemaladze, J. (2023). The planaria Schmidtea mediterranea as a model system for the study of stem cell biology. Junior Researchers, 1(1), 194–218. doi: </w:t>
      </w:r>
      <w:hyperlink r:id="rId67">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29">
      <w:pPr>
        <w:widowControl w:val="1"/>
        <w:numPr>
          <w:ilvl w:val="0"/>
          <w:numId w:val="1"/>
        </w:numPr>
        <w:spacing w:line="276" w:lineRule="auto"/>
        <w:ind w:left="720" w:right="592.5" w:hanging="360"/>
        <w:jc w:val="both"/>
        <w:rPr/>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2A">
      <w:pPr>
        <w:widowControl w:val="1"/>
        <w:numPr>
          <w:ilvl w:val="0"/>
          <w:numId w:val="1"/>
        </w:numPr>
        <w:spacing w:line="276" w:lineRule="auto"/>
        <w:ind w:left="720" w:right="592.5" w:hanging="360"/>
        <w:jc w:val="both"/>
        <w:rPr/>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2B">
      <w:pPr>
        <w:widowControl w:val="1"/>
        <w:numPr>
          <w:ilvl w:val="0"/>
          <w:numId w:val="1"/>
        </w:numPr>
        <w:spacing w:line="276" w:lineRule="auto"/>
        <w:ind w:left="720" w:right="592.5" w:hanging="360"/>
        <w:jc w:val="both"/>
        <w:rPr/>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2C">
      <w:pPr>
        <w:widowControl w:val="1"/>
        <w:numPr>
          <w:ilvl w:val="0"/>
          <w:numId w:val="1"/>
        </w:numPr>
        <w:spacing w:line="276" w:lineRule="auto"/>
        <w:ind w:left="720" w:right="592.5" w:hanging="360"/>
        <w:jc w:val="both"/>
        <w:rPr/>
      </w:pPr>
      <w:r w:rsidDel="00000000" w:rsidR="00000000" w:rsidRPr="00000000">
        <w:rPr>
          <w:rtl w:val="0"/>
        </w:rPr>
        <w:t xml:space="preserve">Kochanski, R. S., &amp; Borisy, G. G. (1990). Mode of centriole duplication and distribution. The Journal of cell biology, </w:t>
      </w:r>
    </w:p>
    <w:p w:rsidR="00000000" w:rsidDel="00000000" w:rsidP="00000000" w:rsidRDefault="00000000" w:rsidRPr="00000000" w14:paraId="0000012D">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2E">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2F">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30">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31">
      <w:pPr>
        <w:widowControl w:val="1"/>
        <w:spacing w:line="276" w:lineRule="auto"/>
        <w:ind w:left="720" w:right="592.5" w:firstLine="0"/>
        <w:jc w:val="both"/>
        <w:rPr/>
      </w:pPr>
      <w:r w:rsidDel="00000000" w:rsidR="00000000" w:rsidRPr="00000000">
        <w:rPr>
          <w:rtl w:val="0"/>
        </w:rPr>
        <w:t xml:space="preserve">110(5), 1599–1605. </w:t>
      </w:r>
      <w:hyperlink r:id="rId68">
        <w:r w:rsidDel="00000000" w:rsidR="00000000" w:rsidRPr="00000000">
          <w:rPr>
            <w:color w:val="1155cc"/>
            <w:u w:val="single"/>
            <w:rtl w:val="0"/>
          </w:rPr>
          <w:t xml:space="preserve">https://doi.org/10.1083/jcb.110.5.1599</w:t>
        </w:r>
      </w:hyperlink>
      <w:r w:rsidDel="00000000" w:rsidR="00000000" w:rsidRPr="00000000">
        <w:rPr>
          <w:rtl w:val="0"/>
        </w:rPr>
      </w:r>
    </w:p>
    <w:p w:rsidR="00000000" w:rsidDel="00000000" w:rsidP="00000000" w:rsidRDefault="00000000" w:rsidRPr="00000000" w14:paraId="00000132">
      <w:pPr>
        <w:widowControl w:val="1"/>
        <w:numPr>
          <w:ilvl w:val="0"/>
          <w:numId w:val="1"/>
        </w:numPr>
        <w:spacing w:line="276" w:lineRule="auto"/>
        <w:ind w:left="720" w:right="592.5" w:hanging="360"/>
        <w:jc w:val="both"/>
        <w:rPr/>
      </w:pPr>
      <w:r w:rsidDel="00000000" w:rsidR="00000000" w:rsidRPr="00000000">
        <w:rPr>
          <w:rtl w:val="0"/>
        </w:rPr>
        <w:t xml:space="preserve">Kong, D., Farmer, V., Shukla, A., James, J., Gruskin, R., Kiriyama, S., &amp; Loncarek, J. (2014). Centriole maturation requires regulated Plk1 activity during two consecutive cell cycles. The Journal of cell biology, 206(7), 855–865. </w:t>
      </w:r>
      <w:hyperlink r:id="rId69">
        <w:r w:rsidDel="00000000" w:rsidR="00000000" w:rsidRPr="00000000">
          <w:rPr>
            <w:color w:val="1155cc"/>
            <w:u w:val="single"/>
            <w:rtl w:val="0"/>
          </w:rPr>
          <w:t xml:space="preserve">https://doi.org/10.1083/jcb.201407087</w:t>
        </w:r>
      </w:hyperlink>
      <w:r w:rsidDel="00000000" w:rsidR="00000000" w:rsidRPr="00000000">
        <w:rPr>
          <w:rtl w:val="0"/>
        </w:rPr>
      </w:r>
    </w:p>
    <w:p w:rsidR="00000000" w:rsidDel="00000000" w:rsidP="00000000" w:rsidRDefault="00000000" w:rsidRPr="00000000" w14:paraId="00000133">
      <w:pPr>
        <w:widowControl w:val="1"/>
        <w:numPr>
          <w:ilvl w:val="0"/>
          <w:numId w:val="1"/>
        </w:numPr>
        <w:spacing w:line="276" w:lineRule="auto"/>
        <w:ind w:left="720" w:right="592.5" w:hanging="360"/>
        <w:jc w:val="both"/>
        <w:rPr/>
      </w:pPr>
      <w:r w:rsidDel="00000000" w:rsidR="00000000" w:rsidRPr="00000000">
        <w:rPr>
          <w:rtl w:val="0"/>
        </w:rPr>
        <w:t xml:space="preserve">Kong, D., Sahabandu, N., Sullenberger, C., Vásquez-Limeta, A., Luvsanjav, D., Lukasik, K., &amp; Loncarek, J. (2020). Prolonged mitosis results in structurally aberrant and over-elongated centrioles. The Journal of cell biology, 219(6), e201910019. </w:t>
      </w:r>
      <w:hyperlink r:id="rId70">
        <w:r w:rsidDel="00000000" w:rsidR="00000000" w:rsidRPr="00000000">
          <w:rPr>
            <w:color w:val="1155cc"/>
            <w:u w:val="single"/>
            <w:rtl w:val="0"/>
          </w:rPr>
          <w:t xml:space="preserve">https://doi.org/10.1083/jcb.201910019</w:t>
        </w:r>
      </w:hyperlink>
      <w:r w:rsidDel="00000000" w:rsidR="00000000" w:rsidRPr="00000000">
        <w:rPr>
          <w:rtl w:val="0"/>
        </w:rPr>
      </w:r>
    </w:p>
    <w:p w:rsidR="00000000" w:rsidDel="00000000" w:rsidP="00000000" w:rsidRDefault="00000000" w:rsidRPr="00000000" w14:paraId="00000134">
      <w:pPr>
        <w:widowControl w:val="1"/>
        <w:numPr>
          <w:ilvl w:val="0"/>
          <w:numId w:val="1"/>
        </w:numPr>
        <w:spacing w:line="276" w:lineRule="auto"/>
        <w:ind w:left="720" w:right="592.5" w:hanging="360"/>
        <w:jc w:val="both"/>
        <w:rPr/>
      </w:pPr>
      <w:r w:rsidDel="00000000" w:rsidR="00000000" w:rsidRPr="00000000">
        <w:rPr>
          <w:rtl w:val="0"/>
        </w:rPr>
        <w:t xml:space="preserve">Lambrus, B. G., Uetake, Y., Clutario, K. M., Daggubati, V., Snyder, M., Sluder, G., &amp; Holland, A. J. (2015). p53 protects against genome instability following centriole duplication failure. The Journal of cell biology, 210(1), 63–77. </w:t>
      </w:r>
      <w:hyperlink r:id="rId71">
        <w:r w:rsidDel="00000000" w:rsidR="00000000" w:rsidRPr="00000000">
          <w:rPr>
            <w:color w:val="1155cc"/>
            <w:u w:val="single"/>
            <w:rtl w:val="0"/>
          </w:rPr>
          <w:t xml:space="preserve">https://doi.org/10.1083/jcb.201502089</w:t>
        </w:r>
      </w:hyperlink>
      <w:r w:rsidDel="00000000" w:rsidR="00000000" w:rsidRPr="00000000">
        <w:rPr>
          <w:rtl w:val="0"/>
        </w:rPr>
      </w:r>
    </w:p>
    <w:p w:rsidR="00000000" w:rsidDel="00000000" w:rsidP="00000000" w:rsidRDefault="00000000" w:rsidRPr="00000000" w14:paraId="00000135">
      <w:pPr>
        <w:widowControl w:val="1"/>
        <w:numPr>
          <w:ilvl w:val="0"/>
          <w:numId w:val="1"/>
        </w:numPr>
        <w:spacing w:line="276" w:lineRule="auto"/>
        <w:ind w:left="720" w:right="592.5" w:hanging="360"/>
        <w:jc w:val="both"/>
        <w:rPr/>
      </w:pPr>
      <w:r w:rsidDel="00000000" w:rsidR="00000000" w:rsidRPr="00000000">
        <w:rPr>
          <w:rtl w:val="0"/>
        </w:rPr>
        <w:t xml:space="preserve">Le Clech M. (2008). Role of CAP350 in centriolar tubule stability and centriole assembly. PloS one, 3(12), e3855. </w:t>
      </w:r>
      <w:hyperlink r:id="rId72">
        <w:r w:rsidDel="00000000" w:rsidR="00000000" w:rsidRPr="00000000">
          <w:rPr>
            <w:color w:val="1155cc"/>
            <w:u w:val="single"/>
            <w:rtl w:val="0"/>
          </w:rPr>
          <w:t xml:space="preserve">https://doi.org/10.1371/journal.pone.0003855</w:t>
        </w:r>
      </w:hyperlink>
      <w:r w:rsidDel="00000000" w:rsidR="00000000" w:rsidRPr="00000000">
        <w:rPr>
          <w:rtl w:val="0"/>
        </w:rPr>
      </w:r>
    </w:p>
    <w:p w:rsidR="00000000" w:rsidDel="00000000" w:rsidP="00000000" w:rsidRDefault="00000000" w:rsidRPr="00000000" w14:paraId="00000136">
      <w:pPr>
        <w:widowControl w:val="1"/>
        <w:numPr>
          <w:ilvl w:val="0"/>
          <w:numId w:val="1"/>
        </w:numPr>
        <w:spacing w:line="276" w:lineRule="auto"/>
        <w:ind w:left="720" w:right="592.5" w:hanging="360"/>
        <w:jc w:val="both"/>
        <w:rPr/>
      </w:pPr>
      <w:r w:rsidDel="00000000" w:rsidR="00000000" w:rsidRPr="00000000">
        <w:rPr>
          <w:rtl w:val="0"/>
        </w:rPr>
        <w:t xml:space="preserve">Levine, M. S., Bakker, B., Boeckx, B., Moyett, J., Lu, J., Vitre, B., Spierings, D. C., Lansdorp, P. M., Cleveland, D. W., Lambrechts, D., Foijer, F., &amp; Holland, A. J. (2017). Centrosome Amplification Is Sufficient to Promote Spontaneous Tumorigenesis in Mammals. Developmental cell, 40(3), 313–322.e5. </w:t>
      </w:r>
      <w:hyperlink r:id="rId73">
        <w:r w:rsidDel="00000000" w:rsidR="00000000" w:rsidRPr="00000000">
          <w:rPr>
            <w:color w:val="1155cc"/>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137">
      <w:pPr>
        <w:widowControl w:val="1"/>
        <w:numPr>
          <w:ilvl w:val="0"/>
          <w:numId w:val="1"/>
        </w:numPr>
        <w:spacing w:line="276" w:lineRule="auto"/>
        <w:ind w:left="720" w:right="592.5" w:hanging="360"/>
        <w:jc w:val="both"/>
        <w:rPr/>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38">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39">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3A">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3B">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3C">
      <w:pPr>
        <w:widowControl w:val="1"/>
        <w:numPr>
          <w:ilvl w:val="0"/>
          <w:numId w:val="1"/>
        </w:numPr>
        <w:spacing w:line="276" w:lineRule="auto"/>
        <w:ind w:left="720" w:right="592.5" w:hanging="360"/>
        <w:jc w:val="both"/>
        <w:rPr/>
      </w:pPr>
      <w:r w:rsidDel="00000000" w:rsidR="00000000" w:rsidRPr="00000000">
        <w:rPr>
          <w:rtl w:val="0"/>
        </w:rPr>
        <w:t xml:space="preserve">Li, W., Yi, P., Zhu, Z., Zhang, X., Li, W., &amp; Ou, G. (2017). Centriole translocation and degeneration during ciliogenesis in Caenorhabditis elegans neurons. The EMBO journal, 36(17), 2553–2566. </w:t>
      </w:r>
      <w:hyperlink r:id="rId74">
        <w:r w:rsidDel="00000000" w:rsidR="00000000" w:rsidRPr="00000000">
          <w:rPr>
            <w:color w:val="1155cc"/>
            <w:u w:val="single"/>
            <w:rtl w:val="0"/>
          </w:rPr>
          <w:t xml:space="preserve">https://doi.org/10.15252/embj.201796883</w:t>
        </w:r>
      </w:hyperlink>
      <w:r w:rsidDel="00000000" w:rsidR="00000000" w:rsidRPr="00000000">
        <w:rPr>
          <w:rtl w:val="0"/>
        </w:rPr>
      </w:r>
    </w:p>
    <w:p w:rsidR="00000000" w:rsidDel="00000000" w:rsidP="00000000" w:rsidRDefault="00000000" w:rsidRPr="00000000" w14:paraId="0000013D">
      <w:pPr>
        <w:widowControl w:val="1"/>
        <w:numPr>
          <w:ilvl w:val="0"/>
          <w:numId w:val="1"/>
        </w:numPr>
        <w:spacing w:line="276" w:lineRule="auto"/>
        <w:ind w:left="720" w:right="592.5" w:hanging="360"/>
        <w:jc w:val="both"/>
        <w:rPr/>
      </w:pPr>
      <w:r w:rsidDel="00000000" w:rsidR="00000000" w:rsidRPr="00000000">
        <w:rPr>
          <w:rtl w:val="0"/>
        </w:rPr>
        <w:t xml:space="preserve">Lu, Y., &amp; Roy, R. (2014). Centrosome/Cell cycle uncoupling and elimination in the endoreduplicating intestinal cells of C. elegans. PloS one, 9(10), e110958. </w:t>
      </w:r>
      <w:hyperlink r:id="rId75">
        <w:r w:rsidDel="00000000" w:rsidR="00000000" w:rsidRPr="00000000">
          <w:rPr>
            <w:color w:val="1155cc"/>
            <w:u w:val="single"/>
            <w:rtl w:val="0"/>
          </w:rPr>
          <w:t xml:space="preserve">https://doi.org/10.1371/journal.pone.0110958</w:t>
        </w:r>
      </w:hyperlink>
      <w:r w:rsidDel="00000000" w:rsidR="00000000" w:rsidRPr="00000000">
        <w:rPr>
          <w:rtl w:val="0"/>
        </w:rPr>
      </w:r>
    </w:p>
    <w:p w:rsidR="00000000" w:rsidDel="00000000" w:rsidP="00000000" w:rsidRDefault="00000000" w:rsidRPr="00000000" w14:paraId="0000013E">
      <w:pPr>
        <w:widowControl w:val="1"/>
        <w:numPr>
          <w:ilvl w:val="0"/>
          <w:numId w:val="1"/>
        </w:numPr>
        <w:spacing w:line="276" w:lineRule="auto"/>
        <w:ind w:left="720" w:right="592.5" w:hanging="360"/>
        <w:jc w:val="both"/>
        <w:rPr/>
      </w:pPr>
      <w:r w:rsidDel="00000000" w:rsidR="00000000" w:rsidRPr="00000000">
        <w:rPr>
          <w:rtl w:val="0"/>
        </w:rPr>
        <w:t xml:space="preserve">Lukinavičius, G., Lavogina, D., Orpinell, M., Umezawa, K., Reymond, L., Garin, N., Gönczy, P., &amp; Johnsson, K. (2013). Selective chemical crosslinking reveals a Cep57-Cep63-Cep152 centrosomal complex. Current biology : CB, 23(3), 265–270. </w:t>
      </w:r>
      <w:hyperlink r:id="rId76">
        <w:r w:rsidDel="00000000" w:rsidR="00000000" w:rsidRPr="00000000">
          <w:rPr>
            <w:color w:val="1155cc"/>
            <w:u w:val="single"/>
            <w:rtl w:val="0"/>
          </w:rPr>
          <w:t xml:space="preserve">https://doi.org/10.1016/j.cub.2012.12.030</w:t>
        </w:r>
      </w:hyperlink>
      <w:r w:rsidDel="00000000" w:rsidR="00000000" w:rsidRPr="00000000">
        <w:rPr>
          <w:rtl w:val="0"/>
        </w:rPr>
      </w:r>
    </w:p>
    <w:p w:rsidR="00000000" w:rsidDel="00000000" w:rsidP="00000000" w:rsidRDefault="00000000" w:rsidRPr="00000000" w14:paraId="0000013F">
      <w:pPr>
        <w:widowControl w:val="1"/>
        <w:numPr>
          <w:ilvl w:val="0"/>
          <w:numId w:val="1"/>
        </w:numPr>
        <w:spacing w:line="276" w:lineRule="auto"/>
        <w:ind w:left="720" w:right="592.5" w:hanging="360"/>
        <w:jc w:val="both"/>
        <w:rPr/>
      </w:pPr>
      <w:r w:rsidDel="00000000" w:rsidR="00000000" w:rsidRPr="00000000">
        <w:rPr>
          <w:rtl w:val="0"/>
        </w:rPr>
        <w:t xml:space="preserve">Magescas, J., Eskinazi, S., Tran, M. V., &amp; Feldman, J. L. (2021). Centriole-less pericentriolar material serves as a microtubule organizing center at the base of C. elegans sensory cilia. Current biology : CB, 31(11), 2410–2417.e6. </w:t>
      </w:r>
      <w:hyperlink r:id="rId77">
        <w:r w:rsidDel="00000000" w:rsidR="00000000" w:rsidRPr="00000000">
          <w:rPr>
            <w:color w:val="1155cc"/>
            <w:u w:val="single"/>
            <w:rtl w:val="0"/>
          </w:rPr>
          <w:t xml:space="preserve">https://doi.org/10.1016/j.cub.2021.03.022</w:t>
        </w:r>
      </w:hyperlink>
      <w:r w:rsidDel="00000000" w:rsidR="00000000" w:rsidRPr="00000000">
        <w:rPr>
          <w:rtl w:val="0"/>
        </w:rPr>
      </w:r>
    </w:p>
    <w:p w:rsidR="00000000" w:rsidDel="00000000" w:rsidP="00000000" w:rsidRDefault="00000000" w:rsidRPr="00000000" w14:paraId="00000140">
      <w:pPr>
        <w:widowControl w:val="1"/>
        <w:numPr>
          <w:ilvl w:val="0"/>
          <w:numId w:val="1"/>
        </w:numPr>
        <w:spacing w:line="276" w:lineRule="auto"/>
        <w:ind w:left="720" w:right="592.5" w:hanging="360"/>
        <w:jc w:val="both"/>
        <w:rPr/>
      </w:pPr>
      <w:r w:rsidDel="00000000" w:rsidR="00000000" w:rsidRPr="00000000">
        <w:rPr>
          <w:rtl w:val="0"/>
        </w:rPr>
        <w:t xml:space="preserve">Maller, J., Poccia, D., Nishioka, D., Kidd, P., Gerhart, J., &amp; Hartman, H. (1976). Spindle formation and cleavage in Xenopus eggs injected with centriole-containing fractions from sperm. Experimental cell research, 99(2), 285–294. </w:t>
      </w:r>
      <w:hyperlink r:id="rId78">
        <w:r w:rsidDel="00000000" w:rsidR="00000000" w:rsidRPr="00000000">
          <w:rPr>
            <w:color w:val="1155cc"/>
            <w:u w:val="single"/>
            <w:rtl w:val="0"/>
          </w:rPr>
          <w:t xml:space="preserve">https://doi.org/10.1016/0014-4827(76)90585-1</w:t>
        </w:r>
      </w:hyperlink>
      <w:r w:rsidDel="00000000" w:rsidR="00000000" w:rsidRPr="00000000">
        <w:rPr>
          <w:rtl w:val="0"/>
        </w:rPr>
      </w:r>
    </w:p>
    <w:p w:rsidR="00000000" w:rsidDel="00000000" w:rsidP="00000000" w:rsidRDefault="00000000" w:rsidRPr="00000000" w14:paraId="00000141">
      <w:pPr>
        <w:widowControl w:val="1"/>
        <w:numPr>
          <w:ilvl w:val="0"/>
          <w:numId w:val="1"/>
        </w:numPr>
        <w:spacing w:line="276" w:lineRule="auto"/>
        <w:ind w:left="720" w:right="592.5" w:hanging="360"/>
        <w:jc w:val="both"/>
        <w:rPr/>
      </w:pPr>
      <w:r w:rsidDel="00000000" w:rsidR="00000000" w:rsidRPr="00000000">
        <w:rPr>
          <w:rtl w:val="0"/>
        </w:rPr>
        <w:t xml:space="preserve">Manandhar, G., Schatten, H., &amp; Sutovsky, P. (2005). Centrosome reduction during gametogenesis and its significance. Biology of reproduction, 72(1), 2–13. </w:t>
      </w:r>
      <w:hyperlink r:id="rId79">
        <w:r w:rsidDel="00000000" w:rsidR="00000000" w:rsidRPr="00000000">
          <w:rPr>
            <w:color w:val="1155cc"/>
            <w:u w:val="single"/>
            <w:rtl w:val="0"/>
          </w:rPr>
          <w:t xml:space="preserve">https://doi.org/10.1095/biolreprod.104.031245</w:t>
        </w:r>
      </w:hyperlink>
      <w:r w:rsidDel="00000000" w:rsidR="00000000" w:rsidRPr="00000000">
        <w:rPr>
          <w:rtl w:val="0"/>
        </w:rPr>
      </w:r>
    </w:p>
    <w:p w:rsidR="00000000" w:rsidDel="00000000" w:rsidP="00000000" w:rsidRDefault="00000000" w:rsidRPr="00000000" w14:paraId="00000142">
      <w:pPr>
        <w:widowControl w:val="1"/>
        <w:numPr>
          <w:ilvl w:val="0"/>
          <w:numId w:val="1"/>
        </w:numPr>
        <w:spacing w:line="276" w:lineRule="auto"/>
        <w:ind w:left="720" w:right="592.5" w:hanging="360"/>
        <w:jc w:val="both"/>
        <w:rPr/>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43">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44">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45">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46">
      <w:pPr>
        <w:widowControl w:val="1"/>
        <w:numPr>
          <w:ilvl w:val="0"/>
          <w:numId w:val="1"/>
        </w:numPr>
        <w:spacing w:line="276" w:lineRule="auto"/>
        <w:ind w:left="720" w:right="592.5" w:hanging="360"/>
        <w:jc w:val="both"/>
        <w:rPr/>
      </w:pPr>
      <w:r w:rsidDel="00000000" w:rsidR="00000000" w:rsidRPr="00000000">
        <w:rPr>
          <w:rtl w:val="0"/>
        </w:rPr>
        <w:t xml:space="preserve">Matsuura, K., Lefebvre, P. A., Kamiya, R., &amp; Hirono, M. (2004). Bld10p, a novel protein essential for basal body assembly in Chlamydomonas: localization to the cartwheel, the first ninefold symmetrical structure appearing during assembly. The Journal of cell biology, 165(5), 663–671. </w:t>
      </w:r>
      <w:hyperlink r:id="rId80">
        <w:r w:rsidDel="00000000" w:rsidR="00000000" w:rsidRPr="00000000">
          <w:rPr>
            <w:color w:val="1155cc"/>
            <w:u w:val="single"/>
            <w:rtl w:val="0"/>
          </w:rPr>
          <w:t xml:space="preserve">https://doi.org/10.1083/jcb.200402022</w:t>
        </w:r>
      </w:hyperlink>
      <w:r w:rsidDel="00000000" w:rsidR="00000000" w:rsidRPr="00000000">
        <w:rPr>
          <w:rtl w:val="0"/>
        </w:rPr>
      </w:r>
    </w:p>
    <w:p w:rsidR="00000000" w:rsidDel="00000000" w:rsidP="00000000" w:rsidRDefault="00000000" w:rsidRPr="00000000" w14:paraId="00000147">
      <w:pPr>
        <w:widowControl w:val="1"/>
        <w:numPr>
          <w:ilvl w:val="0"/>
          <w:numId w:val="1"/>
        </w:numPr>
        <w:spacing w:line="276" w:lineRule="auto"/>
        <w:ind w:left="720" w:right="592.5" w:hanging="360"/>
        <w:jc w:val="both"/>
        <w:rPr/>
      </w:pPr>
      <w:r w:rsidDel="00000000" w:rsidR="00000000" w:rsidRPr="00000000">
        <w:rPr>
          <w:rtl w:val="0"/>
        </w:rPr>
        <w:t xml:space="preserve">Matsuura, R., Ashikawa, T., Nozaki, Y., &amp; Kitagawa, D. (2016). LIN-41 inactivation leads to delayed centrosome elimination and abnormal chromosome behavior during female meiosis in Caenorhabditis elegans. Molecular biology of the cell, 27(5), 799–811. </w:t>
      </w:r>
      <w:hyperlink r:id="rId81">
        <w:r w:rsidDel="00000000" w:rsidR="00000000" w:rsidRPr="00000000">
          <w:rPr>
            <w:color w:val="1155cc"/>
            <w:u w:val="single"/>
            <w:rtl w:val="0"/>
          </w:rPr>
          <w:t xml:space="preserve">https://doi.org/10.1091/mbc.E15-10-0713</w:t>
        </w:r>
      </w:hyperlink>
      <w:r w:rsidDel="00000000" w:rsidR="00000000" w:rsidRPr="00000000">
        <w:rPr>
          <w:rtl w:val="0"/>
        </w:rPr>
      </w:r>
    </w:p>
    <w:p w:rsidR="00000000" w:rsidDel="00000000" w:rsidP="00000000" w:rsidRDefault="00000000" w:rsidRPr="00000000" w14:paraId="00000148">
      <w:pPr>
        <w:widowControl w:val="1"/>
        <w:numPr>
          <w:ilvl w:val="0"/>
          <w:numId w:val="1"/>
        </w:numPr>
        <w:spacing w:line="276" w:lineRule="auto"/>
        <w:ind w:left="720" w:right="592.5" w:hanging="360"/>
        <w:jc w:val="both"/>
        <w:rPr/>
      </w:pPr>
      <w:r w:rsidDel="00000000" w:rsidR="00000000" w:rsidRPr="00000000">
        <w:rPr>
          <w:rtl w:val="0"/>
        </w:rPr>
        <w:t xml:space="preserve">Mikeladze-Dvali, T., von Tobel, L., Strnad, P., Knott, G., Leonhardt, H., Schermelleh, L., &amp; Gönczy, P. (2012). Analysis of centriole elimination during C. elegans oogenesis. Development (Cambridge, England), 139(9), 1670–1679. </w:t>
      </w:r>
      <w:hyperlink r:id="rId82">
        <w:r w:rsidDel="00000000" w:rsidR="00000000" w:rsidRPr="00000000">
          <w:rPr>
            <w:color w:val="1155cc"/>
            <w:u w:val="single"/>
            <w:rtl w:val="0"/>
          </w:rPr>
          <w:t xml:space="preserve">https://doi.org/10.1242/dev.075440</w:t>
        </w:r>
      </w:hyperlink>
      <w:r w:rsidDel="00000000" w:rsidR="00000000" w:rsidRPr="00000000">
        <w:rPr>
          <w:rtl w:val="0"/>
        </w:rPr>
      </w:r>
    </w:p>
    <w:p w:rsidR="00000000" w:rsidDel="00000000" w:rsidP="00000000" w:rsidRDefault="00000000" w:rsidRPr="00000000" w14:paraId="00000149">
      <w:pPr>
        <w:widowControl w:val="1"/>
        <w:numPr>
          <w:ilvl w:val="0"/>
          <w:numId w:val="1"/>
        </w:numPr>
        <w:spacing w:line="276" w:lineRule="auto"/>
        <w:ind w:left="720" w:right="592.5" w:hanging="360"/>
        <w:jc w:val="both"/>
        <w:rPr/>
      </w:pPr>
      <w:r w:rsidDel="00000000" w:rsidR="00000000" w:rsidRPr="00000000">
        <w:rPr>
          <w:rtl w:val="0"/>
        </w:rPr>
        <w:t xml:space="preserve">Mikule, K., Delaval, B., Kaldis, P., Jurcyzk, A., Hergert, P., &amp; Doxsey, S. (2007). Loss of centrosome integrity induces p38-p53-p21-dependent G1-S arrest. Nature cell biology, 9(2), 160–170. </w:t>
      </w:r>
      <w:hyperlink r:id="rId83">
        <w:r w:rsidDel="00000000" w:rsidR="00000000" w:rsidRPr="00000000">
          <w:rPr>
            <w:color w:val="1155cc"/>
            <w:u w:val="single"/>
            <w:rtl w:val="0"/>
          </w:rPr>
          <w:t xml:space="preserve">https://doi.org/10.1038/ncb1529</w:t>
        </w:r>
      </w:hyperlink>
      <w:r w:rsidDel="00000000" w:rsidR="00000000" w:rsidRPr="00000000">
        <w:rPr>
          <w:rtl w:val="0"/>
        </w:rPr>
      </w:r>
    </w:p>
    <w:p w:rsidR="00000000" w:rsidDel="00000000" w:rsidP="00000000" w:rsidRDefault="00000000" w:rsidRPr="00000000" w14:paraId="0000014A">
      <w:pPr>
        <w:widowControl w:val="1"/>
        <w:numPr>
          <w:ilvl w:val="0"/>
          <w:numId w:val="1"/>
        </w:numPr>
        <w:spacing w:line="276" w:lineRule="auto"/>
        <w:ind w:left="720" w:right="592.5" w:hanging="360"/>
        <w:jc w:val="both"/>
        <w:rPr/>
      </w:pPr>
      <w:r w:rsidDel="00000000" w:rsidR="00000000" w:rsidRPr="00000000">
        <w:rPr>
          <w:rtl w:val="0"/>
        </w:rPr>
        <w:t xml:space="preserve">Nakashima, S., &amp; Kato, K. H. (2001). Centriole behavior during meiosis in oocytes of the sea urchin Hemicentrotus pulcherrimus. Development, growth &amp; differentiation, 43(4), 437–445. </w:t>
      </w:r>
      <w:hyperlink r:id="rId84">
        <w:r w:rsidDel="00000000" w:rsidR="00000000" w:rsidRPr="00000000">
          <w:rPr>
            <w:color w:val="1155cc"/>
            <w:u w:val="single"/>
            <w:rtl w:val="0"/>
          </w:rPr>
          <w:t xml:space="preserve">https://doi.org/10.1046/j.1440-169x.2001.00580.x</w:t>
        </w:r>
      </w:hyperlink>
      <w:r w:rsidDel="00000000" w:rsidR="00000000" w:rsidRPr="00000000">
        <w:rPr>
          <w:rtl w:val="0"/>
        </w:rPr>
      </w:r>
    </w:p>
    <w:p w:rsidR="00000000" w:rsidDel="00000000" w:rsidP="00000000" w:rsidRDefault="00000000" w:rsidRPr="00000000" w14:paraId="0000014B">
      <w:pPr>
        <w:widowControl w:val="1"/>
        <w:numPr>
          <w:ilvl w:val="0"/>
          <w:numId w:val="1"/>
        </w:numPr>
        <w:spacing w:line="276" w:lineRule="auto"/>
        <w:ind w:left="720" w:right="592.5" w:hanging="360"/>
        <w:jc w:val="both"/>
        <w:rPr/>
      </w:pPr>
      <w:r w:rsidDel="00000000" w:rsidR="00000000" w:rsidRPr="00000000">
        <w:rPr>
          <w:rtl w:val="0"/>
        </w:rPr>
        <w:t xml:space="preserve">Nandi, D., Tahiliani, P., Kumar, A., &amp; Chandu, D. (2006). The ubiquitin-proteasome system. Journal of biosciences, 31(1), 137–155. </w:t>
      </w:r>
      <w:hyperlink r:id="rId85">
        <w:r w:rsidDel="00000000" w:rsidR="00000000" w:rsidRPr="00000000">
          <w:rPr>
            <w:color w:val="1155cc"/>
            <w:u w:val="single"/>
            <w:rtl w:val="0"/>
          </w:rPr>
          <w:t xml:space="preserve">https://doi.org/10.1007/BF02705243</w:t>
        </w:r>
      </w:hyperlink>
      <w:r w:rsidDel="00000000" w:rsidR="00000000" w:rsidRPr="00000000">
        <w:rPr>
          <w:rtl w:val="0"/>
        </w:rPr>
      </w:r>
    </w:p>
    <w:p w:rsidR="00000000" w:rsidDel="00000000" w:rsidP="00000000" w:rsidRDefault="00000000" w:rsidRPr="00000000" w14:paraId="0000014C">
      <w:pPr>
        <w:widowControl w:val="1"/>
        <w:numPr>
          <w:ilvl w:val="0"/>
          <w:numId w:val="1"/>
        </w:numPr>
        <w:spacing w:line="276" w:lineRule="auto"/>
        <w:ind w:left="720" w:right="592.5" w:hanging="360"/>
        <w:jc w:val="both"/>
        <w:rPr/>
      </w:pPr>
      <w:r w:rsidDel="00000000" w:rsidR="00000000" w:rsidRPr="00000000">
        <w:rPr>
          <w:rtl w:val="0"/>
        </w:rPr>
        <w:t xml:space="preserve">Neumann, B., Walter, T., Hériché, J. K., Bulkescher, J., Erfle, H., Conrad, C., Rogers, P., Poser, I., Held, M., Liebel, U., Cetin, C., Sieckmann, F., Pau, G., Kabbe, R., Wünsche, A., Satagopam, V., Schmitz, M. H., Chapuis, C., Gerlich, D. W., Schneider, R., … Ellenberg, J. (2010). Phenotypic profiling of </w:t>
      </w:r>
    </w:p>
    <w:p w:rsidR="00000000" w:rsidDel="00000000" w:rsidP="00000000" w:rsidRDefault="00000000" w:rsidRPr="00000000" w14:paraId="0000014D">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4E">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4F">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50">
      <w:pPr>
        <w:widowControl w:val="1"/>
        <w:spacing w:line="276" w:lineRule="auto"/>
        <w:ind w:left="720" w:right="592.5" w:firstLine="0"/>
        <w:jc w:val="both"/>
        <w:rPr/>
      </w:pPr>
      <w:r w:rsidDel="00000000" w:rsidR="00000000" w:rsidRPr="00000000">
        <w:rPr>
          <w:rtl w:val="0"/>
        </w:rPr>
        <w:t xml:space="preserve">the human genome by time-lapse microscopy reveals cell division genes. Nature, 464(7289), 721–727. </w:t>
      </w:r>
      <w:hyperlink r:id="rId86">
        <w:r w:rsidDel="00000000" w:rsidR="00000000" w:rsidRPr="00000000">
          <w:rPr>
            <w:color w:val="1155cc"/>
            <w:u w:val="single"/>
            <w:rtl w:val="0"/>
          </w:rPr>
          <w:t xml:space="preserve">https://doi.org/10.1038/nature08869</w:t>
        </w:r>
      </w:hyperlink>
      <w:r w:rsidDel="00000000" w:rsidR="00000000" w:rsidRPr="00000000">
        <w:rPr>
          <w:rtl w:val="0"/>
        </w:rPr>
      </w:r>
    </w:p>
    <w:p w:rsidR="00000000" w:rsidDel="00000000" w:rsidP="00000000" w:rsidRDefault="00000000" w:rsidRPr="00000000" w14:paraId="00000151">
      <w:pPr>
        <w:widowControl w:val="1"/>
        <w:numPr>
          <w:ilvl w:val="0"/>
          <w:numId w:val="1"/>
        </w:numPr>
        <w:spacing w:line="276" w:lineRule="auto"/>
        <w:ind w:left="720" w:right="592.5" w:hanging="360"/>
        <w:jc w:val="both"/>
        <w:rPr/>
      </w:pPr>
      <w:r w:rsidDel="00000000" w:rsidR="00000000" w:rsidRPr="00000000">
        <w:rPr>
          <w:rtl w:val="0"/>
        </w:rPr>
        <w:t xml:space="preserve">Nössing, C., &amp; Ryan, K. M. (2023). 50 years on and still very much alive: 'Apoptosis: a basic biological phenomenon with wide-ranging implications in tissue kinetics'. British journal of cancer, 128(3), 426–431. </w:t>
      </w:r>
      <w:hyperlink r:id="rId87">
        <w:r w:rsidDel="00000000" w:rsidR="00000000" w:rsidRPr="00000000">
          <w:rPr>
            <w:color w:val="1155cc"/>
            <w:u w:val="single"/>
            <w:rtl w:val="0"/>
          </w:rPr>
          <w:t xml:space="preserve">https://doi.org/10.1038/s41416-022-02020-0</w:t>
        </w:r>
      </w:hyperlink>
      <w:r w:rsidDel="00000000" w:rsidR="00000000" w:rsidRPr="00000000">
        <w:rPr>
          <w:rtl w:val="0"/>
        </w:rPr>
      </w:r>
    </w:p>
    <w:p w:rsidR="00000000" w:rsidDel="00000000" w:rsidP="00000000" w:rsidRDefault="00000000" w:rsidRPr="00000000" w14:paraId="00000152">
      <w:pPr>
        <w:widowControl w:val="1"/>
        <w:numPr>
          <w:ilvl w:val="0"/>
          <w:numId w:val="1"/>
        </w:numPr>
        <w:spacing w:line="276" w:lineRule="auto"/>
        <w:ind w:left="720" w:right="592.5" w:hanging="360"/>
        <w:jc w:val="both"/>
        <w:rPr/>
      </w:pPr>
      <w:r w:rsidDel="00000000" w:rsidR="00000000" w:rsidRPr="00000000">
        <w:rPr>
          <w:rtl w:val="0"/>
        </w:rPr>
        <w:t xml:space="preserve">Pelletier, L., O'Toole, E., Schwager, A., Hyman, A. A., &amp; Müller-Reichert, T. (2006). Centriole assembly in Caenorhabditis elegans. Nature, 444(7119), 619–623. </w:t>
      </w:r>
      <w:hyperlink r:id="rId88">
        <w:r w:rsidDel="00000000" w:rsidR="00000000" w:rsidRPr="00000000">
          <w:rPr>
            <w:color w:val="1155cc"/>
            <w:u w:val="single"/>
            <w:rtl w:val="0"/>
          </w:rPr>
          <w:t xml:space="preserve">https://doi.org/10.1038/nature05318</w:t>
        </w:r>
      </w:hyperlink>
      <w:r w:rsidDel="00000000" w:rsidR="00000000" w:rsidRPr="00000000">
        <w:rPr>
          <w:rtl w:val="0"/>
        </w:rPr>
      </w:r>
    </w:p>
    <w:p w:rsidR="00000000" w:rsidDel="00000000" w:rsidP="00000000" w:rsidRDefault="00000000" w:rsidRPr="00000000" w14:paraId="00000153">
      <w:pPr>
        <w:widowControl w:val="1"/>
        <w:numPr>
          <w:ilvl w:val="0"/>
          <w:numId w:val="1"/>
        </w:numPr>
        <w:spacing w:line="276" w:lineRule="auto"/>
        <w:ind w:left="720" w:right="592.5" w:hanging="360"/>
        <w:jc w:val="both"/>
        <w:rPr/>
      </w:pPr>
      <w:r w:rsidDel="00000000" w:rsidR="00000000" w:rsidRPr="00000000">
        <w:rPr>
          <w:rtl w:val="0"/>
        </w:rPr>
        <w:t xml:space="preserve">Pierron, M., Woglar, A., Busso, C., Jha, K., Mikeladze-Dvali, T., Croisier, M., &amp; Gönczy, P. (2023). Centriole elimination during Caenorhabditis elegans oogenesis initiates with loss of the central tube protein SAS-1. The EMBO journal, 42(24), e115076. </w:t>
      </w:r>
      <w:hyperlink r:id="rId89">
        <w:r w:rsidDel="00000000" w:rsidR="00000000" w:rsidRPr="00000000">
          <w:rPr>
            <w:color w:val="1155cc"/>
            <w:u w:val="single"/>
            <w:rtl w:val="0"/>
          </w:rPr>
          <w:t xml:space="preserve">https://doi.org/10.15252/embj.2023115076</w:t>
        </w:r>
      </w:hyperlink>
      <w:r w:rsidDel="00000000" w:rsidR="00000000" w:rsidRPr="00000000">
        <w:rPr>
          <w:rtl w:val="0"/>
        </w:rPr>
      </w:r>
    </w:p>
    <w:p w:rsidR="00000000" w:rsidDel="00000000" w:rsidP="00000000" w:rsidRDefault="00000000" w:rsidRPr="00000000" w14:paraId="00000154">
      <w:pPr>
        <w:widowControl w:val="1"/>
        <w:numPr>
          <w:ilvl w:val="0"/>
          <w:numId w:val="1"/>
        </w:numPr>
        <w:spacing w:line="276" w:lineRule="auto"/>
        <w:ind w:left="720" w:right="592.5" w:hanging="360"/>
        <w:jc w:val="both"/>
        <w:rPr/>
      </w:pPr>
      <w:r w:rsidDel="00000000" w:rsidR="00000000" w:rsidRPr="00000000">
        <w:rPr>
          <w:rtl w:val="0"/>
        </w:rPr>
        <w:t xml:space="preserve">Pimenta-Marques, A., Bento, I., Lopes, C. A., Duarte, P., Jana, S. C., &amp; Bettencourt-Dias, M. (2016). A mechanism for the elimination of the female gamete centrosome in Drosophila melanogaster. Science (New York, N.Y.), 353(6294), aaf4866. </w:t>
      </w:r>
      <w:hyperlink r:id="rId90">
        <w:r w:rsidDel="00000000" w:rsidR="00000000" w:rsidRPr="00000000">
          <w:rPr>
            <w:color w:val="1155cc"/>
            <w:u w:val="single"/>
            <w:rtl w:val="0"/>
          </w:rPr>
          <w:t xml:space="preserve">https://doi.org/10.1126/science.aaf4866</w:t>
        </w:r>
      </w:hyperlink>
      <w:r w:rsidDel="00000000" w:rsidR="00000000" w:rsidRPr="00000000">
        <w:rPr>
          <w:rtl w:val="0"/>
        </w:rPr>
      </w:r>
    </w:p>
    <w:p w:rsidR="00000000" w:rsidDel="00000000" w:rsidP="00000000" w:rsidRDefault="00000000" w:rsidRPr="00000000" w14:paraId="00000155">
      <w:pPr>
        <w:widowControl w:val="1"/>
        <w:numPr>
          <w:ilvl w:val="0"/>
          <w:numId w:val="1"/>
        </w:numPr>
        <w:spacing w:line="276" w:lineRule="auto"/>
        <w:ind w:left="720" w:right="592.5" w:hanging="360"/>
        <w:jc w:val="both"/>
        <w:rPr/>
      </w:pPr>
      <w:r w:rsidDel="00000000" w:rsidR="00000000" w:rsidRPr="00000000">
        <w:rPr>
          <w:rtl w:val="0"/>
        </w:rPr>
        <w:t xml:space="preserve">Pimenta-Marques, A., Perestrelo, T., Reis-Rodrigues, P., Duarte, P., Ferreira-Silva, A., Lince-Faria, M., &amp; Bettencourt-Dias, M. (2024). Ana1/CEP295 is an essential player in the centrosome maintenance program regulated by Polo kinase and the PCM. EMBO reports, 25(1), 102–127. </w:t>
      </w:r>
      <w:hyperlink r:id="rId91">
        <w:r w:rsidDel="00000000" w:rsidR="00000000" w:rsidRPr="00000000">
          <w:rPr>
            <w:color w:val="1155cc"/>
            <w:u w:val="single"/>
            <w:rtl w:val="0"/>
          </w:rPr>
          <w:t xml:space="preserve">https://doi.org/10.1038/s44319-023-00020-6</w:t>
        </w:r>
      </w:hyperlink>
      <w:r w:rsidDel="00000000" w:rsidR="00000000" w:rsidRPr="00000000">
        <w:rPr>
          <w:rtl w:val="0"/>
        </w:rPr>
      </w:r>
    </w:p>
    <w:p w:rsidR="00000000" w:rsidDel="00000000" w:rsidP="00000000" w:rsidRDefault="00000000" w:rsidRPr="00000000" w14:paraId="00000156">
      <w:pPr>
        <w:widowControl w:val="1"/>
        <w:numPr>
          <w:ilvl w:val="0"/>
          <w:numId w:val="1"/>
        </w:numPr>
        <w:spacing w:line="276" w:lineRule="auto"/>
        <w:ind w:left="720" w:right="592.5" w:hanging="360"/>
        <w:jc w:val="both"/>
        <w:rPr/>
      </w:pPr>
      <w:r w:rsidDel="00000000" w:rsidR="00000000" w:rsidRPr="00000000">
        <w:rPr>
          <w:rtl w:val="0"/>
        </w:rPr>
        <w:t xml:space="preserve">Pintard, L., &amp; Bowerman, B. (2019). Mitotic Cell Division in Caenorhabditis elegans. Genetics, 211(1), 35–73. </w:t>
      </w:r>
      <w:hyperlink r:id="rId92">
        <w:r w:rsidDel="00000000" w:rsidR="00000000" w:rsidRPr="00000000">
          <w:rPr>
            <w:color w:val="1155cc"/>
            <w:u w:val="single"/>
            <w:rtl w:val="0"/>
          </w:rPr>
          <w:t xml:space="preserve">https://doi.org/10.1534/genetics.118.301367</w:t>
        </w:r>
      </w:hyperlink>
      <w:r w:rsidDel="00000000" w:rsidR="00000000" w:rsidRPr="00000000">
        <w:rPr>
          <w:rtl w:val="0"/>
        </w:rPr>
      </w:r>
    </w:p>
    <w:p w:rsidR="00000000" w:rsidDel="00000000" w:rsidP="00000000" w:rsidRDefault="00000000" w:rsidRPr="00000000" w14:paraId="00000157">
      <w:pPr>
        <w:widowControl w:val="1"/>
        <w:numPr>
          <w:ilvl w:val="0"/>
          <w:numId w:val="1"/>
        </w:numPr>
        <w:spacing w:line="276" w:lineRule="auto"/>
        <w:ind w:left="720" w:right="592.5" w:hanging="360"/>
        <w:jc w:val="both"/>
        <w:rPr/>
      </w:pPr>
      <w:r w:rsidDel="00000000" w:rsidR="00000000" w:rsidRPr="00000000">
        <w:rPr>
          <w:rtl w:val="0"/>
        </w:rPr>
        <w:t xml:space="preserve">Prangishvili, A., Gasitashvili, Z., Matsaberidze, M., Chkhartishvili, L., Chichinadze, K., Tkemaladze, J., ... &amp; </w:t>
      </w:r>
    </w:p>
    <w:p w:rsidR="00000000" w:rsidDel="00000000" w:rsidP="00000000" w:rsidRDefault="00000000" w:rsidRPr="00000000" w14:paraId="00000158">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59">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5A">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5B">
      <w:pPr>
        <w:widowControl w:val="1"/>
        <w:spacing w:line="276" w:lineRule="auto"/>
        <w:ind w:left="720" w:right="592.5" w:firstLine="0"/>
        <w:jc w:val="both"/>
        <w:rPr/>
      </w:pPr>
      <w:r w:rsidDel="00000000" w:rsidR="00000000" w:rsidRPr="00000000">
        <w:rPr>
          <w:rtl w:val="0"/>
        </w:rPr>
        <w:t xml:space="preserve">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5C">
      <w:pPr>
        <w:widowControl w:val="1"/>
        <w:numPr>
          <w:ilvl w:val="0"/>
          <w:numId w:val="1"/>
        </w:numPr>
        <w:spacing w:line="276" w:lineRule="auto"/>
        <w:ind w:left="720" w:right="592.5" w:hanging="360"/>
        <w:jc w:val="both"/>
        <w:rPr/>
      </w:pPr>
      <w:r w:rsidDel="00000000" w:rsidR="00000000" w:rsidRPr="00000000">
        <w:rPr>
          <w:rtl w:val="0"/>
        </w:rPr>
        <w:t xml:space="preserve">Rouvière, C., Houliston, E., Carré, D., Chang, P., &amp; Sardet, C. (1994). Characteristics of pronuclear migration in Beroe ovata. Cell motility and the cytoskeleton, 29(4), 301–311. </w:t>
      </w:r>
      <w:hyperlink r:id="rId93">
        <w:r w:rsidDel="00000000" w:rsidR="00000000" w:rsidRPr="00000000">
          <w:rPr>
            <w:color w:val="1155cc"/>
            <w:u w:val="single"/>
            <w:rtl w:val="0"/>
          </w:rPr>
          <w:t xml:space="preserve">https://doi.org/10.1002/cm.970290403</w:t>
        </w:r>
      </w:hyperlink>
      <w:r w:rsidDel="00000000" w:rsidR="00000000" w:rsidRPr="00000000">
        <w:rPr>
          <w:rtl w:val="0"/>
        </w:rPr>
      </w:r>
    </w:p>
    <w:p w:rsidR="00000000" w:rsidDel="00000000" w:rsidP="00000000" w:rsidRDefault="00000000" w:rsidRPr="00000000" w14:paraId="0000015D">
      <w:pPr>
        <w:widowControl w:val="1"/>
        <w:numPr>
          <w:ilvl w:val="0"/>
          <w:numId w:val="1"/>
        </w:numPr>
        <w:spacing w:line="276" w:lineRule="auto"/>
        <w:ind w:left="720" w:right="592.5" w:hanging="360"/>
        <w:jc w:val="both"/>
        <w:rPr/>
      </w:pPr>
      <w:r w:rsidDel="00000000" w:rsidR="00000000" w:rsidRPr="00000000">
        <w:rPr>
          <w:rtl w:val="0"/>
        </w:rPr>
        <w:t xml:space="preserve">Sanchez, A. D., &amp; Feldman, J. L. (2017). Microtubule-organizing centers: from the centrosome to non-centrosomal sites. Current opinion in cell biology, 44, 93–101. </w:t>
      </w:r>
      <w:hyperlink r:id="rId94">
        <w:r w:rsidDel="00000000" w:rsidR="00000000" w:rsidRPr="00000000">
          <w:rPr>
            <w:color w:val="1155cc"/>
            <w:u w:val="single"/>
            <w:rtl w:val="0"/>
          </w:rPr>
          <w:t xml:space="preserve">https://doi.org/10.1016/j.ceb.2016.09.003</w:t>
        </w:r>
      </w:hyperlink>
      <w:r w:rsidDel="00000000" w:rsidR="00000000" w:rsidRPr="00000000">
        <w:rPr>
          <w:rtl w:val="0"/>
        </w:rPr>
      </w:r>
    </w:p>
    <w:p w:rsidR="00000000" w:rsidDel="00000000" w:rsidP="00000000" w:rsidRDefault="00000000" w:rsidRPr="00000000" w14:paraId="0000015E">
      <w:pPr>
        <w:widowControl w:val="1"/>
        <w:numPr>
          <w:ilvl w:val="0"/>
          <w:numId w:val="1"/>
        </w:numPr>
        <w:spacing w:line="276" w:lineRule="auto"/>
        <w:ind w:left="720" w:right="592.5" w:hanging="360"/>
        <w:jc w:val="both"/>
        <w:rPr/>
      </w:pPr>
      <w:r w:rsidDel="00000000" w:rsidR="00000000" w:rsidRPr="00000000">
        <w:rPr>
          <w:rtl w:val="0"/>
        </w:rPr>
        <w:t xml:space="preserve">Saxton, W. M., Stemple, D. L., Leslie, R. J., Salmon, E. D., Zavortink, M., &amp; McIntosh, J. R. (1984). Tubulin dynamics in cultured mammalian cells. The Journal of cell biology, 99(6), 2175–2186. </w:t>
      </w:r>
      <w:hyperlink r:id="rId95">
        <w:r w:rsidDel="00000000" w:rsidR="00000000" w:rsidRPr="00000000">
          <w:rPr>
            <w:color w:val="1155cc"/>
            <w:u w:val="single"/>
            <w:rtl w:val="0"/>
          </w:rPr>
          <w:t xml:space="preserve">https://doi.org/10.1083/jcb.99.6.2175</w:t>
        </w:r>
      </w:hyperlink>
      <w:r w:rsidDel="00000000" w:rsidR="00000000" w:rsidRPr="00000000">
        <w:rPr>
          <w:rtl w:val="0"/>
        </w:rPr>
      </w:r>
    </w:p>
    <w:p w:rsidR="00000000" w:rsidDel="00000000" w:rsidP="00000000" w:rsidRDefault="00000000" w:rsidRPr="00000000" w14:paraId="0000015F">
      <w:pPr>
        <w:widowControl w:val="1"/>
        <w:numPr>
          <w:ilvl w:val="0"/>
          <w:numId w:val="1"/>
        </w:numPr>
        <w:spacing w:line="276" w:lineRule="auto"/>
        <w:ind w:left="720" w:right="592.5" w:hanging="360"/>
        <w:jc w:val="both"/>
        <w:rPr/>
      </w:pPr>
      <w:r w:rsidDel="00000000" w:rsidR="00000000" w:rsidRPr="00000000">
        <w:rPr>
          <w:rtl w:val="0"/>
        </w:rPr>
        <w:t xml:space="preserve">Schweizer, N., Haren, L., Dutto, I., Viais, R., Lacasa, C., Merdes, A., &amp; Lüders, J. (2021). Sub-centrosomal mapping identifies augmin-γTuRC as part of a centriole-stabilizing scaffold. Nature communications, 12(1), 6042. </w:t>
      </w:r>
      <w:hyperlink r:id="rId96">
        <w:r w:rsidDel="00000000" w:rsidR="00000000" w:rsidRPr="00000000">
          <w:rPr>
            <w:color w:val="1155cc"/>
            <w:u w:val="single"/>
            <w:rtl w:val="0"/>
          </w:rPr>
          <w:t xml:space="preserve">https://doi.org/10.1038/s41467-021-26252-5</w:t>
        </w:r>
      </w:hyperlink>
      <w:r w:rsidDel="00000000" w:rsidR="00000000" w:rsidRPr="00000000">
        <w:rPr>
          <w:rtl w:val="0"/>
        </w:rPr>
      </w:r>
    </w:p>
    <w:p w:rsidR="00000000" w:rsidDel="00000000" w:rsidP="00000000" w:rsidRDefault="00000000" w:rsidRPr="00000000" w14:paraId="00000160">
      <w:pPr>
        <w:widowControl w:val="1"/>
        <w:numPr>
          <w:ilvl w:val="0"/>
          <w:numId w:val="1"/>
        </w:numPr>
        <w:spacing w:line="276" w:lineRule="auto"/>
        <w:ind w:left="720" w:right="592.5" w:hanging="360"/>
        <w:jc w:val="both"/>
        <w:rPr/>
      </w:pPr>
      <w:r w:rsidDel="00000000" w:rsidR="00000000" w:rsidRPr="00000000">
        <w:rPr>
          <w:rtl w:val="0"/>
        </w:rPr>
        <w:t xml:space="preserve">Serwas, D., Su, T. Y., Roessler, M., Wang, S., &amp; Dammermann, A. (2017). Centrioles initiate cilia assembly but are dispensable for maturation and maintenance in C. elegans. The Journal of cell biology, 216(6), 1659–1671. </w:t>
      </w:r>
      <w:hyperlink r:id="rId97">
        <w:r w:rsidDel="00000000" w:rsidR="00000000" w:rsidRPr="00000000">
          <w:rPr>
            <w:color w:val="1155cc"/>
            <w:u w:val="single"/>
            <w:rtl w:val="0"/>
          </w:rPr>
          <w:t xml:space="preserve">https://doi.org/10.1083/jcb.201610070</w:t>
        </w:r>
      </w:hyperlink>
      <w:r w:rsidDel="00000000" w:rsidR="00000000" w:rsidRPr="00000000">
        <w:rPr>
          <w:rtl w:val="0"/>
        </w:rPr>
      </w:r>
    </w:p>
    <w:p w:rsidR="00000000" w:rsidDel="00000000" w:rsidP="00000000" w:rsidRDefault="00000000" w:rsidRPr="00000000" w14:paraId="00000161">
      <w:pPr>
        <w:widowControl w:val="1"/>
        <w:numPr>
          <w:ilvl w:val="0"/>
          <w:numId w:val="1"/>
        </w:numPr>
        <w:spacing w:line="276" w:lineRule="auto"/>
        <w:ind w:left="720" w:right="592.5" w:hanging="360"/>
        <w:jc w:val="both"/>
        <w:rPr/>
      </w:pPr>
      <w:r w:rsidDel="00000000" w:rsidR="00000000" w:rsidRPr="00000000">
        <w:rPr>
          <w:rtl w:val="0"/>
        </w:rPr>
        <w:t xml:space="preserve">Shang, Y., Li, B., &amp; Gorovsky, M. A. (2002). Tetrahymena thermophila contains a conventional gamma-tubulin that is differentially required for the maintenance of different microtubule-organizing centers. The Journal of cell biology, 158(7), 1195–1206. </w:t>
      </w:r>
      <w:hyperlink r:id="rId98">
        <w:r w:rsidDel="00000000" w:rsidR="00000000" w:rsidRPr="00000000">
          <w:rPr>
            <w:color w:val="1155cc"/>
            <w:u w:val="single"/>
            <w:rtl w:val="0"/>
          </w:rPr>
          <w:t xml:space="preserve">https://doi.org/10.1083/jcb.200205101</w:t>
        </w:r>
      </w:hyperlink>
      <w:r w:rsidDel="00000000" w:rsidR="00000000" w:rsidRPr="00000000">
        <w:rPr>
          <w:rtl w:val="0"/>
        </w:rPr>
      </w:r>
    </w:p>
    <w:p w:rsidR="00000000" w:rsidDel="00000000" w:rsidP="00000000" w:rsidRDefault="00000000" w:rsidRPr="00000000" w14:paraId="00000162">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63">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64">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65">
      <w:pPr>
        <w:widowControl w:val="1"/>
        <w:numPr>
          <w:ilvl w:val="0"/>
          <w:numId w:val="1"/>
        </w:numPr>
        <w:spacing w:line="276" w:lineRule="auto"/>
        <w:ind w:left="720" w:right="592.5" w:hanging="360"/>
        <w:jc w:val="both"/>
        <w:rPr/>
      </w:pPr>
      <w:r w:rsidDel="00000000" w:rsidR="00000000" w:rsidRPr="00000000">
        <w:rPr>
          <w:rtl w:val="0"/>
        </w:rPr>
        <w:t xml:space="preserve">Snook, R. R., Hosken, D. J., &amp; Karr, T. L. (2011). The biology and evolution of polyspermy: insights from cellular and functional studies of sperm and centrosomal behavior in the fertilized egg. Reproduction (Cambridge, England), 142(6), 779–792. </w:t>
      </w:r>
      <w:hyperlink r:id="rId99">
        <w:r w:rsidDel="00000000" w:rsidR="00000000" w:rsidRPr="00000000">
          <w:rPr>
            <w:color w:val="1155cc"/>
            <w:u w:val="single"/>
            <w:rtl w:val="0"/>
          </w:rPr>
          <w:t xml:space="preserve">https://doi.org/10.1530/REP-11-0255</w:t>
        </w:r>
      </w:hyperlink>
      <w:r w:rsidDel="00000000" w:rsidR="00000000" w:rsidRPr="00000000">
        <w:rPr>
          <w:rtl w:val="0"/>
        </w:rPr>
      </w:r>
    </w:p>
    <w:p w:rsidR="00000000" w:rsidDel="00000000" w:rsidP="00000000" w:rsidRDefault="00000000" w:rsidRPr="00000000" w14:paraId="00000166">
      <w:pPr>
        <w:widowControl w:val="1"/>
        <w:numPr>
          <w:ilvl w:val="0"/>
          <w:numId w:val="1"/>
        </w:numPr>
        <w:spacing w:line="276" w:lineRule="auto"/>
        <w:ind w:left="720" w:right="592.5" w:hanging="360"/>
        <w:jc w:val="both"/>
        <w:rPr/>
      </w:pPr>
      <w:r w:rsidDel="00000000" w:rsidR="00000000" w:rsidRPr="00000000">
        <w:rPr>
          <w:rtl w:val="0"/>
        </w:rPr>
        <w:t xml:space="preserve">Sönnichsen, B., Koski, L. B., Walsh, A., Marschall, P., Neumann, B., Brehm, M., Alleaume, A. M., Artelt, J., Bettencourt, P., Cassin, E., Hewitson, M., Holz, C., Khan, M., Lazik, S., Martin, C., Nitzsche, B., Ruer, M., Stamford, J., Winzi, M., Heinkel, R., … Echeverri, C. J. (2005). Full-genome RNAi profiling of early embryogenesis in Caenorhabditis elegans. Nature, 434(7032), 462–469. </w:t>
      </w:r>
      <w:hyperlink r:id="rId100">
        <w:r w:rsidDel="00000000" w:rsidR="00000000" w:rsidRPr="00000000">
          <w:rPr>
            <w:color w:val="1155cc"/>
            <w:u w:val="single"/>
            <w:rtl w:val="0"/>
          </w:rPr>
          <w:t xml:space="preserve">https://doi.org/10.1038/nature03353</w:t>
        </w:r>
      </w:hyperlink>
      <w:r w:rsidDel="00000000" w:rsidR="00000000" w:rsidRPr="00000000">
        <w:rPr>
          <w:rtl w:val="0"/>
        </w:rPr>
      </w:r>
    </w:p>
    <w:p w:rsidR="00000000" w:rsidDel="00000000" w:rsidP="00000000" w:rsidRDefault="00000000" w:rsidRPr="00000000" w14:paraId="00000167">
      <w:pPr>
        <w:widowControl w:val="1"/>
        <w:numPr>
          <w:ilvl w:val="0"/>
          <w:numId w:val="1"/>
        </w:numPr>
        <w:spacing w:line="276" w:lineRule="auto"/>
        <w:ind w:left="720" w:right="592.5" w:hanging="360"/>
        <w:jc w:val="both"/>
        <w:rPr/>
      </w:pPr>
      <w:r w:rsidDel="00000000" w:rsidR="00000000" w:rsidRPr="00000000">
        <w:rPr>
          <w:rtl w:val="0"/>
        </w:rPr>
        <w:t xml:space="preserve">Takumi, K., &amp; Kitagawa, D. (2022). Experimental and Natural Induction of de novo Centriole Formation. Frontiers in cell and developmental biology, 10, 861864. </w:t>
      </w:r>
      <w:hyperlink r:id="rId101">
        <w:r w:rsidDel="00000000" w:rsidR="00000000" w:rsidRPr="00000000">
          <w:rPr>
            <w:color w:val="1155cc"/>
            <w:u w:val="single"/>
            <w:rtl w:val="0"/>
          </w:rPr>
          <w:t xml:space="preserve">https://doi.org/10.3389/fcell.2022.861864</w:t>
        </w:r>
      </w:hyperlink>
      <w:r w:rsidDel="00000000" w:rsidR="00000000" w:rsidRPr="00000000">
        <w:rPr>
          <w:rtl w:val="0"/>
        </w:rPr>
      </w:r>
    </w:p>
    <w:p w:rsidR="00000000" w:rsidDel="00000000" w:rsidP="00000000" w:rsidRDefault="00000000" w:rsidRPr="00000000" w14:paraId="00000168">
      <w:pPr>
        <w:widowControl w:val="1"/>
        <w:numPr>
          <w:ilvl w:val="0"/>
          <w:numId w:val="1"/>
        </w:numPr>
        <w:spacing w:line="276" w:lineRule="auto"/>
        <w:ind w:left="720" w:right="592.5" w:hanging="360"/>
        <w:jc w:val="both"/>
        <w:rPr/>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69">
      <w:pPr>
        <w:widowControl w:val="1"/>
        <w:numPr>
          <w:ilvl w:val="0"/>
          <w:numId w:val="1"/>
        </w:numPr>
        <w:spacing w:line="276" w:lineRule="auto"/>
        <w:ind w:left="720" w:right="592.5" w:hanging="360"/>
        <w:jc w:val="both"/>
        <w:rPr/>
      </w:pPr>
      <w:r w:rsidDel="00000000" w:rsidR="00000000" w:rsidRPr="00000000">
        <w:rPr>
          <w:rtl w:val="0"/>
        </w:rPr>
        <w:t xml:space="preserve">Tkemaladze, J. (2023). Cross-senolytic effects of dasatinib and quercetin in humans. Georgian Scientists, 5(3), 138–152. doi: </w:t>
      </w:r>
      <w:hyperlink r:id="rId102">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6A">
      <w:pPr>
        <w:widowControl w:val="1"/>
        <w:numPr>
          <w:ilvl w:val="0"/>
          <w:numId w:val="1"/>
        </w:numPr>
        <w:spacing w:line="276" w:lineRule="auto"/>
        <w:ind w:left="720" w:right="592.5" w:hanging="360"/>
        <w:jc w:val="both"/>
        <w:rPr/>
      </w:pPr>
      <w:r w:rsidDel="00000000" w:rsidR="00000000" w:rsidRPr="00000000">
        <w:rPr>
          <w:rtl w:val="0"/>
        </w:rPr>
        <w:t xml:space="preserve">Tkemaladze, J. (2023). Is the selective accumulation of oldest centrioles in stem cells the main cause of organism ageing?. Georgian Scientists, 5(3), 216–235. doi: </w:t>
      </w:r>
      <w:hyperlink r:id="rId103">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6B">
      <w:pPr>
        <w:widowControl w:val="1"/>
        <w:numPr>
          <w:ilvl w:val="0"/>
          <w:numId w:val="1"/>
        </w:numPr>
        <w:spacing w:line="276" w:lineRule="auto"/>
        <w:ind w:left="720" w:right="592.5" w:hanging="360"/>
        <w:jc w:val="both"/>
        <w:rPr/>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6C">
      <w:pPr>
        <w:widowControl w:val="1"/>
        <w:numPr>
          <w:ilvl w:val="0"/>
          <w:numId w:val="1"/>
        </w:numPr>
        <w:spacing w:line="276" w:lineRule="auto"/>
        <w:ind w:left="720" w:right="592.5" w:hanging="360"/>
        <w:jc w:val="both"/>
        <w:rPr/>
      </w:pPr>
      <w:r w:rsidDel="00000000" w:rsidR="00000000" w:rsidRPr="00000000">
        <w:rPr>
          <w:rtl w:val="0"/>
        </w:rPr>
        <w:t xml:space="preserve">Tkemaladze, J. (2023). Reduction, proliferation, and differentiation defects of </w:t>
      </w:r>
    </w:p>
    <w:p w:rsidR="00000000" w:rsidDel="00000000" w:rsidP="00000000" w:rsidRDefault="00000000" w:rsidRPr="00000000" w14:paraId="0000016D">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6E">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6F">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70">
      <w:pPr>
        <w:widowControl w:val="1"/>
        <w:spacing w:line="276" w:lineRule="auto"/>
        <w:ind w:left="720" w:right="592.5" w:firstLine="0"/>
        <w:jc w:val="both"/>
        <w:rPr/>
      </w:pPr>
      <w:r w:rsidDel="00000000" w:rsidR="00000000" w:rsidRPr="00000000">
        <w:rPr>
          <w:rtl w:val="0"/>
        </w:rPr>
        <w:t xml:space="preserve">stem cells over time: a consequence of selective accumulation of old centrioles in the stem cells?. Molecular Biology Reports, 50(3), 2751-2761.</w:t>
      </w:r>
    </w:p>
    <w:p w:rsidR="00000000" w:rsidDel="00000000" w:rsidP="00000000" w:rsidRDefault="00000000" w:rsidRPr="00000000" w14:paraId="00000171">
      <w:pPr>
        <w:widowControl w:val="1"/>
        <w:numPr>
          <w:ilvl w:val="0"/>
          <w:numId w:val="1"/>
        </w:numPr>
        <w:spacing w:line="276" w:lineRule="auto"/>
        <w:ind w:left="720" w:right="592.5" w:hanging="360"/>
        <w:jc w:val="both"/>
        <w:rPr/>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04">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72">
      <w:pPr>
        <w:widowControl w:val="1"/>
        <w:numPr>
          <w:ilvl w:val="0"/>
          <w:numId w:val="1"/>
        </w:numPr>
        <w:spacing w:line="276" w:lineRule="auto"/>
        <w:ind w:left="720" w:right="592.5" w:hanging="360"/>
        <w:jc w:val="both"/>
        <w:rPr/>
      </w:pPr>
      <w:r w:rsidDel="00000000" w:rsidR="00000000" w:rsidRPr="00000000">
        <w:rPr>
          <w:rtl w:val="0"/>
        </w:rPr>
        <w:t xml:space="preserve">Tkemaladze, J. (2023). The centriolar hypothesis of differentiation and replicative senescence. Junior Researchers, 1(1), 123–141. doi: </w:t>
      </w:r>
      <w:hyperlink r:id="rId105">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73">
      <w:pPr>
        <w:widowControl w:val="1"/>
        <w:numPr>
          <w:ilvl w:val="0"/>
          <w:numId w:val="1"/>
        </w:numPr>
        <w:spacing w:line="276" w:lineRule="auto"/>
        <w:ind w:left="720" w:right="592.5" w:hanging="360"/>
        <w:jc w:val="both"/>
        <w:rPr/>
      </w:pPr>
      <w:r w:rsidDel="00000000" w:rsidR="00000000" w:rsidRPr="00000000">
        <w:rPr>
          <w:rtl w:val="0"/>
        </w:rPr>
        <w:t xml:space="preserve">Tkemaladze, J. (2024). Absence of centrioles and regenerative potential of planaria. Georgian Scientists, 6(4), 59–75. doi: </w:t>
      </w:r>
      <w:hyperlink r:id="rId106">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74">
      <w:pPr>
        <w:widowControl w:val="1"/>
        <w:numPr>
          <w:ilvl w:val="0"/>
          <w:numId w:val="1"/>
        </w:numPr>
        <w:spacing w:line="276" w:lineRule="auto"/>
        <w:ind w:left="720" w:right="592.5" w:hanging="360"/>
        <w:jc w:val="both"/>
        <w:rPr/>
      </w:pPr>
      <w:r w:rsidDel="00000000" w:rsidR="00000000" w:rsidRPr="00000000">
        <w:rPr>
          <w:rtl w:val="0"/>
        </w:rPr>
        <w:t xml:space="preserve">Tkemaladze, J. (2024). Cell center and the problem of accumulation of oldest centrioles in stem cells. Georgian Scientists, 6(2), 304–322. doi: </w:t>
      </w:r>
      <w:hyperlink r:id="rId107">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75">
      <w:pPr>
        <w:widowControl w:val="1"/>
        <w:numPr>
          <w:ilvl w:val="0"/>
          <w:numId w:val="1"/>
        </w:numPr>
        <w:spacing w:line="276" w:lineRule="auto"/>
        <w:ind w:left="720" w:right="592.5" w:hanging="360"/>
        <w:jc w:val="both"/>
        <w:rPr/>
      </w:pPr>
      <w:r w:rsidDel="00000000" w:rsidR="00000000" w:rsidRPr="00000000">
        <w:rPr>
          <w:rtl w:val="0"/>
        </w:rPr>
        <w:t xml:space="preserve">Tkemaladze, J. (2024). Elimination of centrioles. Georgian Scientists, 6(4), 291–307. doi: </w:t>
      </w:r>
      <w:hyperlink r:id="rId108">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76">
      <w:pPr>
        <w:widowControl w:val="1"/>
        <w:numPr>
          <w:ilvl w:val="0"/>
          <w:numId w:val="1"/>
        </w:numPr>
        <w:spacing w:line="276" w:lineRule="auto"/>
        <w:ind w:left="720" w:right="592.5" w:hanging="360"/>
        <w:jc w:val="both"/>
        <w:rPr/>
      </w:pPr>
      <w:r w:rsidDel="00000000" w:rsidR="00000000" w:rsidRPr="00000000">
        <w:rPr>
          <w:rtl w:val="0"/>
        </w:rPr>
        <w:t xml:space="preserve">Tkemaladze, J. (2024). Main causes of intelligence decrease and prospects for treatment. Georgian Scientists, 6(2), 425–432. doi: </w:t>
      </w:r>
      <w:hyperlink r:id="rId109">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77">
      <w:pPr>
        <w:widowControl w:val="1"/>
        <w:numPr>
          <w:ilvl w:val="0"/>
          <w:numId w:val="1"/>
        </w:numPr>
        <w:spacing w:line="276" w:lineRule="auto"/>
        <w:ind w:left="720" w:right="592.5" w:hanging="360"/>
        <w:jc w:val="both"/>
        <w:rPr/>
      </w:pPr>
      <w:r w:rsidDel="00000000" w:rsidR="00000000" w:rsidRPr="00000000">
        <w:rPr>
          <w:rtl w:val="0"/>
        </w:rPr>
        <w:t xml:space="preserve">Tkemaladze, J. (2024). The rate of stem cell division decreases with age. Georgian Scientists, 6(4), 228–242. doi: </w:t>
      </w:r>
      <w:hyperlink r:id="rId110">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78">
      <w:pPr>
        <w:widowControl w:val="1"/>
        <w:numPr>
          <w:ilvl w:val="0"/>
          <w:numId w:val="1"/>
        </w:numPr>
        <w:spacing w:line="276" w:lineRule="auto"/>
        <w:ind w:left="720" w:right="592.5" w:hanging="360"/>
        <w:jc w:val="both"/>
        <w:rPr/>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111">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179">
      <w:pPr>
        <w:widowControl w:val="1"/>
        <w:numPr>
          <w:ilvl w:val="0"/>
          <w:numId w:val="1"/>
        </w:numPr>
        <w:spacing w:line="276" w:lineRule="auto"/>
        <w:ind w:left="720" w:right="592.5" w:hanging="360"/>
        <w:jc w:val="both"/>
        <w:rPr/>
      </w:pPr>
      <w:r w:rsidDel="00000000" w:rsidR="00000000" w:rsidRPr="00000000">
        <w:rPr>
          <w:rtl w:val="0"/>
        </w:rPr>
        <w:t xml:space="preserve">Tkemaladze, J. (2025).  Strategic Importance of the Caucasian Bridge and </w:t>
      </w:r>
    </w:p>
    <w:p w:rsidR="00000000" w:rsidDel="00000000" w:rsidP="00000000" w:rsidRDefault="00000000" w:rsidRPr="00000000" w14:paraId="0000017A">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7B">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7C">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7D">
      <w:pPr>
        <w:widowControl w:val="1"/>
        <w:spacing w:line="276" w:lineRule="auto"/>
        <w:ind w:left="720" w:right="592.5" w:firstLine="0"/>
        <w:jc w:val="both"/>
        <w:rPr/>
      </w:pPr>
      <w:r w:rsidDel="00000000" w:rsidR="00000000" w:rsidRPr="00000000">
        <w:rPr>
          <w:rtl w:val="0"/>
        </w:rPr>
        <w:t xml:space="preserve">Global Power Rivalries. doi:  </w:t>
      </w:r>
      <w:hyperlink r:id="rId112">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7E">
      <w:pPr>
        <w:widowControl w:val="1"/>
        <w:numPr>
          <w:ilvl w:val="0"/>
          <w:numId w:val="1"/>
        </w:numPr>
        <w:spacing w:line="276" w:lineRule="auto"/>
        <w:ind w:left="720" w:right="592.5" w:hanging="360"/>
        <w:jc w:val="both"/>
        <w:rPr/>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113">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17F">
      <w:pPr>
        <w:widowControl w:val="1"/>
        <w:numPr>
          <w:ilvl w:val="0"/>
          <w:numId w:val="1"/>
        </w:numPr>
        <w:spacing w:line="276" w:lineRule="auto"/>
        <w:ind w:left="720" w:right="592.5" w:hanging="360"/>
        <w:jc w:val="both"/>
        <w:rPr/>
      </w:pPr>
      <w:r w:rsidDel="00000000" w:rsidR="00000000" w:rsidRPr="00000000">
        <w:rPr>
          <w:rtl w:val="0"/>
        </w:rPr>
        <w:t xml:space="preserve">Tkemaladze, J. (2025).  Transforming the psyche with phoneme frequencies "Habere aliam linguam est possidere secundam animam" Charlemagne. doi:  </w:t>
      </w:r>
      <w:hyperlink r:id="rId114">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80">
      <w:pPr>
        <w:widowControl w:val="1"/>
        <w:numPr>
          <w:ilvl w:val="0"/>
          <w:numId w:val="1"/>
        </w:numPr>
        <w:spacing w:line="276" w:lineRule="auto"/>
        <w:ind w:left="720" w:right="592.5" w:hanging="360"/>
        <w:jc w:val="both"/>
        <w:rPr/>
      </w:pPr>
      <w:r w:rsidDel="00000000" w:rsidR="00000000" w:rsidRPr="00000000">
        <w:rPr>
          <w:rtl w:val="0"/>
        </w:rPr>
        <w:t xml:space="preserve">Tkemaladze, J. (2025). Anatomy, Biogenesis, and Role in Cell Biology of Centrioles. Longevity Horizons, 1(2).  doi: </w:t>
      </w:r>
      <w:hyperlink r:id="rId115">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81">
      <w:pPr>
        <w:widowControl w:val="1"/>
        <w:numPr>
          <w:ilvl w:val="0"/>
          <w:numId w:val="1"/>
        </w:numPr>
        <w:spacing w:line="276" w:lineRule="auto"/>
        <w:ind w:left="720" w:right="592.5" w:hanging="360"/>
        <w:jc w:val="both"/>
        <w:rPr/>
      </w:pPr>
      <w:r w:rsidDel="00000000" w:rsidR="00000000" w:rsidRPr="00000000">
        <w:rPr>
          <w:rtl w:val="0"/>
        </w:rPr>
        <w:t xml:space="preserve">Tkemaladze, J. (2025). Asymmetry in the Inheritance of Centrosomes / Centrioles and Its Consequences. Longevity Horizons, 1(2).   doi:  </w:t>
      </w:r>
      <w:hyperlink r:id="rId116">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82">
      <w:pPr>
        <w:widowControl w:val="1"/>
        <w:numPr>
          <w:ilvl w:val="0"/>
          <w:numId w:val="1"/>
        </w:numPr>
        <w:spacing w:line="276" w:lineRule="auto"/>
        <w:ind w:left="720" w:right="592.5" w:hanging="360"/>
        <w:jc w:val="both"/>
        <w:rPr/>
      </w:pPr>
      <w:r w:rsidDel="00000000" w:rsidR="00000000" w:rsidRPr="00000000">
        <w:rPr>
          <w:rtl w:val="0"/>
        </w:rPr>
        <w:t xml:space="preserve">Tkemaladze, J. (2025). Concept to The Alive Language. Longevity Horizons, 1(1). doi: </w:t>
      </w:r>
      <w:hyperlink r:id="rId117">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83">
      <w:pPr>
        <w:widowControl w:val="1"/>
        <w:numPr>
          <w:ilvl w:val="0"/>
          <w:numId w:val="1"/>
        </w:numPr>
        <w:spacing w:line="276" w:lineRule="auto"/>
        <w:ind w:left="720" w:right="592.5" w:hanging="360"/>
        <w:jc w:val="both"/>
        <w:rPr/>
      </w:pPr>
      <w:r w:rsidDel="00000000" w:rsidR="00000000" w:rsidRPr="00000000">
        <w:rPr>
          <w:rtl w:val="0"/>
        </w:rPr>
        <w:t xml:space="preserve">Tkemaladze, J. (2025). Concept to The Caucasian Bridge. Longevity Horizons, 1(1). doi: </w:t>
      </w:r>
      <w:hyperlink r:id="rId118">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84">
      <w:pPr>
        <w:widowControl w:val="1"/>
        <w:numPr>
          <w:ilvl w:val="0"/>
          <w:numId w:val="1"/>
        </w:numPr>
        <w:spacing w:line="276" w:lineRule="auto"/>
        <w:ind w:left="720" w:right="592.5" w:hanging="360"/>
        <w:jc w:val="both"/>
        <w:rPr/>
      </w:pPr>
      <w:r w:rsidDel="00000000" w:rsidR="00000000" w:rsidRPr="00000000">
        <w:rPr>
          <w:rtl w:val="0"/>
        </w:rPr>
        <w:t xml:space="preserve">Tkemaladze, J. (2025). Concept to The Curing All Diseases. Longevity Horizons, 1(1). doi: </w:t>
      </w:r>
      <w:hyperlink r:id="rId119">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85">
      <w:pPr>
        <w:widowControl w:val="1"/>
        <w:numPr>
          <w:ilvl w:val="0"/>
          <w:numId w:val="1"/>
        </w:numPr>
        <w:spacing w:line="276" w:lineRule="auto"/>
        <w:ind w:left="720" w:right="592.5" w:hanging="360"/>
        <w:jc w:val="both"/>
        <w:rPr/>
      </w:pPr>
      <w:r w:rsidDel="00000000" w:rsidR="00000000" w:rsidRPr="00000000">
        <w:rPr>
          <w:rtl w:val="0"/>
        </w:rPr>
        <w:t xml:space="preserve">Tkemaladze, J. (2025). Concept to The Eternal Youth. Longevity Horizons, 1(1). doi:  </w:t>
      </w:r>
      <w:hyperlink r:id="rId120">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86">
      <w:pPr>
        <w:widowControl w:val="1"/>
        <w:numPr>
          <w:ilvl w:val="0"/>
          <w:numId w:val="1"/>
        </w:numPr>
        <w:spacing w:line="276" w:lineRule="auto"/>
        <w:ind w:left="720" w:right="592.5" w:hanging="360"/>
        <w:jc w:val="both"/>
        <w:rPr/>
      </w:pPr>
      <w:r w:rsidDel="00000000" w:rsidR="00000000" w:rsidRPr="00000000">
        <w:rPr>
          <w:rtl w:val="0"/>
        </w:rPr>
        <w:t xml:space="preserve">Tkemaladze, J. (2025). Concept to The Food Security. Longevity Horizons, 1(1). doi:  </w:t>
      </w:r>
      <w:hyperlink r:id="rId121">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87">
      <w:pPr>
        <w:widowControl w:val="1"/>
        <w:numPr>
          <w:ilvl w:val="0"/>
          <w:numId w:val="1"/>
        </w:numPr>
        <w:spacing w:line="276" w:lineRule="auto"/>
        <w:ind w:left="720" w:right="592.5" w:hanging="360"/>
        <w:jc w:val="both"/>
        <w:rPr/>
      </w:pPr>
      <w:r w:rsidDel="00000000" w:rsidR="00000000" w:rsidRPr="00000000">
        <w:rPr>
          <w:rtl w:val="0"/>
        </w:rPr>
        <w:t xml:space="preserve">Tkemaladze, J. (2025). Concept to the Living Space. Longevity Horizons, 1(1). doi: </w:t>
      </w:r>
      <w:hyperlink r:id="rId122">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88">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89">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8A">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8B">
      <w:pPr>
        <w:widowControl w:val="1"/>
        <w:numPr>
          <w:ilvl w:val="0"/>
          <w:numId w:val="1"/>
        </w:numPr>
        <w:spacing w:line="276" w:lineRule="auto"/>
        <w:ind w:left="720" w:right="592.5" w:hanging="360"/>
        <w:jc w:val="both"/>
        <w:rPr/>
      </w:pPr>
      <w:r w:rsidDel="00000000" w:rsidR="00000000" w:rsidRPr="00000000">
        <w:rPr>
          <w:rtl w:val="0"/>
        </w:rPr>
        <w:t xml:space="preserve">Tkemaladze, J. (2025). Concept to The Restoring Dogmas. Longevity Horizons, 1(1).  doi: </w:t>
      </w:r>
      <w:hyperlink r:id="rId123">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8C">
      <w:pPr>
        <w:widowControl w:val="1"/>
        <w:numPr>
          <w:ilvl w:val="0"/>
          <w:numId w:val="1"/>
        </w:numPr>
        <w:spacing w:line="276" w:lineRule="auto"/>
        <w:ind w:left="720" w:right="592.5" w:hanging="360"/>
        <w:jc w:val="both"/>
        <w:rPr/>
      </w:pPr>
      <w:r w:rsidDel="00000000" w:rsidR="00000000" w:rsidRPr="00000000">
        <w:rPr>
          <w:rtl w:val="0"/>
        </w:rPr>
        <w:t xml:space="preserve">Tkemaladze, J. (2025). Differentiation of Somatic Cells in Multicellular Organisms. Longevity Horizons, 1(2). doi: </w:t>
      </w:r>
      <w:hyperlink r:id="rId124">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8D">
      <w:pPr>
        <w:widowControl w:val="1"/>
        <w:numPr>
          <w:ilvl w:val="0"/>
          <w:numId w:val="1"/>
        </w:numPr>
        <w:spacing w:line="276" w:lineRule="auto"/>
        <w:ind w:left="720" w:right="592.5" w:hanging="360"/>
        <w:jc w:val="both"/>
        <w:rPr/>
      </w:pPr>
      <w:r w:rsidDel="00000000" w:rsidR="00000000" w:rsidRPr="00000000">
        <w:rPr>
          <w:rtl w:val="0"/>
        </w:rPr>
        <w:t xml:space="preserve">Tkemaladze, J. (2025). Replicative Hayflick Limit. Longevity Horizons, 1(2).  doi: </w:t>
      </w:r>
      <w:hyperlink r:id="rId125">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8E">
      <w:pPr>
        <w:widowControl w:val="1"/>
        <w:numPr>
          <w:ilvl w:val="0"/>
          <w:numId w:val="1"/>
        </w:numPr>
        <w:spacing w:line="276" w:lineRule="auto"/>
        <w:ind w:left="720" w:right="592.5" w:hanging="360"/>
        <w:jc w:val="both"/>
        <w:rPr/>
      </w:pPr>
      <w:r w:rsidDel="00000000" w:rsidR="00000000" w:rsidRPr="00000000">
        <w:rPr>
          <w:rtl w:val="0"/>
        </w:rPr>
        <w:t xml:space="preserve">Tkemaladze, J. (2025). Solutions to the Living Space Problem to Overcome the Fear of Resurrection from the Dead. doi: </w:t>
      </w:r>
      <w:hyperlink r:id="rId126">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8F">
      <w:pPr>
        <w:widowControl w:val="1"/>
        <w:numPr>
          <w:ilvl w:val="0"/>
          <w:numId w:val="1"/>
        </w:numPr>
        <w:spacing w:line="276" w:lineRule="auto"/>
        <w:ind w:left="720" w:right="592.5" w:hanging="360"/>
        <w:jc w:val="both"/>
        <w:rPr/>
      </w:pPr>
      <w:r w:rsidDel="00000000" w:rsidR="00000000" w:rsidRPr="00000000">
        <w:rPr>
          <w:rtl w:val="0"/>
        </w:rPr>
        <w:t xml:space="preserve">Tkemaladze, J. (2025). The Concept of Data-Driven Automated Governance. Georgian Scientists, 6(4), 399–410. doi: </w:t>
      </w:r>
      <w:hyperlink r:id="rId127">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90">
      <w:pPr>
        <w:widowControl w:val="1"/>
        <w:numPr>
          <w:ilvl w:val="0"/>
          <w:numId w:val="1"/>
        </w:numPr>
        <w:spacing w:line="276" w:lineRule="auto"/>
        <w:ind w:left="720" w:right="592.5" w:hanging="360"/>
        <w:jc w:val="both"/>
        <w:rPr/>
      </w:pPr>
      <w:r w:rsidDel="00000000" w:rsidR="00000000" w:rsidRPr="00000000">
        <w:rPr>
          <w:rtl w:val="0"/>
        </w:rPr>
        <w:t xml:space="preserve">Tkemaladze, J. (2025).Achieving Perpetual Vitality Through Innovation. doi: </w:t>
      </w:r>
      <w:hyperlink r:id="rId128">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91">
      <w:pPr>
        <w:widowControl w:val="1"/>
        <w:numPr>
          <w:ilvl w:val="0"/>
          <w:numId w:val="1"/>
        </w:numPr>
        <w:spacing w:line="276" w:lineRule="auto"/>
        <w:ind w:left="720" w:right="592.5" w:hanging="360"/>
        <w:jc w:val="both"/>
        <w:rPr/>
      </w:pPr>
      <w:r w:rsidDel="00000000" w:rsidR="00000000" w:rsidRPr="00000000">
        <w:rPr>
          <w:rtl w:val="0"/>
        </w:rPr>
        <w:t xml:space="preserve">Tkemaladze, J. (2025).Systemic Resilience and Sustainable Nutritional Paradigms in Anthropogenic Ecosystems. doi: </w:t>
      </w:r>
      <w:hyperlink r:id="rId129">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92">
      <w:pPr>
        <w:widowControl w:val="1"/>
        <w:numPr>
          <w:ilvl w:val="0"/>
          <w:numId w:val="1"/>
        </w:numPr>
        <w:spacing w:line="276" w:lineRule="auto"/>
        <w:ind w:left="720" w:right="592.5" w:hanging="360"/>
        <w:jc w:val="both"/>
        <w:rPr/>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93">
      <w:pPr>
        <w:widowControl w:val="1"/>
        <w:numPr>
          <w:ilvl w:val="0"/>
          <w:numId w:val="1"/>
        </w:numPr>
        <w:spacing w:line="276" w:lineRule="auto"/>
        <w:ind w:left="720" w:right="592.5" w:hanging="360"/>
        <w:jc w:val="both"/>
        <w:rPr/>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94">
      <w:pPr>
        <w:widowControl w:val="1"/>
        <w:numPr>
          <w:ilvl w:val="0"/>
          <w:numId w:val="1"/>
        </w:numPr>
        <w:spacing w:line="276" w:lineRule="auto"/>
        <w:ind w:left="720" w:right="592.5" w:hanging="360"/>
        <w:jc w:val="both"/>
        <w:rPr/>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95">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96">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97">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98">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99">
      <w:pPr>
        <w:widowControl w:val="1"/>
        <w:numPr>
          <w:ilvl w:val="0"/>
          <w:numId w:val="1"/>
        </w:numPr>
        <w:spacing w:line="276" w:lineRule="auto"/>
        <w:ind w:left="720" w:right="592.5" w:hanging="360"/>
        <w:jc w:val="both"/>
        <w:rPr/>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9A">
      <w:pPr>
        <w:widowControl w:val="1"/>
        <w:numPr>
          <w:ilvl w:val="0"/>
          <w:numId w:val="1"/>
        </w:numPr>
        <w:spacing w:line="276" w:lineRule="auto"/>
        <w:ind w:left="720" w:right="592.5" w:hanging="360"/>
        <w:jc w:val="both"/>
        <w:rPr/>
      </w:pPr>
      <w:r w:rsidDel="00000000" w:rsidR="00000000" w:rsidRPr="00000000">
        <w:rPr>
          <w:rtl w:val="0"/>
        </w:rPr>
        <w:t xml:space="preserve">Tkemaladze, J., &amp; Samanishvili, T. (2024). Mineral ice cream improves recovery of muscle functions after exercise. Georgian Scientists, 6(2), 36–50. doi: </w:t>
      </w:r>
      <w:hyperlink r:id="rId130">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9B">
      <w:pPr>
        <w:widowControl w:val="1"/>
        <w:numPr>
          <w:ilvl w:val="0"/>
          <w:numId w:val="1"/>
        </w:numPr>
        <w:spacing w:line="276" w:lineRule="auto"/>
        <w:ind w:left="720" w:right="592.5" w:hanging="360"/>
        <w:jc w:val="both"/>
        <w:rPr/>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9C">
      <w:pPr>
        <w:widowControl w:val="1"/>
        <w:numPr>
          <w:ilvl w:val="0"/>
          <w:numId w:val="1"/>
        </w:numPr>
        <w:spacing w:line="276" w:lineRule="auto"/>
        <w:ind w:left="720" w:right="592.5" w:hanging="360"/>
        <w:jc w:val="both"/>
        <w:rPr/>
      </w:pPr>
      <w:r w:rsidDel="00000000" w:rsidR="00000000" w:rsidRPr="00000000">
        <w:rPr>
          <w:rtl w:val="0"/>
        </w:rPr>
        <w:t xml:space="preserve">Tkemaladze, Jaba and Kipshidze, Mariam, Regeneration Potential of the Schmidtea Mediterranea CIW4 Planarian. Available at SSRN: </w:t>
      </w:r>
      <w:hyperlink r:id="rId131">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32">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9D">
      <w:pPr>
        <w:widowControl w:val="1"/>
        <w:numPr>
          <w:ilvl w:val="0"/>
          <w:numId w:val="1"/>
        </w:numPr>
        <w:spacing w:line="276" w:lineRule="auto"/>
        <w:ind w:left="720" w:right="592.5" w:hanging="360"/>
        <w:jc w:val="both"/>
        <w:rPr/>
      </w:pPr>
      <w:r w:rsidDel="00000000" w:rsidR="00000000" w:rsidRPr="00000000">
        <w:rPr>
          <w:rtl w:val="0"/>
        </w:rPr>
        <w:t xml:space="preserve">Uetake, Y., Kato, K. H., Washitani-Nemoto, S., &amp; Nemoto Si, S. (2002). Nonequivalence of maternal centrosomes/centrioles in starfish oocytes: selective casting-off of reproductive centrioles into polar bodies. Developmental biology, 247(1), 149–164. </w:t>
      </w:r>
      <w:hyperlink r:id="rId133">
        <w:r w:rsidDel="00000000" w:rsidR="00000000" w:rsidRPr="00000000">
          <w:rPr>
            <w:color w:val="1155cc"/>
            <w:u w:val="single"/>
            <w:rtl w:val="0"/>
          </w:rPr>
          <w:t xml:space="preserve">https://doi.org/10.1006/dbio.2002.0682</w:t>
        </w:r>
      </w:hyperlink>
      <w:r w:rsidDel="00000000" w:rsidR="00000000" w:rsidRPr="00000000">
        <w:rPr>
          <w:rtl w:val="0"/>
        </w:rPr>
      </w:r>
    </w:p>
    <w:p w:rsidR="00000000" w:rsidDel="00000000" w:rsidP="00000000" w:rsidRDefault="00000000" w:rsidRPr="00000000" w14:paraId="0000019E">
      <w:pPr>
        <w:widowControl w:val="1"/>
        <w:numPr>
          <w:ilvl w:val="0"/>
          <w:numId w:val="1"/>
        </w:numPr>
        <w:spacing w:line="276" w:lineRule="auto"/>
        <w:ind w:left="720" w:right="592.5" w:hanging="360"/>
        <w:jc w:val="both"/>
        <w:rPr/>
      </w:pPr>
      <w:r w:rsidDel="00000000" w:rsidR="00000000" w:rsidRPr="00000000">
        <w:rPr>
          <w:rtl w:val="0"/>
        </w:rPr>
        <w:t xml:space="preserve">Uzbekov, R., Singina, G. N., Shedova, E. N., Banliat, C., Avidor-Reiss, T., &amp; Uzbekova, S. (2023). Centrosome Formation in the Bovine Early Embryo. Cells, 12(9), 1335. </w:t>
      </w:r>
      <w:hyperlink r:id="rId134">
        <w:r w:rsidDel="00000000" w:rsidR="00000000" w:rsidRPr="00000000">
          <w:rPr>
            <w:color w:val="1155cc"/>
            <w:u w:val="single"/>
            <w:rtl w:val="0"/>
          </w:rPr>
          <w:t xml:space="preserve">https://doi.org/10.3390/cells12091335</w:t>
        </w:r>
      </w:hyperlink>
      <w:r w:rsidDel="00000000" w:rsidR="00000000" w:rsidRPr="00000000">
        <w:rPr>
          <w:rtl w:val="0"/>
        </w:rPr>
      </w:r>
    </w:p>
    <w:p w:rsidR="00000000" w:rsidDel="00000000" w:rsidP="00000000" w:rsidRDefault="00000000" w:rsidRPr="00000000" w14:paraId="0000019F">
      <w:pPr>
        <w:widowControl w:val="1"/>
        <w:numPr>
          <w:ilvl w:val="0"/>
          <w:numId w:val="1"/>
        </w:numPr>
        <w:spacing w:line="276" w:lineRule="auto"/>
        <w:ind w:left="720" w:right="592.5" w:hanging="360"/>
        <w:jc w:val="both"/>
        <w:rPr/>
      </w:pPr>
      <w:r w:rsidDel="00000000" w:rsidR="00000000" w:rsidRPr="00000000">
        <w:rPr>
          <w:rtl w:val="0"/>
        </w:rPr>
        <w:t xml:space="preserve">von Tobel, L., Mikeladze-Dvali, T., Delattre, M., Balestra, F. R., Blanchoud, S., Finger, S., Knott, G., Müller-Reichert, T., &amp; Gönczy, P. (2014). SAS-1 is a C2 domain protein critical for centriole integrity in C. elegans. PLoS genetics, 10(11), e1004777. </w:t>
      </w:r>
      <w:hyperlink r:id="rId135">
        <w:r w:rsidDel="00000000" w:rsidR="00000000" w:rsidRPr="00000000">
          <w:rPr>
            <w:color w:val="1155cc"/>
            <w:u w:val="single"/>
            <w:rtl w:val="0"/>
          </w:rPr>
          <w:t xml:space="preserve">https://doi.org/10.1371/journal.pgen.1004777</w:t>
        </w:r>
      </w:hyperlink>
      <w:r w:rsidDel="00000000" w:rsidR="00000000" w:rsidRPr="00000000">
        <w:rPr>
          <w:rtl w:val="0"/>
        </w:rPr>
      </w:r>
    </w:p>
    <w:p w:rsidR="00000000" w:rsidDel="00000000" w:rsidP="00000000" w:rsidRDefault="00000000" w:rsidRPr="00000000" w14:paraId="000001A0">
      <w:pPr>
        <w:widowControl w:val="1"/>
        <w:numPr>
          <w:ilvl w:val="0"/>
          <w:numId w:val="1"/>
        </w:numPr>
        <w:spacing w:line="276" w:lineRule="auto"/>
        <w:ind w:left="720" w:right="592.5" w:hanging="360"/>
        <w:jc w:val="both"/>
        <w:rPr/>
      </w:pPr>
      <w:r w:rsidDel="00000000" w:rsidR="00000000" w:rsidRPr="00000000">
        <w:rPr>
          <w:rtl w:val="0"/>
        </w:rPr>
        <w:t xml:space="preserve">Wang, M., Nagle, R. B., Knudsen, B. S., Cress, A. E., &amp; Rogers, G. C. (2020). Centrosome loss results in an unstable genome and malignant prostate tumors. Oncogene, 39(2), 399–413. </w:t>
      </w:r>
      <w:hyperlink r:id="rId136">
        <w:r w:rsidDel="00000000" w:rsidR="00000000" w:rsidRPr="00000000">
          <w:rPr>
            <w:color w:val="1155cc"/>
            <w:u w:val="single"/>
            <w:rtl w:val="0"/>
          </w:rPr>
          <w:t xml:space="preserve">https://doi.org/10.1038/s41388-019-0995-z</w:t>
        </w:r>
      </w:hyperlink>
      <w:r w:rsidDel="00000000" w:rsidR="00000000" w:rsidRPr="00000000">
        <w:rPr>
          <w:rtl w:val="0"/>
        </w:rPr>
      </w:r>
    </w:p>
    <w:p w:rsidR="00000000" w:rsidDel="00000000" w:rsidP="00000000" w:rsidRDefault="00000000" w:rsidRPr="00000000" w14:paraId="000001A1">
      <w:pPr>
        <w:widowControl w:val="1"/>
        <w:numPr>
          <w:ilvl w:val="0"/>
          <w:numId w:val="1"/>
        </w:numPr>
        <w:spacing w:line="276" w:lineRule="auto"/>
        <w:ind w:left="720" w:right="592.5" w:hanging="360"/>
        <w:jc w:val="both"/>
        <w:rPr/>
      </w:pPr>
      <w:r w:rsidDel="00000000" w:rsidR="00000000" w:rsidRPr="00000000">
        <w:rPr>
          <w:rtl w:val="0"/>
        </w:rPr>
        <w:t xml:space="preserve">Wolf, N., Hirsh, D., &amp; McIntosh, J. R. (1978). Spermatogenesis in males of the </w:t>
      </w:r>
    </w:p>
    <w:p w:rsidR="00000000" w:rsidDel="00000000" w:rsidP="00000000" w:rsidRDefault="00000000" w:rsidRPr="00000000" w14:paraId="000001A2">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3">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4">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5">
      <w:pPr>
        <w:widowControl w:val="1"/>
        <w:spacing w:line="276" w:lineRule="auto"/>
        <w:ind w:left="720" w:right="592.5" w:firstLine="0"/>
        <w:jc w:val="both"/>
        <w:rPr/>
      </w:pPr>
      <w:r w:rsidDel="00000000" w:rsidR="00000000" w:rsidRPr="00000000">
        <w:rPr>
          <w:rtl w:val="0"/>
        </w:rPr>
        <w:t xml:space="preserve">free-living nematode, Caenorhabditis elegans. Journal of ultrastructure research, 63(2), 155–169. </w:t>
      </w:r>
      <w:hyperlink r:id="rId137">
        <w:r w:rsidDel="00000000" w:rsidR="00000000" w:rsidRPr="00000000">
          <w:rPr>
            <w:color w:val="1155cc"/>
            <w:u w:val="single"/>
            <w:rtl w:val="0"/>
          </w:rPr>
          <w:t xml:space="preserve">https://doi.org/10.1016/s0022-5320(78)80071-9</w:t>
        </w:r>
      </w:hyperlink>
      <w:r w:rsidDel="00000000" w:rsidR="00000000" w:rsidRPr="00000000">
        <w:rPr>
          <w:rtl w:val="0"/>
        </w:rPr>
      </w:r>
    </w:p>
    <w:p w:rsidR="00000000" w:rsidDel="00000000" w:rsidP="00000000" w:rsidRDefault="00000000" w:rsidRPr="00000000" w14:paraId="000001A6">
      <w:pPr>
        <w:widowControl w:val="1"/>
        <w:numPr>
          <w:ilvl w:val="0"/>
          <w:numId w:val="1"/>
        </w:numPr>
        <w:spacing w:line="276" w:lineRule="auto"/>
        <w:ind w:left="720" w:right="592.5" w:hanging="360"/>
        <w:jc w:val="both"/>
        <w:rPr/>
      </w:pPr>
      <w:r w:rsidDel="00000000" w:rsidR="00000000" w:rsidRPr="00000000">
        <w:rPr>
          <w:rtl w:val="0"/>
        </w:rPr>
        <w:t xml:space="preserve">Wong, Y. L., Anzola, J. V., Davis, R. L., Yoon, M., Motamedi, A., Kroll, A., Seo, C. P., Hsia, J. E., Kim, S. K., Mitchell, J. W., Mitchell, B. J., Desai, A., Gahman, T. C., Shiau, A. K., &amp; Oegema, K. (2015). Cell biology. Reversible centriole depletion with an inhibitor of Polo-like kinase 4. Science (New York, N.Y.), 348(6239), 1155–1160. </w:t>
      </w:r>
      <w:hyperlink r:id="rId138">
        <w:r w:rsidDel="00000000" w:rsidR="00000000" w:rsidRPr="00000000">
          <w:rPr>
            <w:color w:val="1155cc"/>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1A7">
      <w:pPr>
        <w:widowControl w:val="1"/>
        <w:numPr>
          <w:ilvl w:val="0"/>
          <w:numId w:val="1"/>
        </w:numPr>
        <w:spacing w:line="276" w:lineRule="auto"/>
        <w:ind w:left="720" w:right="592.5" w:hanging="360"/>
        <w:jc w:val="both"/>
        <w:rPr/>
      </w:pPr>
      <w:r w:rsidDel="00000000" w:rsidR="00000000" w:rsidRPr="00000000">
        <w:rPr>
          <w:rtl w:val="0"/>
        </w:rPr>
        <w:t xml:space="preserve">Zou, C., Li, J., Bai, Y., Gunning, W. T., Wazer, D. E., Band, V., &amp; Gao, Q. (2005). Centrobin: a novel daughter centriole-associated protein that is required for centriole duplication. The Journal of cell biology, 171(3), 437–445. </w:t>
      </w:r>
      <w:hyperlink r:id="rId139">
        <w:r w:rsidDel="00000000" w:rsidR="00000000" w:rsidRPr="00000000">
          <w:rPr>
            <w:color w:val="1155cc"/>
            <w:u w:val="single"/>
            <w:rtl w:val="0"/>
          </w:rPr>
          <w:t xml:space="preserve">https://doi.org/10.1083/jcb.200506185</w:t>
        </w:r>
      </w:hyperlink>
      <w:r w:rsidDel="00000000" w:rsidR="00000000" w:rsidRPr="00000000">
        <w:rPr>
          <w:rtl w:val="0"/>
        </w:rPr>
      </w:r>
    </w:p>
    <w:p w:rsidR="00000000" w:rsidDel="00000000" w:rsidP="00000000" w:rsidRDefault="00000000" w:rsidRPr="00000000" w14:paraId="000001A8">
      <w:pPr>
        <w:widowControl w:val="1"/>
        <w:numPr>
          <w:ilvl w:val="0"/>
          <w:numId w:val="1"/>
        </w:numPr>
        <w:spacing w:line="276" w:lineRule="auto"/>
        <w:ind w:left="720" w:right="592.5" w:hanging="360"/>
        <w:jc w:val="both"/>
        <w:rPr/>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A9">
      <w:pPr>
        <w:widowControl w:val="1"/>
        <w:numPr>
          <w:ilvl w:val="0"/>
          <w:numId w:val="1"/>
        </w:numPr>
        <w:spacing w:line="276" w:lineRule="auto"/>
        <w:ind w:left="720" w:right="592.5" w:hanging="360"/>
        <w:jc w:val="both"/>
        <w:rPr/>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w:t>
      </w:r>
    </w:p>
    <w:p w:rsidR="00000000" w:rsidDel="00000000" w:rsidP="00000000" w:rsidRDefault="00000000" w:rsidRPr="00000000" w14:paraId="000001AA">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B">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C">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D">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E">
      <w:pPr>
        <w:widowControl w:val="1"/>
        <w:spacing w:line="276" w:lineRule="auto"/>
        <w:ind w:left="720" w:right="592.5" w:firstLine="0"/>
        <w:jc w:val="both"/>
        <w:rPr/>
      </w:pPr>
      <w:r w:rsidDel="00000000" w:rsidR="00000000" w:rsidRPr="00000000">
        <w:rPr>
          <w:rtl w:val="0"/>
        </w:rPr>
      </w:r>
    </w:p>
    <w:p w:rsidR="00000000" w:rsidDel="00000000" w:rsidP="00000000" w:rsidRDefault="00000000" w:rsidRPr="00000000" w14:paraId="000001AF">
      <w:pPr>
        <w:widowControl w:val="1"/>
        <w:spacing w:line="276" w:lineRule="auto"/>
        <w:ind w:left="720" w:right="592.5" w:firstLine="0"/>
        <w:jc w:val="both"/>
        <w:rPr/>
      </w:pPr>
      <w:r w:rsidDel="00000000" w:rsidR="00000000" w:rsidRPr="00000000">
        <w:rPr>
          <w:rtl w:val="0"/>
        </w:rPr>
        <w:t xml:space="preserve">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B0">
      <w:pPr>
        <w:widowControl w:val="1"/>
        <w:numPr>
          <w:ilvl w:val="0"/>
          <w:numId w:val="1"/>
        </w:numPr>
        <w:spacing w:line="276" w:lineRule="auto"/>
        <w:ind w:left="720" w:right="592.5" w:hanging="360"/>
        <w:jc w:val="both"/>
        <w:rPr/>
      </w:pPr>
      <w:r w:rsidDel="00000000" w:rsidR="00000000" w:rsidRPr="00000000">
        <w:rPr>
          <w:rtl w:val="0"/>
        </w:rPr>
        <w:t xml:space="preserve">Ткемаладзе, Д. (2025). Анатомия, биогенез и роль в клеточной биологии центриолей. doi: </w:t>
      </w:r>
      <w:hyperlink r:id="rId140">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B1">
      <w:pPr>
        <w:widowControl w:val="1"/>
        <w:numPr>
          <w:ilvl w:val="0"/>
          <w:numId w:val="1"/>
        </w:numPr>
        <w:spacing w:line="276" w:lineRule="auto"/>
        <w:ind w:left="720" w:right="592.5" w:hanging="360"/>
        <w:jc w:val="both"/>
        <w:rPr/>
      </w:pPr>
      <w:r w:rsidDel="00000000" w:rsidR="00000000" w:rsidRPr="00000000">
        <w:rPr>
          <w:rtl w:val="0"/>
        </w:rPr>
        <w:t xml:space="preserve">Ткемаладзе, Д. (2025). Асимметрия в наследовании центросом / центриолей и ее последствия. doi: </w:t>
      </w:r>
      <w:hyperlink r:id="rId141">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B2">
      <w:pPr>
        <w:widowControl w:val="1"/>
        <w:numPr>
          <w:ilvl w:val="0"/>
          <w:numId w:val="1"/>
        </w:numPr>
        <w:spacing w:line="276" w:lineRule="auto"/>
        <w:ind w:left="720" w:right="592.5" w:hanging="360"/>
        <w:jc w:val="both"/>
        <w:rPr/>
      </w:pPr>
      <w:r w:rsidDel="00000000" w:rsidR="00000000" w:rsidRPr="00000000">
        <w:rPr>
          <w:rtl w:val="0"/>
        </w:rPr>
        <w:t xml:space="preserve">Ткемаладзе, Д. (2025). Дифференциация соматических клеток многоклеточных животных. doi: </w:t>
      </w:r>
      <w:hyperlink r:id="rId142">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B3">
      <w:pPr>
        <w:widowControl w:val="1"/>
        <w:numPr>
          <w:ilvl w:val="0"/>
          <w:numId w:val="1"/>
        </w:numPr>
        <w:spacing w:line="276" w:lineRule="auto"/>
        <w:ind w:left="720" w:right="592.5" w:hanging="360"/>
        <w:jc w:val="both"/>
        <w:rPr/>
      </w:pPr>
      <w:r w:rsidDel="00000000" w:rsidR="00000000" w:rsidRPr="00000000">
        <w:rPr>
          <w:rtl w:val="0"/>
        </w:rPr>
        <w:t xml:space="preserve">Ткемаладзе, Д. (2025). Репликативный Лимит Хейфлика. doi: </w:t>
      </w:r>
      <w:hyperlink r:id="rId143">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B4">
      <w:pPr>
        <w:widowControl w:val="1"/>
        <w:numPr>
          <w:ilvl w:val="0"/>
          <w:numId w:val="1"/>
        </w:numPr>
        <w:spacing w:line="276" w:lineRule="auto"/>
        <w:ind w:left="720" w:right="592.5" w:hanging="360"/>
        <w:jc w:val="both"/>
        <w:rPr/>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B5">
      <w:pPr>
        <w:widowControl w:val="1"/>
        <w:numPr>
          <w:ilvl w:val="0"/>
          <w:numId w:val="1"/>
        </w:numPr>
        <w:spacing w:line="276" w:lineRule="auto"/>
        <w:ind w:left="720" w:right="592.5" w:hanging="360"/>
        <w:jc w:val="both"/>
        <w:rPr/>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B6">
      <w:pPr>
        <w:widowControl w:val="1"/>
        <w:numPr>
          <w:ilvl w:val="0"/>
          <w:numId w:val="1"/>
        </w:numPr>
        <w:spacing w:line="276" w:lineRule="auto"/>
        <w:ind w:left="720" w:right="592.5" w:hanging="360"/>
        <w:jc w:val="both"/>
        <w:rPr/>
        <w:sectPr>
          <w:type w:val="continuous"/>
          <w:pgSz w:h="16840" w:w="11910" w:orient="portrait"/>
          <w:pgMar w:bottom="0" w:top="0" w:left="566" w:right="0" w:header="360" w:footer="360"/>
          <w:cols w:equalWidth="0" w:num="2">
            <w:col w:space="720" w:w="5309.740000000001"/>
            <w:col w:space="0" w:w="5309.740000000001"/>
          </w:cols>
        </w:sectPr>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B7">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8">
      <w:pPr>
        <w:ind w:left="0" w:firstLine="0"/>
        <w:jc w:val="both"/>
        <w:rPr>
          <w:rFonts w:ascii="Arial" w:cs="Arial" w:eastAsia="Arial" w:hAnsi="Arial"/>
          <w:sz w:val="18"/>
          <w:szCs w:val="18"/>
        </w:rPr>
        <w:sectPr>
          <w:type w:val="continuous"/>
          <w:pgSz w:h="16840" w:w="11910" w:orient="portrait"/>
          <w:pgMar w:bottom="0" w:top="0" w:left="566" w:right="0" w:header="360" w:footer="360"/>
        </w:sectPr>
      </w:pPr>
      <w:r w:rsidDel="00000000" w:rsidR="00000000" w:rsidRPr="00000000">
        <w:rPr>
          <w:rtl w:val="0"/>
        </w:rPr>
      </w:r>
    </w:p>
    <w:p w:rsidR="00000000" w:rsidDel="00000000" w:rsidP="00000000" w:rsidRDefault="00000000" w:rsidRPr="00000000" w14:paraId="000001B9">
      <w:pPr>
        <w:widowControl w:val="1"/>
        <w:spacing w:line="276" w:lineRule="auto"/>
        <w:ind w:left="0" w:firstLine="0"/>
        <w:jc w:val="both"/>
        <w:rPr>
          <w:rFonts w:ascii="Arial" w:cs="Arial" w:eastAsia="Arial" w:hAnsi="Arial"/>
          <w:sz w:val="18"/>
          <w:szCs w:val="18"/>
        </w:rPr>
      </w:pPr>
      <w:r w:rsidDel="00000000" w:rsidR="00000000" w:rsidRPr="00000000">
        <w:rPr>
          <w:rtl w:val="0"/>
        </w:rPr>
      </w:r>
    </w:p>
    <w:sectPr>
      <w:type w:val="continuous"/>
      <w:pgSz w:h="16840" w:w="11910" w:orient="portrait"/>
      <w:pgMar w:bottom="0" w:top="0" w:left="566"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2" name="Shape 2"/>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123-321</w:t>
                            </w:r>
                          </w:p>
                        </w:txbxContent>
                      </wps:txbx>
                      <wps:bodyPr anchorCtr="0" anchor="t" bIns="91425" lIns="91425" spcFirstLastPara="1" rIns="91425" wrap="square" tIns="91425">
                        <a:noAutofit/>
                      </wps:bodyPr>
                    </wps:wsp>
                    <wps:wsp>
                      <wps:cNvSpPr txBox="1"/>
                      <wps:cNvPr id="6" name="Shape 6"/>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2:5</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w:t>
                            </w:r>
                            <w:r w:rsidDel="00000000" w:rsidR="00000000" w:rsidRPr="00000000">
                              <w:rPr>
                                <w:rFonts w:ascii="Arial" w:cs="Arial" w:eastAsia="Arial" w:hAnsi="Arial"/>
                                <w:b w:val="1"/>
                                <w:i w:val="0"/>
                                <w:smallCaps w:val="0"/>
                                <w:strike w:val="0"/>
                                <w:color w:val="ffffff"/>
                                <w:sz w:val="42"/>
                                <w:vertAlign w:val="baseline"/>
                              </w:rPr>
                              <w:t xml:space="preserve">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w:t>
                            </w:r>
                            <w:r w:rsidDel="00000000" w:rsidR="00000000" w:rsidRPr="00000000">
                              <w:rPr>
                                <w:rFonts w:ascii="Tahoma" w:cs="Tahoma" w:eastAsia="Tahoma" w:hAnsi="Tahoma"/>
                                <w:b w:val="1"/>
                                <w:i w:val="0"/>
                                <w:smallCaps w:val="0"/>
                                <w:strike w:val="0"/>
                                <w:color w:val="ffffff"/>
                                <w:sz w:val="23"/>
                                <w:vertAlign w:val="baseline"/>
                              </w:rPr>
                              <w:t xml:space="preserve">2960-9011</w:t>
                            </w:r>
                          </w:p>
                        </w:txbxContent>
                      </wps:txbx>
                      <wps:bodyPr anchorCtr="0" anchor="t" bIns="91425" lIns="91425" spcFirstLastPara="1" rIns="91425" wrap="square" tIns="91425">
                        <a:noAutofit/>
                      </wps:bodyPr>
                    </wps:wsp>
                    <wps:wsp>
                      <wps:cNvSpPr txBox="1"/>
                      <wps:cNvPr id="6" name="Shape 6"/>
                      <wps:spPr>
                        <a:xfrm>
                          <a:off x="8973725" y="3351850"/>
                          <a:ext cx="15909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2:5</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86/s13630-016-0032-6" TargetMode="External"/><Relationship Id="rId42" Type="http://schemas.openxmlformats.org/officeDocument/2006/relationships/hyperlink" Target="https://doi.org/10.1146/annurev-cellbio-120219-051400" TargetMode="External"/><Relationship Id="rId41" Type="http://schemas.openxmlformats.org/officeDocument/2006/relationships/hyperlink" Target="https://doi.org/10.1080/23723556.2015.1075643" TargetMode="External"/><Relationship Id="rId44" Type="http://schemas.openxmlformats.org/officeDocument/2006/relationships/hyperlink" Target="https://doi.org/10.1083/jcb.144.5.927" TargetMode="External"/><Relationship Id="rId43" Type="http://schemas.openxmlformats.org/officeDocument/2006/relationships/hyperlink" Target="https://doi.org/10.1016/j.cub.2021.07.063" TargetMode="External"/><Relationship Id="rId46" Type="http://schemas.openxmlformats.org/officeDocument/2006/relationships/hyperlink" Target="https://doi.org/10.1083/jcb.201006135" TargetMode="External"/><Relationship Id="rId45" Type="http://schemas.openxmlformats.org/officeDocument/2006/relationships/hyperlink" Target="https://doi.org/10.1074/jbc.M114.603423" TargetMode="External"/><Relationship Id="rId107" Type="http://schemas.openxmlformats.org/officeDocument/2006/relationships/hyperlink" Target="https://doi.org/10.52340/gs.2024.06.02.32" TargetMode="External"/><Relationship Id="rId106" Type="http://schemas.openxmlformats.org/officeDocument/2006/relationships/hyperlink" Target="https://doi.org/10.52340/gs.2024.06.04.08" TargetMode="External"/><Relationship Id="rId105" Type="http://schemas.openxmlformats.org/officeDocument/2006/relationships/hyperlink" Target="https://doi.org/10.52340/2023.01.01.15" TargetMode="External"/><Relationship Id="rId104" Type="http://schemas.openxmlformats.org/officeDocument/2006/relationships/hyperlink" Target="https://doi.org/10.52340/2023.01.01.17" TargetMode="External"/><Relationship Id="rId109" Type="http://schemas.openxmlformats.org/officeDocument/2006/relationships/hyperlink" Target="https://doi.org/10.52340/gs.2024.06.02.44" TargetMode="External"/><Relationship Id="rId108" Type="http://schemas.openxmlformats.org/officeDocument/2006/relationships/hyperlink" Target="https://doi.org/10.52340/gs.2024.06.04.25" TargetMode="External"/><Relationship Id="rId48" Type="http://schemas.openxmlformats.org/officeDocument/2006/relationships/hyperlink" Target="https://doi.org/10.1016/j.cub.2013.06.061" TargetMode="External"/><Relationship Id="rId47" Type="http://schemas.openxmlformats.org/officeDocument/2006/relationships/hyperlink" Target="https://doi.org/10.1242/jcs.105.1.157" TargetMode="External"/><Relationship Id="rId49" Type="http://schemas.openxmlformats.org/officeDocument/2006/relationships/hyperlink" Target="https://doi.org/10.1016/j.devcel.2011.09.001" TargetMode="External"/><Relationship Id="rId103" Type="http://schemas.openxmlformats.org/officeDocument/2006/relationships/hyperlink" Target="https://doi.org/10.52340/2023.05.03.22" TargetMode="External"/><Relationship Id="rId102" Type="http://schemas.openxmlformats.org/officeDocument/2006/relationships/hyperlink" Target="https://doi.org/10.52340/2023.05.03.15" TargetMode="External"/><Relationship Id="rId101" Type="http://schemas.openxmlformats.org/officeDocument/2006/relationships/hyperlink" Target="https://doi.org/10.3389/fcell.2022.861864" TargetMode="External"/><Relationship Id="rId100" Type="http://schemas.openxmlformats.org/officeDocument/2006/relationships/hyperlink" Target="https://doi.org/10.1038/nature03353" TargetMode="External"/><Relationship Id="rId31" Type="http://schemas.openxmlformats.org/officeDocument/2006/relationships/hyperlink" Target="https://doi.org/10.1016/0012-1606(84)90274-4" TargetMode="External"/><Relationship Id="rId30" Type="http://schemas.openxmlformats.org/officeDocument/2006/relationships/hyperlink" Target="https://doi.org/10.1091/mbc.E22-05-0182" TargetMode="External"/><Relationship Id="rId33" Type="http://schemas.openxmlformats.org/officeDocument/2006/relationships/hyperlink" Target="https://doi.org/10.1016/j.cell.2017.10.033" TargetMode="External"/><Relationship Id="rId32" Type="http://schemas.openxmlformats.org/officeDocument/2006/relationships/hyperlink" Target="https://doi.org/10.1038/s41467-023-37342-x" TargetMode="External"/><Relationship Id="rId35" Type="http://schemas.openxmlformats.org/officeDocument/2006/relationships/hyperlink" Target="https://doi.org/10.1083/jcb.201202135" TargetMode="External"/><Relationship Id="rId34" Type="http://schemas.openxmlformats.org/officeDocument/2006/relationships/hyperlink" Target="https://doi.org/10.1016/j.cub.2010.11.055" TargetMode="External"/><Relationship Id="rId37" Type="http://schemas.openxmlformats.org/officeDocument/2006/relationships/hyperlink" Target="https://doi.org/10.1091/mbc.e02-04-0205" TargetMode="External"/><Relationship Id="rId36" Type="http://schemas.openxmlformats.org/officeDocument/2006/relationships/hyperlink" Target="https://doi.org/10.1083/jcb.51.1.286" TargetMode="External"/><Relationship Id="rId39" Type="http://schemas.openxmlformats.org/officeDocument/2006/relationships/hyperlink" Target="https://doi.org/10.1038/s41467-018-04678-8" TargetMode="External"/><Relationship Id="rId38" Type="http://schemas.openxmlformats.org/officeDocument/2006/relationships/hyperlink" Target="https://doi.org/10.1002/(SICI)1097-0169(1996)35:4" TargetMode="External"/><Relationship Id="rId20" Type="http://schemas.openxmlformats.org/officeDocument/2006/relationships/hyperlink" Target="https://doi.org/10.1242/dev.032391" TargetMode="External"/><Relationship Id="rId22" Type="http://schemas.openxmlformats.org/officeDocument/2006/relationships/hyperlink" Target="https://doi.org/10.1534/genetics.110.123133" TargetMode="External"/><Relationship Id="rId21" Type="http://schemas.openxmlformats.org/officeDocument/2006/relationships/hyperlink" Target="https://doi.org/10.1038/s41580-020-0270-8" TargetMode="External"/><Relationship Id="rId24" Type="http://schemas.openxmlformats.org/officeDocument/2006/relationships/hyperlink" Target="https://doi.org/10.1083/jcb.200801183" TargetMode="External"/><Relationship Id="rId23" Type="http://schemas.openxmlformats.org/officeDocument/2006/relationships/hyperlink" Target="https://doi.org/10.1534/genetics.113.160523" TargetMode="External"/><Relationship Id="rId129" Type="http://schemas.openxmlformats.org/officeDocument/2006/relationships/hyperlink" Target="http://dx.doi.org/10.13140/RG.2.2.18943.32169/1" TargetMode="External"/><Relationship Id="rId128" Type="http://schemas.openxmlformats.org/officeDocument/2006/relationships/hyperlink" Target="http://dx.doi.org/10.13140/RG.2.2.31113.35685" TargetMode="External"/><Relationship Id="rId127" Type="http://schemas.openxmlformats.org/officeDocument/2006/relationships/hyperlink" Target="https://doi.org/10.52340/gs.2024.06.04.38" TargetMode="External"/><Relationship Id="rId126" Type="http://schemas.openxmlformats.org/officeDocument/2006/relationships/hyperlink" Target="http://dx.doi.org/10.13140/RG.2.2.34655.57768" TargetMode="External"/><Relationship Id="rId26" Type="http://schemas.openxmlformats.org/officeDocument/2006/relationships/hyperlink" Target="https://doi.org/10.1083/jcb.201510083" TargetMode="External"/><Relationship Id="rId121" Type="http://schemas.openxmlformats.org/officeDocument/2006/relationships/hyperlink" Target="https://doi.org/10.5281/zenodo.14642407" TargetMode="External"/><Relationship Id="rId25" Type="http://schemas.openxmlformats.org/officeDocument/2006/relationships/hyperlink" Target="https://doi.org/10.1083/jcb.143.6.1575" TargetMode="External"/><Relationship Id="rId120" Type="http://schemas.openxmlformats.org/officeDocument/2006/relationships/hyperlink" Target="https://doi.org/10.5281/zenodo.14681902" TargetMode="External"/><Relationship Id="rId28" Type="http://schemas.openxmlformats.org/officeDocument/2006/relationships/hyperlink" Target="https://doi.org/10.1146/annurev-biochem-013118-111153" TargetMode="External"/><Relationship Id="rId27" Type="http://schemas.openxmlformats.org/officeDocument/2006/relationships/hyperlink" Target="https://doi.org/10.1101/cshperspect.a028191" TargetMode="External"/><Relationship Id="rId125" Type="http://schemas.openxmlformats.org/officeDocument/2006/relationships/hyperlink" Target="https://doi.org/10.5281/zenodo.14752664" TargetMode="External"/><Relationship Id="rId29" Type="http://schemas.openxmlformats.org/officeDocument/2006/relationships/hyperlink" Target="https://doi.org/10.1038/s41588-018-0054-7" TargetMode="External"/><Relationship Id="rId124" Type="http://schemas.openxmlformats.org/officeDocument/2006/relationships/hyperlink" Target="https://doi.org/10.5281/10.5281/zenodo.14778927" TargetMode="External"/><Relationship Id="rId123" Type="http://schemas.openxmlformats.org/officeDocument/2006/relationships/hyperlink" Target="https://doi.org/10.5281/zenodo.14708980" TargetMode="External"/><Relationship Id="rId122" Type="http://schemas.openxmlformats.org/officeDocument/2006/relationships/hyperlink" Target="https://doi.org/10.5281/zenodo.14635991" TargetMode="External"/><Relationship Id="rId95" Type="http://schemas.openxmlformats.org/officeDocument/2006/relationships/hyperlink" Target="https://doi.org/10.1083/jcb.99.6.2175" TargetMode="External"/><Relationship Id="rId94" Type="http://schemas.openxmlformats.org/officeDocument/2006/relationships/hyperlink" Target="https://doi.org/10.1016/j.ceb.2016.09.003" TargetMode="External"/><Relationship Id="rId97" Type="http://schemas.openxmlformats.org/officeDocument/2006/relationships/hyperlink" Target="https://doi.org/10.1083/jcb.201610070" TargetMode="External"/><Relationship Id="rId96" Type="http://schemas.openxmlformats.org/officeDocument/2006/relationships/hyperlink" Target="https://doi.org/10.1038/s41467-021-26252-5" TargetMode="External"/><Relationship Id="rId11" Type="http://schemas.openxmlformats.org/officeDocument/2006/relationships/footer" Target="footer2.xml"/><Relationship Id="rId99" Type="http://schemas.openxmlformats.org/officeDocument/2006/relationships/hyperlink" Target="https://doi.org/10.1530/REP-11-0255" TargetMode="External"/><Relationship Id="rId10" Type="http://schemas.openxmlformats.org/officeDocument/2006/relationships/header" Target="header3.xml"/><Relationship Id="rId98" Type="http://schemas.openxmlformats.org/officeDocument/2006/relationships/hyperlink" Target="https://doi.org/10.1083/jcb.200205101" TargetMode="External"/><Relationship Id="rId13" Type="http://schemas.openxmlformats.org/officeDocument/2006/relationships/footer" Target="footer3.xml"/><Relationship Id="rId12" Type="http://schemas.openxmlformats.org/officeDocument/2006/relationships/footer" Target="footer1.xml"/><Relationship Id="rId91" Type="http://schemas.openxmlformats.org/officeDocument/2006/relationships/hyperlink" Target="https://doi.org/10.1038/s44319-023-00020-6" TargetMode="External"/><Relationship Id="rId90" Type="http://schemas.openxmlformats.org/officeDocument/2006/relationships/hyperlink" Target="https://doi.org/10.1126/science.aaf4866" TargetMode="External"/><Relationship Id="rId93" Type="http://schemas.openxmlformats.org/officeDocument/2006/relationships/hyperlink" Target="https://doi.org/10.1002/cm.970290403" TargetMode="External"/><Relationship Id="rId92" Type="http://schemas.openxmlformats.org/officeDocument/2006/relationships/hyperlink" Target="https://doi.org/10.1534/genetics.118.301367" TargetMode="External"/><Relationship Id="rId118" Type="http://schemas.openxmlformats.org/officeDocument/2006/relationships/hyperlink" Target="https://doi.org/10.5281/zenodo.14689276" TargetMode="External"/><Relationship Id="rId117" Type="http://schemas.openxmlformats.org/officeDocument/2006/relationships/hyperlink" Target="https://doi.org/10.5281/zenodo.14688792" TargetMode="External"/><Relationship Id="rId116" Type="http://schemas.openxmlformats.org/officeDocument/2006/relationships/hyperlink" Target="https://doi.org/10.5281/zenodo.14837352" TargetMode="External"/><Relationship Id="rId115" Type="http://schemas.openxmlformats.org/officeDocument/2006/relationships/hyperlink" Target="https://doi.org/10.5281/zenodo.14742232" TargetMode="External"/><Relationship Id="rId119" Type="http://schemas.openxmlformats.org/officeDocument/2006/relationships/hyperlink" Target="https://doi.org/10.5281/zenodo.14676208" TargetMode="External"/><Relationship Id="rId15" Type="http://schemas.openxmlformats.org/officeDocument/2006/relationships/hyperlink" Target="https://doi.org/10.1098/rstb.2013.0453" TargetMode="External"/><Relationship Id="rId110" Type="http://schemas.openxmlformats.org/officeDocument/2006/relationships/hyperlink" Target="https://doi.org/10.52340/gs.2024.06.04.21" TargetMode="External"/><Relationship Id="rId14" Type="http://schemas.openxmlformats.org/officeDocument/2006/relationships/hyperlink" Target="https://doi.org/10.1016/j.mce.2020.110987" TargetMode="External"/><Relationship Id="rId17" Type="http://schemas.openxmlformats.org/officeDocument/2006/relationships/hyperlink" Target="https://doi.org/10.1016/j.devcel.2013.05.016" TargetMode="External"/><Relationship Id="rId16" Type="http://schemas.openxmlformats.org/officeDocument/2006/relationships/hyperlink" Target="https://doi.org/10.7554/eLife.62640" TargetMode="External"/><Relationship Id="rId19" Type="http://schemas.openxmlformats.org/officeDocument/2006/relationships/hyperlink" Target="https://doi.org/10.1091/mbc.E12-08-0577" TargetMode="External"/><Relationship Id="rId114" Type="http://schemas.openxmlformats.org/officeDocument/2006/relationships/hyperlink" Target="http://dx.doi.org/10.13140/RG.2.2.16105.61286" TargetMode="External"/><Relationship Id="rId18" Type="http://schemas.openxmlformats.org/officeDocument/2006/relationships/hyperlink" Target="https://doi.org/10.1038/cr.2015.49" TargetMode="External"/><Relationship Id="rId113" Type="http://schemas.openxmlformats.org/officeDocument/2006/relationships/hyperlink" Target="http://dx.doi.org/10.13140/RG.2.2.28347.73769" TargetMode="External"/><Relationship Id="rId112" Type="http://schemas.openxmlformats.org/officeDocument/2006/relationships/hyperlink" Target="http://dx.doi.org/10.13140/RG.2.2.19153.03680" TargetMode="External"/><Relationship Id="rId111" Type="http://schemas.openxmlformats.org/officeDocument/2006/relationships/hyperlink" Target="http://dx.doi.org/10.13140/RG.2.2.24481.11366" TargetMode="External"/><Relationship Id="rId84" Type="http://schemas.openxmlformats.org/officeDocument/2006/relationships/hyperlink" Target="https://doi.org/10.1046/j.1440-169x.2001.00580.x" TargetMode="External"/><Relationship Id="rId83" Type="http://schemas.openxmlformats.org/officeDocument/2006/relationships/hyperlink" Target="https://doi.org/10.1038/ncb1529" TargetMode="External"/><Relationship Id="rId86" Type="http://schemas.openxmlformats.org/officeDocument/2006/relationships/hyperlink" Target="https://doi.org/10.1038/nature08869" TargetMode="External"/><Relationship Id="rId85" Type="http://schemas.openxmlformats.org/officeDocument/2006/relationships/hyperlink" Target="https://doi.org/10.1007/BF02705243" TargetMode="External"/><Relationship Id="rId88" Type="http://schemas.openxmlformats.org/officeDocument/2006/relationships/hyperlink" Target="https://doi.org/10.1038/nature05318" TargetMode="External"/><Relationship Id="rId87" Type="http://schemas.openxmlformats.org/officeDocument/2006/relationships/hyperlink" Target="https://doi.org/10.1038/s41416-022-02020-0" TargetMode="External"/><Relationship Id="rId89" Type="http://schemas.openxmlformats.org/officeDocument/2006/relationships/hyperlink" Target="https://doi.org/10.15252/embj.2023115076" TargetMode="External"/><Relationship Id="rId80" Type="http://schemas.openxmlformats.org/officeDocument/2006/relationships/hyperlink" Target="https://doi.org/10.1083/jcb.200402022" TargetMode="External"/><Relationship Id="rId82" Type="http://schemas.openxmlformats.org/officeDocument/2006/relationships/hyperlink" Target="https://doi.org/10.1242/dev.075440" TargetMode="External"/><Relationship Id="rId81" Type="http://schemas.openxmlformats.org/officeDocument/2006/relationships/hyperlink" Target="https://doi.org/10.1091/mbc.E15-10-07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3" Type="http://schemas.openxmlformats.org/officeDocument/2006/relationships/hyperlink" Target="http://dx.doi.org/10.13140/RG.2.2.25803.30249" TargetMode="External"/><Relationship Id="rId142" Type="http://schemas.openxmlformats.org/officeDocument/2006/relationships/hyperlink" Target="http://dx.doi.org/10.13140/RG.2.2.23348.97929/1" TargetMode="External"/><Relationship Id="rId141" Type="http://schemas.openxmlformats.org/officeDocument/2006/relationships/hyperlink" Target="http://dx.doi.org/10.13140/RG.2.2.34917.31206" TargetMode="External"/><Relationship Id="rId140" Type="http://schemas.openxmlformats.org/officeDocument/2006/relationships/hyperlink" Target="http://dx.doi.org/10.13140/RG.2.2.27441.70245/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jtkemaladze@longevity.ge" TargetMode="External"/><Relationship Id="rId8" Type="http://schemas.openxmlformats.org/officeDocument/2006/relationships/header" Target="header2.xml"/><Relationship Id="rId73" Type="http://schemas.openxmlformats.org/officeDocument/2006/relationships/hyperlink" Target="https://doi.org/10.1016/j.devcel.2016.12.022" TargetMode="External"/><Relationship Id="rId72" Type="http://schemas.openxmlformats.org/officeDocument/2006/relationships/hyperlink" Target="https://doi.org/10.1371/journal.pone.0003855" TargetMode="External"/><Relationship Id="rId75" Type="http://schemas.openxmlformats.org/officeDocument/2006/relationships/hyperlink" Target="https://doi.org/10.1371/journal.pone.0110958" TargetMode="External"/><Relationship Id="rId74" Type="http://schemas.openxmlformats.org/officeDocument/2006/relationships/hyperlink" Target="https://doi.org/10.15252/embj.201796883" TargetMode="External"/><Relationship Id="rId77" Type="http://schemas.openxmlformats.org/officeDocument/2006/relationships/hyperlink" Target="https://doi.org/10.1016/j.cub.2021.03.022" TargetMode="External"/><Relationship Id="rId76" Type="http://schemas.openxmlformats.org/officeDocument/2006/relationships/hyperlink" Target="https://doi.org/10.1016/j.cub.2012.12.030" TargetMode="External"/><Relationship Id="rId79" Type="http://schemas.openxmlformats.org/officeDocument/2006/relationships/hyperlink" Target="https://doi.org/10.1095/biolreprod.104.031245" TargetMode="External"/><Relationship Id="rId78" Type="http://schemas.openxmlformats.org/officeDocument/2006/relationships/hyperlink" Target="https://doi.org/10.1016/0014-4827(76)90585-1" TargetMode="External"/><Relationship Id="rId71" Type="http://schemas.openxmlformats.org/officeDocument/2006/relationships/hyperlink" Target="https://doi.org/10.1083/jcb.201502089" TargetMode="External"/><Relationship Id="rId70" Type="http://schemas.openxmlformats.org/officeDocument/2006/relationships/hyperlink" Target="https://doi.org/10.1083/jcb.201910019" TargetMode="External"/><Relationship Id="rId139" Type="http://schemas.openxmlformats.org/officeDocument/2006/relationships/hyperlink" Target="https://doi.org/10.1083/jcb.200506185" TargetMode="External"/><Relationship Id="rId138" Type="http://schemas.openxmlformats.org/officeDocument/2006/relationships/hyperlink" Target="https://doi.org/10.1126/science.aaa5111" TargetMode="External"/><Relationship Id="rId137" Type="http://schemas.openxmlformats.org/officeDocument/2006/relationships/hyperlink" Target="https://doi.org/10.1016/s0022-5320(78)80071-9" TargetMode="External"/><Relationship Id="rId132" Type="http://schemas.openxmlformats.org/officeDocument/2006/relationships/hyperlink" Target="https://dx.doi.org/10.2139/ssrn.4633202" TargetMode="External"/><Relationship Id="rId131" Type="http://schemas.openxmlformats.org/officeDocument/2006/relationships/hyperlink" Target="https://ssrn.com/abstract=4633202" TargetMode="External"/><Relationship Id="rId130" Type="http://schemas.openxmlformats.org/officeDocument/2006/relationships/hyperlink" Target="https://doi.org/10.52340/gs.2024.06.02.04" TargetMode="External"/><Relationship Id="rId136" Type="http://schemas.openxmlformats.org/officeDocument/2006/relationships/hyperlink" Target="https://doi.org/10.1038/s41388-019-0995-z" TargetMode="External"/><Relationship Id="rId135" Type="http://schemas.openxmlformats.org/officeDocument/2006/relationships/hyperlink" Target="https://doi.org/10.1371/journal.pgen.1004777" TargetMode="External"/><Relationship Id="rId134" Type="http://schemas.openxmlformats.org/officeDocument/2006/relationships/hyperlink" Target="https://doi.org/10.3390/cells12091335" TargetMode="External"/><Relationship Id="rId133" Type="http://schemas.openxmlformats.org/officeDocument/2006/relationships/hyperlink" Target="https://doi.org/10.1006/dbio.2002.0682" TargetMode="External"/><Relationship Id="rId62" Type="http://schemas.openxmlformats.org/officeDocument/2006/relationships/hyperlink" Target="https://doi.org/10.1016/j.tcb.2021.07.009" TargetMode="External"/><Relationship Id="rId61" Type="http://schemas.openxmlformats.org/officeDocument/2006/relationships/hyperlink" Target="https://doi.org/10.1126/sciadv.adg8682" TargetMode="External"/><Relationship Id="rId64" Type="http://schemas.openxmlformats.org/officeDocument/2006/relationships/hyperlink" Target="https://doi.org/10.1016/j.cub.2015.09.045" TargetMode="External"/><Relationship Id="rId63" Type="http://schemas.openxmlformats.org/officeDocument/2006/relationships/hyperlink" Target="https://doi.org/10.1016/j.cub.2016.07.006" TargetMode="External"/><Relationship Id="rId66" Type="http://schemas.openxmlformats.org/officeDocument/2006/relationships/hyperlink" Target="https://doi.org/10.52340/2023.01.01.19" TargetMode="External"/><Relationship Id="rId65" Type="http://schemas.openxmlformats.org/officeDocument/2006/relationships/hyperlink" Target="https://doi.org/10.1083/jcb.200205102" TargetMode="External"/><Relationship Id="rId68" Type="http://schemas.openxmlformats.org/officeDocument/2006/relationships/hyperlink" Target="https://doi.org/10.1083/jcb.110.5.1599" TargetMode="External"/><Relationship Id="rId67" Type="http://schemas.openxmlformats.org/officeDocument/2006/relationships/hyperlink" Target="https://doi.org/10.52340/2023.01.01.20" TargetMode="External"/><Relationship Id="rId60" Type="http://schemas.openxmlformats.org/officeDocument/2006/relationships/hyperlink" Target="https://doi.org/10.1126/sciadv.adg8682" TargetMode="External"/><Relationship Id="rId69" Type="http://schemas.openxmlformats.org/officeDocument/2006/relationships/hyperlink" Target="https://doi.org/10.1083/jcb.201407087" TargetMode="External"/><Relationship Id="rId51" Type="http://schemas.openxmlformats.org/officeDocument/2006/relationships/hyperlink" Target="https://doi.org/10.1083/jcb.34.2.647" TargetMode="External"/><Relationship Id="rId50" Type="http://schemas.openxmlformats.org/officeDocument/2006/relationships/hyperlink" Target="https://doi.org/10.1016/j.gde.2011.08.011" TargetMode="External"/><Relationship Id="rId53" Type="http://schemas.openxmlformats.org/officeDocument/2006/relationships/hyperlink" Target="https://doi.org/10.1002/mrd.23235" TargetMode="External"/><Relationship Id="rId52" Type="http://schemas.openxmlformats.org/officeDocument/2006/relationships/hyperlink" Target="https://doi.org/10.1016/0012-1606(90)90351-i" TargetMode="External"/><Relationship Id="rId55" Type="http://schemas.openxmlformats.org/officeDocument/2006/relationships/hyperlink" Target="https://doi.org/10.1038/emboj.2011.63" TargetMode="External"/><Relationship Id="rId54" Type="http://schemas.openxmlformats.org/officeDocument/2006/relationships/hyperlink" Target="https://doi.org/10.1046/j.1440-169x.2002.00661.x" TargetMode="External"/><Relationship Id="rId57" Type="http://schemas.openxmlformats.org/officeDocument/2006/relationships/hyperlink" Target="https://doi.org/10.1242/dev.02179" TargetMode="External"/><Relationship Id="rId56" Type="http://schemas.openxmlformats.org/officeDocument/2006/relationships/hyperlink" Target="https://doi.org/10.1038/s41580-020-0214-3" TargetMode="External"/><Relationship Id="rId59" Type="http://schemas.openxmlformats.org/officeDocument/2006/relationships/hyperlink" Target="https://doi.org/10.1007/s10815-015-0568-1" TargetMode="External"/><Relationship Id="rId58" Type="http://schemas.openxmlformats.org/officeDocument/2006/relationships/hyperlink" Target="https://doi.org/10.1242/dev.021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