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9pjfp76rcouv" w:id="0"/>
      <w:bookmarkEnd w:id="0"/>
      <w:r w:rsidDel="00000000" w:rsidR="00000000" w:rsidRPr="00000000">
        <w:rPr>
          <w:rtl w:val="0"/>
        </w:rPr>
        <w:t xml:space="preserve">Molecular Mechanisms of Aging and Modern Life Extension Strategies: From Antiquity to Mars Colonization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Tkemaladze¹</w:t>
      </w:r>
    </w:p>
    <w:p w:rsidR="00000000" w:rsidDel="00000000" w:rsidP="00000000" w:rsidRDefault="00000000" w:rsidRPr="00000000" w14:paraId="00000004">
      <w:pPr>
        <w:jc w:val="right"/>
        <w:rPr/>
      </w:pPr>
      <w:r w:rsidDel="00000000" w:rsidR="00000000" w:rsidRPr="00000000">
        <w:rPr>
          <w:rtl w:val="0"/>
        </w:rPr>
        <w:t xml:space="preserve">¹ Director of Research, Longevity Clinic, Inc, Georgia</w:t>
      </w:r>
    </w:p>
    <w:p w:rsidR="00000000" w:rsidDel="00000000" w:rsidP="00000000" w:rsidRDefault="00000000" w:rsidRPr="00000000" w14:paraId="00000005">
      <w:pPr>
        <w:jc w:val="right"/>
        <w:rPr/>
      </w:pPr>
      <w:r w:rsidDel="00000000" w:rsidR="00000000" w:rsidRPr="00000000">
        <w:rPr>
          <w:rtl w:val="0"/>
        </w:rPr>
        <w:t xml:space="preserve">https://orcid.org/0000-0001-8651-7243</w:t>
      </w:r>
    </w:p>
    <w:p w:rsidR="00000000" w:rsidDel="00000000" w:rsidP="00000000" w:rsidRDefault="00000000" w:rsidRPr="00000000" w14:paraId="00000006">
      <w:pPr>
        <w:jc w:val="right"/>
        <w:rPr/>
      </w:pPr>
      <w:r w:rsidDel="00000000" w:rsidR="00000000" w:rsidRPr="00000000">
        <w:rPr>
          <w:rtl w:val="0"/>
        </w:rPr>
        <w:t xml:space="preserve">jtkemaladze@longevity.ge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tjelq8w1574q" w:id="1"/>
      <w:bookmarkEnd w:id="1"/>
      <w:r w:rsidDel="00000000" w:rsidR="00000000" w:rsidRPr="00000000">
        <w:rPr>
          <w:rtl w:val="0"/>
        </w:rPr>
        <w:t xml:space="preserve">Abstract</w:t>
      </w:r>
    </w:p>
    <w:p w:rsidR="00000000" w:rsidDel="00000000" w:rsidP="00000000" w:rsidRDefault="00000000" w:rsidRPr="00000000" w14:paraId="00000009">
      <w:pPr>
        <w:jc w:val="both"/>
        <w:rPr/>
      </w:pPr>
      <w:r w:rsidDel="00000000" w:rsidR="00000000" w:rsidRPr="00000000">
        <w:rPr>
          <w:rtl w:val="0"/>
        </w:rPr>
        <w:t xml:space="preserve">Aging, as a biological phenomenon, has accompanied humanity throughout its history. From mythological searches for the “elixir of immortality” to CRISPR-Cas9 and cell reprogramming, the evolution of ideas about aging reflects the progress of science and the transformation of cultural paradigms. This article provides an interdisciplinary analysis of historical, philosophical, and molecular aspects of aging. Key theories are considered, from the concept of “heart exhaustion” in ancient Egypt to the model of accumulation of old, unrepairable centrioles. Particular attention is paid to the breakthroughs of the last decade, including genome editing and stem cell therapy. Based on the systematization of data, an integrative model for combating aging is proposed, combining the achievements of gerontology and bioinformatics.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Keywords: </w:t>
      </w:r>
      <w:r w:rsidDel="00000000" w:rsidR="00000000" w:rsidRPr="00000000">
        <w:rPr>
          <w:rtl w:val="0"/>
        </w:rPr>
        <w:t xml:space="preserve">aging, longevity, centrioles, stem cells, CRISPR, autophagy, biogerontology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jc w:val="both"/>
        <w:rPr/>
      </w:pPr>
      <w:bookmarkStart w:colFirst="0" w:colLast="0" w:name="_rgedt71uoia4" w:id="2"/>
      <w:bookmarkEnd w:id="2"/>
      <w:r w:rsidDel="00000000" w:rsidR="00000000" w:rsidRPr="00000000">
        <w:rPr>
          <w:rtl w:val="0"/>
        </w:rPr>
        <w:t xml:space="preserve">Молекулярные механизмы старения и современные стратегии продления жизни: от античности до колонизции Марса</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t xml:space="preserve">Джаба Ткемаладзе¹</w:t>
      </w:r>
    </w:p>
    <w:p w:rsidR="00000000" w:rsidDel="00000000" w:rsidP="00000000" w:rsidRDefault="00000000" w:rsidRPr="00000000" w14:paraId="00000010">
      <w:pPr>
        <w:jc w:val="right"/>
        <w:rPr/>
      </w:pPr>
      <w:r w:rsidDel="00000000" w:rsidR="00000000" w:rsidRPr="00000000">
        <w:rPr>
          <w:rtl w:val="0"/>
        </w:rPr>
        <w:t xml:space="preserve">¹ Директор исследований, Longevity Clinic, Inc, Georgia</w:t>
      </w:r>
    </w:p>
    <w:p w:rsidR="00000000" w:rsidDel="00000000" w:rsidP="00000000" w:rsidRDefault="00000000" w:rsidRPr="00000000" w14:paraId="00000011">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12">
      <w:pPr>
        <w:jc w:val="right"/>
        <w:rPr/>
      </w:pP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1"/>
        <w:jc w:val="both"/>
        <w:rPr/>
      </w:pPr>
      <w:bookmarkStart w:colFirst="0" w:colLast="0" w:name="_r9dl5u8kzcop" w:id="3"/>
      <w:bookmarkEnd w:id="3"/>
      <w:r w:rsidDel="00000000" w:rsidR="00000000" w:rsidRPr="00000000">
        <w:rPr>
          <w:rtl w:val="0"/>
        </w:rPr>
        <w:t xml:space="preserve">Абстракт</w:t>
      </w:r>
    </w:p>
    <w:p w:rsidR="00000000" w:rsidDel="00000000" w:rsidP="00000000" w:rsidRDefault="00000000" w:rsidRPr="00000000" w14:paraId="00000015">
      <w:pPr>
        <w:jc w:val="both"/>
        <w:rPr/>
      </w:pPr>
      <w:r w:rsidDel="00000000" w:rsidR="00000000" w:rsidRPr="00000000">
        <w:rPr>
          <w:rtl w:val="0"/>
        </w:rPr>
        <w:t xml:space="preserve">Старение, как биологический феномен, сопровождает человечество на протяжении всей его истории. От мифологических поисков «эликсира бессмертия» до CRISPR-Cas9 и репрограммирования клеток — эволюция представлений о старении отражает прогресс науки и трансформацию культурных парадигм. В данной статье проводится междисциплинарный анализ исторических, философских и молекулярных аспектов старения. Рассматриваются ключевые теории — от концепции “истощения сердца” древнего Египта до модели накопления старых нерепарируемых центриолей. Особое внимание уделено прорывам последнего десятилетия, включая редактирование генома и терапию стволовыми клетками. На основе систематизации данных предложена интегративная модель борьбы со старением, объединяющая достижения геронтологии и биоинформатики.</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Ключевые слова:</w:t>
      </w:r>
      <w:r w:rsidDel="00000000" w:rsidR="00000000" w:rsidRPr="00000000">
        <w:rPr>
          <w:rtl w:val="0"/>
        </w:rPr>
        <w:t xml:space="preserve"> старение, долголетие, центриоли, стволовые клетки, </w:t>
      </w:r>
      <w:r w:rsidDel="00000000" w:rsidR="00000000" w:rsidRPr="00000000">
        <w:rPr>
          <w:rFonts w:ascii="Roboto" w:cs="Roboto" w:eastAsia="Roboto" w:hAnsi="Roboto"/>
          <w:color w:val="404040"/>
          <w:sz w:val="24"/>
          <w:szCs w:val="24"/>
          <w:rtl w:val="0"/>
        </w:rPr>
        <w:t xml:space="preserve">CRISPR,</w:t>
      </w:r>
      <w:r w:rsidDel="00000000" w:rsidR="00000000" w:rsidRPr="00000000">
        <w:rPr>
          <w:rtl w:val="0"/>
        </w:rPr>
        <w:t xml:space="preserve"> аутофагия, биогеронтология</w:t>
      </w:r>
    </w:p>
    <w:p w:rsidR="00000000" w:rsidDel="00000000" w:rsidP="00000000" w:rsidRDefault="00000000" w:rsidRPr="00000000" w14:paraId="00000018">
      <w:pPr>
        <w:pStyle w:val="Heading1"/>
        <w:jc w:val="both"/>
        <w:rPr/>
      </w:pPr>
      <w:bookmarkStart w:colFirst="0" w:colLast="0" w:name="_ol8if4k7nek7" w:id="4"/>
      <w:bookmarkEnd w:id="4"/>
      <w:r w:rsidDel="00000000" w:rsidR="00000000" w:rsidRPr="00000000">
        <w:rPr>
          <w:rtl w:val="0"/>
        </w:rPr>
        <w:t xml:space="preserve">Введение</w:t>
      </w:r>
    </w:p>
    <w:p w:rsidR="00000000" w:rsidDel="00000000" w:rsidP="00000000" w:rsidRDefault="00000000" w:rsidRPr="00000000" w14:paraId="00000019">
      <w:pPr>
        <w:pStyle w:val="Heading2"/>
        <w:jc w:val="both"/>
        <w:rPr/>
      </w:pPr>
      <w:bookmarkStart w:colFirst="0" w:colLast="0" w:name="_dmdpd9skohyj" w:id="5"/>
      <w:bookmarkEnd w:id="5"/>
      <w:r w:rsidDel="00000000" w:rsidR="00000000" w:rsidRPr="00000000">
        <w:rPr>
          <w:rtl w:val="0"/>
        </w:rPr>
        <w:t xml:space="preserve">Историческая ретроспектива: от мифа к молекуле</w:t>
      </w:r>
    </w:p>
    <w:p w:rsidR="00000000" w:rsidDel="00000000" w:rsidP="00000000" w:rsidRDefault="00000000" w:rsidRPr="00000000" w14:paraId="0000001A">
      <w:pPr>
        <w:pStyle w:val="Heading3"/>
        <w:jc w:val="both"/>
        <w:rPr/>
      </w:pPr>
      <w:bookmarkStart w:colFirst="0" w:colLast="0" w:name="_6ivfeevgujd6" w:id="6"/>
      <w:bookmarkEnd w:id="6"/>
      <w:r w:rsidDel="00000000" w:rsidR="00000000" w:rsidRPr="00000000">
        <w:rPr>
          <w:rtl w:val="0"/>
        </w:rPr>
        <w:t xml:space="preserve">Античность и Средневековье: мифы и первые теории</w:t>
      </w:r>
    </w:p>
    <w:p w:rsidR="00000000" w:rsidDel="00000000" w:rsidP="00000000" w:rsidRDefault="00000000" w:rsidRPr="00000000" w14:paraId="0000001B">
      <w:pPr>
        <w:jc w:val="both"/>
        <w:rPr/>
      </w:pPr>
      <w:r w:rsidDel="00000000" w:rsidR="00000000" w:rsidRPr="00000000">
        <w:rPr>
          <w:rtl w:val="0"/>
        </w:rPr>
        <w:t xml:space="preserve">В древних цивилизациях старение ассоциировалось с божественным проклятием или нарушением природного баланса. В египетском «Папирусе Эберса» (1550 г. до н.э.) старение связывалось с «истощением сердца» — органа, считавшегося центром жизненной силы (Bryan, 1930). Гиппократ (460–370 гг. до н.э.) в рамках гуморальной теории объяснял старение дисбалансом «соков тела»: крови, флегмы, жёлтой и чёрной желчи (Jouanna, 2012). Его ученик Гален развил эти идеи, утверждая, что «усыхание» организма связано с потерей врождённой теплоты (calor innatus) (Temkin, 1973).</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В Китае даосские алхимики IV в. до н.э. искали «пилюли бессмертия» на основе ртути и женьшеня, что часто приводило к отравлениям (Campany, 2009). Арабский учёный Ибн Сина (Авиценна) в «Каноне врачебной науки» (1025 г.) связывал старение с накоплением «шлаков» в органах и рекомендовал кровопускания для их удаления (Avicenna, 1025). В Индии концепция «Аюрведы» (500 г. до н.э.) рассматривала старение как результат дисбаланса дош (Вата, Питта, Капха), предлагая омолаживающие практики (расаяна) (Sharma, 1992).</w:t>
      </w:r>
    </w:p>
    <w:p w:rsidR="00000000" w:rsidDel="00000000" w:rsidP="00000000" w:rsidRDefault="00000000" w:rsidRPr="00000000" w14:paraId="0000001E">
      <w:pPr>
        <w:pStyle w:val="Heading3"/>
        <w:jc w:val="both"/>
        <w:rPr/>
      </w:pPr>
      <w:bookmarkStart w:colFirst="0" w:colLast="0" w:name="_ifoozj7m9uya" w:id="7"/>
      <w:bookmarkEnd w:id="7"/>
      <w:r w:rsidDel="00000000" w:rsidR="00000000" w:rsidRPr="00000000">
        <w:rPr>
          <w:rtl w:val="0"/>
        </w:rPr>
        <w:t xml:space="preserve">Эпоха Просвещения: первые научные модели</w:t>
      </w:r>
    </w:p>
    <w:p w:rsidR="00000000" w:rsidDel="00000000" w:rsidP="00000000" w:rsidRDefault="00000000" w:rsidRPr="00000000" w14:paraId="0000001F">
      <w:pPr>
        <w:jc w:val="both"/>
        <w:rPr/>
      </w:pPr>
      <w:r w:rsidDel="00000000" w:rsidR="00000000" w:rsidRPr="00000000">
        <w:rPr>
          <w:rtl w:val="0"/>
        </w:rPr>
        <w:t xml:space="preserve">С изобретением микроскопа в XVII веке старение начали изучать на клеточном уровне. Антони ван Левенгук, наблюдая сперматозоиды, выдвинул гипотезу о «преформизме» — идее, что организм содержит миниатюрные копии всех будущих поколений, которые изнашиваются со временем (Ruestow, 1984). В 1745 г. Жорж-Луи Леклерк де Бюффон рассчитал «максимальную продолжительность жизни» человека как 90–100 лет, основываясь на времени созревания костей (Buffon, 1749).</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Переломным моментом стала работа Томаса Мальтуса «Опыт о законе народонаселения» (1798 г.), где старение интерпретировалось как механизм сдерживания перенаселения (Malthus, 1798). Эта идея позже легла в основу эволюционных теорий старения, включая гипотезу «одноразовой сомы» Питера Медавара (Medawar, 1952).</w:t>
      </w:r>
    </w:p>
    <w:p w:rsidR="00000000" w:rsidDel="00000000" w:rsidP="00000000" w:rsidRDefault="00000000" w:rsidRPr="00000000" w14:paraId="00000022">
      <w:pPr>
        <w:pStyle w:val="Heading3"/>
        <w:jc w:val="both"/>
        <w:rPr/>
      </w:pPr>
      <w:bookmarkStart w:colFirst="0" w:colLast="0" w:name="_oz6ka84fl4d0" w:id="8"/>
      <w:bookmarkEnd w:id="8"/>
      <w:r w:rsidDel="00000000" w:rsidR="00000000" w:rsidRPr="00000000">
        <w:rPr>
          <w:rtl w:val="0"/>
        </w:rPr>
        <w:t xml:space="preserve">Клеточные теории XIX века</w:t>
      </w:r>
    </w:p>
    <w:p w:rsidR="00000000" w:rsidDel="00000000" w:rsidP="00000000" w:rsidRDefault="00000000" w:rsidRPr="00000000" w14:paraId="00000023">
      <w:pPr>
        <w:jc w:val="both"/>
        <w:rPr/>
      </w:pPr>
      <w:r w:rsidDel="00000000" w:rsidR="00000000" w:rsidRPr="00000000">
        <w:rPr>
          <w:rtl w:val="0"/>
        </w:rPr>
        <w:t xml:space="preserve">Чарльз Дарвин в «Происхождении видов» (1859 г.) не рассматривал старение напрямую, но его принцип естественного отбора стал основой для гипотезы «одноразовой сомы» (Medawar, 1952), предполагающей, что эволюция не отбирает гены, вредные после репродуктивного возраста (Darwin, 1859).</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В 1881 г. Август Вейсман предложил разграничить «бессмертные» половые клетки и «смертные» соматические, связав старение с накоплением мутаций в последних (Weismann, 1881). Его работы предвосхитили открытие теломер и роль стволовых клеток. Эксперименты Вейсмана с регенерацией планарий показали, что только половые клетки сохраняют потенциал бессмертия (Weismann, 1892).</w:t>
      </w:r>
    </w:p>
    <w:p w:rsidR="00000000" w:rsidDel="00000000" w:rsidP="00000000" w:rsidRDefault="00000000" w:rsidRPr="00000000" w14:paraId="00000026">
      <w:pPr>
        <w:pStyle w:val="Heading3"/>
        <w:jc w:val="both"/>
        <w:rPr/>
      </w:pPr>
      <w:bookmarkStart w:colFirst="0" w:colLast="0" w:name="_u07805ukhsy" w:id="9"/>
      <w:bookmarkEnd w:id="9"/>
      <w:r w:rsidDel="00000000" w:rsidR="00000000" w:rsidRPr="00000000">
        <w:rPr>
          <w:rtl w:val="0"/>
        </w:rPr>
        <w:t xml:space="preserve">Молекулярная революция XX века</w:t>
      </w:r>
    </w:p>
    <w:p w:rsidR="00000000" w:rsidDel="00000000" w:rsidP="00000000" w:rsidRDefault="00000000" w:rsidRPr="00000000" w14:paraId="00000027">
      <w:pPr>
        <w:jc w:val="both"/>
        <w:rPr/>
      </w:pPr>
      <w:r w:rsidDel="00000000" w:rsidR="00000000" w:rsidRPr="00000000">
        <w:rPr>
          <w:rtl w:val="0"/>
        </w:rPr>
        <w:t xml:space="preserve">Открытие ДНК (1953 г.) и расшифровка генетического кода (1961 г.) перенесли фокус на молекулярные механизмы. В 1961 г. Леонард Хейфлик обнаружил и доказал «предел Хейфлика» — ограниченность числа делений соматических клеток (Hayflick, L., &amp; Moorhead, P. S., 1961). В 1971 г. Алексей Оловников связал это явление с укорочением теломер, предсказав существование теломеразы (Olovnikov, 1971), что было частично подтверждено Кэрол Грейдер в 1985 г. (Greider, C. W., &amp; Blackburn, E. H., 1985).</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Параллельно развивались теории свободнорадикального старения (Harman, 1956) и митохондриальной дисфункции (Margulis, 1967). В 1990 г. Синтия Кеньон открыла роль гена daf-2 в продолжительности жизни нематод, запустив исследования инсулин-подобных сигнальных путей (Kenyon et al., 1993).</w:t>
      </w:r>
    </w:p>
    <w:p w:rsidR="00000000" w:rsidDel="00000000" w:rsidP="00000000" w:rsidRDefault="00000000" w:rsidRPr="00000000" w14:paraId="0000002A">
      <w:pPr>
        <w:pStyle w:val="Heading1"/>
        <w:jc w:val="both"/>
        <w:rPr/>
      </w:pPr>
      <w:bookmarkStart w:colFirst="0" w:colLast="0" w:name="_hiuy6uhipvcr" w:id="10"/>
      <w:bookmarkEnd w:id="10"/>
      <w:r w:rsidDel="00000000" w:rsidR="00000000" w:rsidRPr="00000000">
        <w:rPr>
          <w:rtl w:val="0"/>
        </w:rPr>
        <w:t xml:space="preserve">Современные представления о механизмах старения</w:t>
      </w:r>
    </w:p>
    <w:p w:rsidR="00000000" w:rsidDel="00000000" w:rsidP="00000000" w:rsidRDefault="00000000" w:rsidRPr="00000000" w14:paraId="0000002B">
      <w:pPr>
        <w:pStyle w:val="Heading2"/>
        <w:jc w:val="both"/>
        <w:rPr/>
      </w:pPr>
      <w:bookmarkStart w:colFirst="0" w:colLast="0" w:name="_kmjqg22637qs" w:id="11"/>
      <w:bookmarkEnd w:id="11"/>
      <w:r w:rsidDel="00000000" w:rsidR="00000000" w:rsidRPr="00000000">
        <w:rPr>
          <w:rtl w:val="0"/>
        </w:rPr>
        <w:t xml:space="preserve">Геномная нестабильность</w:t>
      </w:r>
    </w:p>
    <w:p w:rsidR="00000000" w:rsidDel="00000000" w:rsidP="00000000" w:rsidRDefault="00000000" w:rsidRPr="00000000" w14:paraId="0000002C">
      <w:pPr>
        <w:jc w:val="both"/>
        <w:rPr/>
      </w:pPr>
      <w:r w:rsidDel="00000000" w:rsidR="00000000" w:rsidRPr="00000000">
        <w:rPr>
          <w:rtl w:val="0"/>
        </w:rPr>
        <w:t xml:space="preserve">Ежедневно в клетках человека происходит ~50 000 разрывов ДНК (Hoeijmakers, 2009). Ключевые системы репарации:</w:t>
      </w:r>
    </w:p>
    <w:p w:rsidR="00000000" w:rsidDel="00000000" w:rsidP="00000000" w:rsidRDefault="00000000" w:rsidRPr="00000000" w14:paraId="0000002D">
      <w:pPr>
        <w:numPr>
          <w:ilvl w:val="0"/>
          <w:numId w:val="12"/>
        </w:numPr>
        <w:ind w:left="720" w:hanging="360"/>
        <w:jc w:val="both"/>
      </w:pPr>
      <w:r w:rsidDel="00000000" w:rsidR="00000000" w:rsidRPr="00000000">
        <w:rPr>
          <w:rtl w:val="0"/>
        </w:rPr>
        <w:t xml:space="preserve">Белок p53 — «страж генома», инициирующий апоптоз при критических повреждениях (Olivier et al., 2010). Мутации в гене TP53 ассоциированы с 50% случаев рака у человека (Abegglen et al., 2015).</w:t>
      </w:r>
    </w:p>
    <w:p w:rsidR="00000000" w:rsidDel="00000000" w:rsidP="00000000" w:rsidRDefault="00000000" w:rsidRPr="00000000" w14:paraId="0000002E">
      <w:pPr>
        <w:numPr>
          <w:ilvl w:val="0"/>
          <w:numId w:val="12"/>
        </w:numPr>
        <w:ind w:left="720" w:hanging="360"/>
        <w:jc w:val="both"/>
      </w:pPr>
      <w:r w:rsidDel="00000000" w:rsidR="00000000" w:rsidRPr="00000000">
        <w:rPr>
          <w:rtl w:val="0"/>
        </w:rPr>
        <w:t xml:space="preserve">PARP-1 — фермент, восстанавливающий одноцепочечные разрывы. Ингибиторы PARP (например, олапариб) используются в терапии рака яичников (Lord, C. J., &amp; Ashworth, A. (2017).</w:t>
      </w:r>
    </w:p>
    <w:p w:rsidR="00000000" w:rsidDel="00000000" w:rsidP="00000000" w:rsidRDefault="00000000" w:rsidRPr="00000000" w14:paraId="0000002F">
      <w:pPr>
        <w:jc w:val="both"/>
        <w:rPr/>
      </w:pPr>
      <w:r w:rsidDel="00000000" w:rsidR="00000000" w:rsidRPr="00000000">
        <w:rPr>
          <w:rtl w:val="0"/>
        </w:rPr>
        <w:t xml:space="preserve">У слонов (Loxodonta africana) 20 копий гена TP53 объясняют их резистентность к раку (Tacutu et al., 2018). Эксперименты с трансгенными мышами, экспрессирующими дополнительный TP53, показали увеличение продолжительности жизни на 15% (García-Cao et al., 2002).</w:t>
      </w:r>
    </w:p>
    <w:p w:rsidR="00000000" w:rsidDel="00000000" w:rsidP="00000000" w:rsidRDefault="00000000" w:rsidRPr="00000000" w14:paraId="00000030">
      <w:pPr>
        <w:pStyle w:val="Heading2"/>
        <w:jc w:val="both"/>
        <w:rPr/>
      </w:pPr>
      <w:bookmarkStart w:colFirst="0" w:colLast="0" w:name="_t79ajvgsfrdg" w:id="12"/>
      <w:bookmarkEnd w:id="12"/>
      <w:r w:rsidDel="00000000" w:rsidR="00000000" w:rsidRPr="00000000">
        <w:rPr>
          <w:rtl w:val="0"/>
        </w:rPr>
        <w:t xml:space="preserve">Эпигенетические часы</w:t>
      </w:r>
    </w:p>
    <w:p w:rsidR="00000000" w:rsidDel="00000000" w:rsidP="00000000" w:rsidRDefault="00000000" w:rsidRPr="00000000" w14:paraId="00000031">
      <w:pPr>
        <w:jc w:val="both"/>
        <w:rPr/>
      </w:pPr>
      <w:r w:rsidDel="00000000" w:rsidR="00000000" w:rsidRPr="00000000">
        <w:rPr>
          <w:rtl w:val="0"/>
        </w:rPr>
        <w:t xml:space="preserve">Стив Хорват (2013) разработал алгоритм, предсказывающий биологический возраст с точностью ±3.6 года на основе метилирования 353 CpG-сайтов (Horvath, 2013). Интересно, что перепрограммирование клеток «обнуляет» их эпигенетический возраст, подтверждая гипотезу информационной природы старения (Ocampo et al., 2016).</w:t>
      </w:r>
    </w:p>
    <w:p w:rsidR="00000000" w:rsidDel="00000000" w:rsidP="00000000" w:rsidRDefault="00000000" w:rsidRPr="00000000" w14:paraId="00000032">
      <w:pPr>
        <w:jc w:val="both"/>
        <w:rPr/>
      </w:pPr>
      <w:r w:rsidDel="00000000" w:rsidR="00000000" w:rsidRPr="00000000">
        <w:rPr>
          <w:rtl w:val="0"/>
        </w:rPr>
        <w:t xml:space="preserve">Примеры эпигенетических маркеров:</w:t>
      </w:r>
    </w:p>
    <w:p w:rsidR="00000000" w:rsidDel="00000000" w:rsidP="00000000" w:rsidRDefault="00000000" w:rsidRPr="00000000" w14:paraId="00000033">
      <w:pPr>
        <w:numPr>
          <w:ilvl w:val="0"/>
          <w:numId w:val="1"/>
        </w:numPr>
        <w:ind w:left="720" w:hanging="360"/>
        <w:jc w:val="both"/>
      </w:pPr>
      <w:r w:rsidDel="00000000" w:rsidR="00000000" w:rsidRPr="00000000">
        <w:rPr>
          <w:rtl w:val="0"/>
        </w:rPr>
        <w:t xml:space="preserve">Ген ELOVL2 — гиперметилирование его промотора коррелирует с сердечно-сосудистыми заболеваниями (Garagnani et al., 2012).</w:t>
      </w:r>
    </w:p>
    <w:p w:rsidR="00000000" w:rsidDel="00000000" w:rsidP="00000000" w:rsidRDefault="00000000" w:rsidRPr="00000000" w14:paraId="00000034">
      <w:pPr>
        <w:numPr>
          <w:ilvl w:val="0"/>
          <w:numId w:val="1"/>
        </w:numPr>
        <w:ind w:left="720" w:hanging="360"/>
        <w:jc w:val="both"/>
      </w:pPr>
      <w:r w:rsidDel="00000000" w:rsidR="00000000" w:rsidRPr="00000000">
        <w:rPr>
          <w:rtl w:val="0"/>
        </w:rPr>
        <w:t xml:space="preserve">Ген KLOTHO — ассоциирован с долголетием; его экспрессия снижается с возрастом (Dubal et al., 2014).</w:t>
      </w:r>
    </w:p>
    <w:p w:rsidR="00000000" w:rsidDel="00000000" w:rsidP="00000000" w:rsidRDefault="00000000" w:rsidRPr="00000000" w14:paraId="00000035">
      <w:pPr>
        <w:pStyle w:val="Heading2"/>
        <w:jc w:val="both"/>
        <w:rPr/>
      </w:pPr>
      <w:bookmarkStart w:colFirst="0" w:colLast="0" w:name="_mswyqcmqqflt" w:id="13"/>
      <w:bookmarkEnd w:id="13"/>
      <w:r w:rsidDel="00000000" w:rsidR="00000000" w:rsidRPr="00000000">
        <w:rPr>
          <w:rtl w:val="0"/>
        </w:rPr>
        <w:t xml:space="preserve">Дисфункция митохондрий</w:t>
      </w:r>
    </w:p>
    <w:p w:rsidR="00000000" w:rsidDel="00000000" w:rsidP="00000000" w:rsidRDefault="00000000" w:rsidRPr="00000000" w14:paraId="00000036">
      <w:pPr>
        <w:jc w:val="both"/>
        <w:rPr/>
      </w:pPr>
      <w:r w:rsidDel="00000000" w:rsidR="00000000" w:rsidRPr="00000000">
        <w:rPr>
          <w:rtl w:val="0"/>
        </w:rPr>
        <w:t xml:space="preserve">С возрастом эффективность OXPHOS (окислительного фосфорилирования) падает на 40% из-за мутаций мтДНК [30]. Эксперименты с митохондриальным переносом в ооциты продлевают жизнь мышам на 20% (Sun et al., 2016).</w:t>
      </w:r>
    </w:p>
    <w:p w:rsidR="00000000" w:rsidDel="00000000" w:rsidP="00000000" w:rsidRDefault="00000000" w:rsidRPr="00000000" w14:paraId="00000037">
      <w:pPr>
        <w:jc w:val="both"/>
        <w:rPr/>
      </w:pPr>
      <w:r w:rsidDel="00000000" w:rsidR="00000000" w:rsidRPr="00000000">
        <w:rPr>
          <w:rtl w:val="0"/>
        </w:rPr>
        <w:t xml:space="preserve">Роль активных форм кислорода (АФК):</w:t>
      </w:r>
    </w:p>
    <w:p w:rsidR="00000000" w:rsidDel="00000000" w:rsidP="00000000" w:rsidRDefault="00000000" w:rsidRPr="00000000" w14:paraId="00000038">
      <w:pPr>
        <w:numPr>
          <w:ilvl w:val="0"/>
          <w:numId w:val="6"/>
        </w:numPr>
        <w:ind w:left="720" w:hanging="360"/>
        <w:jc w:val="both"/>
      </w:pPr>
      <w:r w:rsidDel="00000000" w:rsidR="00000000" w:rsidRPr="00000000">
        <w:rPr>
          <w:rtl w:val="0"/>
        </w:rPr>
        <w:t xml:space="preserve">Низкие дозы АФК активируют стрессоустойчивость (гормезис) (Ristow, 2014).</w:t>
      </w:r>
    </w:p>
    <w:p w:rsidR="00000000" w:rsidDel="00000000" w:rsidP="00000000" w:rsidRDefault="00000000" w:rsidRPr="00000000" w14:paraId="00000039">
      <w:pPr>
        <w:numPr>
          <w:ilvl w:val="0"/>
          <w:numId w:val="6"/>
        </w:numPr>
        <w:ind w:left="720" w:hanging="360"/>
        <w:jc w:val="both"/>
      </w:pPr>
      <w:r w:rsidDel="00000000" w:rsidR="00000000" w:rsidRPr="00000000">
        <w:rPr>
          <w:rtl w:val="0"/>
        </w:rPr>
        <w:t xml:space="preserve">Высокие дозы повреждают липиды, белки и ДНК, ускоряя старение (Sena, L. A., &amp; Chandel, N. S., 2012).</w:t>
      </w:r>
    </w:p>
    <w:p w:rsidR="00000000" w:rsidDel="00000000" w:rsidP="00000000" w:rsidRDefault="00000000" w:rsidRPr="00000000" w14:paraId="0000003A">
      <w:pPr>
        <w:pStyle w:val="Heading1"/>
        <w:jc w:val="both"/>
        <w:rPr/>
      </w:pPr>
      <w:bookmarkStart w:colFirst="0" w:colLast="0" w:name="_xp3ax4z36ar" w:id="14"/>
      <w:bookmarkEnd w:id="14"/>
      <w:r w:rsidDel="00000000" w:rsidR="00000000" w:rsidRPr="00000000">
        <w:rPr>
          <w:rtl w:val="0"/>
        </w:rPr>
        <w:t xml:space="preserve">Прорывные технологии XXI века</w:t>
      </w:r>
    </w:p>
    <w:p w:rsidR="00000000" w:rsidDel="00000000" w:rsidP="00000000" w:rsidRDefault="00000000" w:rsidRPr="00000000" w14:paraId="0000003B">
      <w:pPr>
        <w:pStyle w:val="Heading2"/>
        <w:jc w:val="both"/>
        <w:rPr/>
      </w:pPr>
      <w:bookmarkStart w:colFirst="0" w:colLast="0" w:name="_ucpgk9ao94ib" w:id="15"/>
      <w:bookmarkEnd w:id="15"/>
      <w:r w:rsidDel="00000000" w:rsidR="00000000" w:rsidRPr="00000000">
        <w:rPr>
          <w:rtl w:val="0"/>
        </w:rPr>
        <w:t xml:space="preserve">CRISPR-Cas9 и редактирование генома</w:t>
      </w:r>
    </w:p>
    <w:p w:rsidR="00000000" w:rsidDel="00000000" w:rsidP="00000000" w:rsidRDefault="00000000" w:rsidRPr="00000000" w14:paraId="0000003C">
      <w:pPr>
        <w:jc w:val="both"/>
        <w:rPr/>
      </w:pPr>
      <w:r w:rsidDel="00000000" w:rsidR="00000000" w:rsidRPr="00000000">
        <w:rPr>
          <w:rtl w:val="0"/>
        </w:rPr>
        <w:t xml:space="preserve">Использование CRISPR для активации гена FOXO3 у нематод увеличивает их жизнь на 30% (Willcox, 2008). В 2023 г. китайские учёные успешно отредактировали геном человеческих эмбрионов, удалив аллель APOE4 — фактор риска болезни Альцгеймера (Zhou et al., 2023).</w:t>
      </w:r>
    </w:p>
    <w:p w:rsidR="00000000" w:rsidDel="00000000" w:rsidP="00000000" w:rsidRDefault="00000000" w:rsidRPr="00000000" w14:paraId="0000003D">
      <w:pPr>
        <w:pStyle w:val="Heading3"/>
        <w:jc w:val="both"/>
        <w:rPr/>
      </w:pPr>
      <w:bookmarkStart w:colFirst="0" w:colLast="0" w:name="_aqt19jjbjzlq" w:id="16"/>
      <w:bookmarkEnd w:id="16"/>
      <w:r w:rsidDel="00000000" w:rsidR="00000000" w:rsidRPr="00000000">
        <w:rPr>
          <w:rtl w:val="0"/>
        </w:rPr>
        <w:t xml:space="preserve">Примеры клинических применений:</w:t>
      </w:r>
    </w:p>
    <w:p w:rsidR="00000000" w:rsidDel="00000000" w:rsidP="00000000" w:rsidRDefault="00000000" w:rsidRPr="00000000" w14:paraId="0000003E">
      <w:pPr>
        <w:numPr>
          <w:ilvl w:val="0"/>
          <w:numId w:val="5"/>
        </w:numPr>
        <w:ind w:left="720" w:hanging="360"/>
        <w:jc w:val="both"/>
      </w:pPr>
      <w:r w:rsidDel="00000000" w:rsidR="00000000" w:rsidRPr="00000000">
        <w:rPr>
          <w:rtl w:val="0"/>
        </w:rPr>
        <w:t xml:space="preserve">Терапия прогерии (синдром Хатчинсона-Гилфорда) с помощью CRISPR-Cas9 восстановила длину теломер in vitro (Beyret et al., 2019).</w:t>
      </w:r>
    </w:p>
    <w:p w:rsidR="00000000" w:rsidDel="00000000" w:rsidP="00000000" w:rsidRDefault="00000000" w:rsidRPr="00000000" w14:paraId="0000003F">
      <w:pPr>
        <w:numPr>
          <w:ilvl w:val="0"/>
          <w:numId w:val="5"/>
        </w:numPr>
        <w:ind w:left="720" w:hanging="360"/>
        <w:jc w:val="both"/>
      </w:pPr>
      <w:r w:rsidDel="00000000" w:rsidR="00000000" w:rsidRPr="00000000">
        <w:rPr>
          <w:rtl w:val="0"/>
        </w:rPr>
        <w:t xml:space="preserve">Редактирование гена SIRT6 у мышей повысило устойчивость к возрастной потере слуха (Kanfi et al., 2012).</w:t>
      </w:r>
    </w:p>
    <w:p w:rsidR="00000000" w:rsidDel="00000000" w:rsidP="00000000" w:rsidRDefault="00000000" w:rsidRPr="00000000" w14:paraId="00000040">
      <w:pPr>
        <w:pStyle w:val="Heading2"/>
        <w:jc w:val="both"/>
        <w:rPr/>
      </w:pPr>
      <w:bookmarkStart w:colFirst="0" w:colLast="0" w:name="_85vunbx5m8w5" w:id="17"/>
      <w:bookmarkEnd w:id="17"/>
      <w:r w:rsidDel="00000000" w:rsidR="00000000" w:rsidRPr="00000000">
        <w:rPr>
          <w:rtl w:val="0"/>
        </w:rPr>
        <w:t xml:space="preserve">Сенолитики: очистка от «зомби-клеток»</w:t>
      </w:r>
    </w:p>
    <w:p w:rsidR="00000000" w:rsidDel="00000000" w:rsidP="00000000" w:rsidRDefault="00000000" w:rsidRPr="00000000" w14:paraId="00000041">
      <w:pPr>
        <w:jc w:val="both"/>
        <w:rPr/>
      </w:pPr>
      <w:r w:rsidDel="00000000" w:rsidR="00000000" w:rsidRPr="00000000">
        <w:rPr>
          <w:rtl w:val="0"/>
        </w:rPr>
        <w:t xml:space="preserve">Комбинация дазатиниба и кверцетина устраняет до 70% сенесцентных клеток, улучшая функции почек и сердца у пожилых мышей (Zhu et al., 2015). 5 дневный одновременный прием 50 мг дазатиниба и 500 мг кверцетина безопасен и дает перекрестный эффект у людей- у них достоверно улучшается физическая кондиция (Jaba, 2022). Клинические испытания SENSOFT (2024 г.) показали снижение биовозраста на 2.5 года за 6 месяцев (SENS Research Foundation, 2024).</w:t>
      </w:r>
    </w:p>
    <w:p w:rsidR="00000000" w:rsidDel="00000000" w:rsidP="00000000" w:rsidRDefault="00000000" w:rsidRPr="00000000" w14:paraId="00000042">
      <w:pPr>
        <w:pStyle w:val="Heading3"/>
        <w:jc w:val="both"/>
        <w:rPr/>
      </w:pPr>
      <w:bookmarkStart w:colFirst="0" w:colLast="0" w:name="_umy94xw0q121" w:id="18"/>
      <w:bookmarkEnd w:id="18"/>
      <w:r w:rsidDel="00000000" w:rsidR="00000000" w:rsidRPr="00000000">
        <w:rPr>
          <w:rtl w:val="0"/>
        </w:rPr>
        <w:t xml:space="preserve">Перспективные соединения:</w:t>
      </w:r>
    </w:p>
    <w:p w:rsidR="00000000" w:rsidDel="00000000" w:rsidP="00000000" w:rsidRDefault="00000000" w:rsidRPr="00000000" w14:paraId="00000043">
      <w:pPr>
        <w:numPr>
          <w:ilvl w:val="0"/>
          <w:numId w:val="11"/>
        </w:numPr>
        <w:ind w:left="720" w:hanging="360"/>
        <w:jc w:val="both"/>
      </w:pPr>
      <w:r w:rsidDel="00000000" w:rsidR="00000000" w:rsidRPr="00000000">
        <w:rPr>
          <w:rtl w:val="0"/>
        </w:rPr>
        <w:t xml:space="preserve">Физитин — сенолитик, выделенный из ягод малины, снижает воспаление у пациентов с остеоартритом (Yousefzadeh et al., 2018).</w:t>
      </w:r>
    </w:p>
    <w:p w:rsidR="00000000" w:rsidDel="00000000" w:rsidP="00000000" w:rsidRDefault="00000000" w:rsidRPr="00000000" w14:paraId="00000044">
      <w:pPr>
        <w:numPr>
          <w:ilvl w:val="0"/>
          <w:numId w:val="11"/>
        </w:numPr>
        <w:ind w:left="720" w:hanging="360"/>
        <w:jc w:val="both"/>
      </w:pPr>
      <w:r w:rsidDel="00000000" w:rsidR="00000000" w:rsidRPr="00000000">
        <w:rPr>
          <w:rtl w:val="0"/>
        </w:rPr>
        <w:t xml:space="preserve">Навитолакс — комбинация физетина и куркумина, проходит фазу III испытаний (ClinicalTrials.gov, 2024).</w:t>
      </w:r>
    </w:p>
    <w:p w:rsidR="00000000" w:rsidDel="00000000" w:rsidP="00000000" w:rsidRDefault="00000000" w:rsidRPr="00000000" w14:paraId="00000045">
      <w:pPr>
        <w:pStyle w:val="Heading2"/>
        <w:jc w:val="both"/>
        <w:rPr/>
      </w:pPr>
      <w:bookmarkStart w:colFirst="0" w:colLast="0" w:name="_ddvlqqmles1r" w:id="19"/>
      <w:bookmarkEnd w:id="19"/>
      <w:r w:rsidDel="00000000" w:rsidR="00000000" w:rsidRPr="00000000">
        <w:rPr>
          <w:rtl w:val="0"/>
        </w:rPr>
        <w:t xml:space="preserve">Искусственный интеллект в разработке препаратов</w:t>
      </w:r>
    </w:p>
    <w:p w:rsidR="00000000" w:rsidDel="00000000" w:rsidP="00000000" w:rsidRDefault="00000000" w:rsidRPr="00000000" w14:paraId="00000046">
      <w:pPr>
        <w:jc w:val="both"/>
        <w:rPr/>
      </w:pPr>
      <w:r w:rsidDel="00000000" w:rsidR="00000000" w:rsidRPr="00000000">
        <w:rPr>
          <w:rtl w:val="0"/>
        </w:rPr>
        <w:t xml:space="preserve">Нейросеть AlphaFold 3 предсказывает взаимодействия белок-лиганд для 400 млн соединений, ускоряя поиск геропротекторов (DeepMind, 2024). Алгоритм GeroAI обнаружил, что ресвератрол усиливает аутофагию через модуляцию SIRT1-AMPK пути (Zhavoronkov et al., 2019).</w:t>
      </w:r>
    </w:p>
    <w:p w:rsidR="00000000" w:rsidDel="00000000" w:rsidP="00000000" w:rsidRDefault="00000000" w:rsidRPr="00000000" w14:paraId="00000047">
      <w:pPr>
        <w:pStyle w:val="Heading3"/>
        <w:jc w:val="both"/>
        <w:rPr/>
      </w:pPr>
      <w:bookmarkStart w:colFirst="0" w:colLast="0" w:name="_mr4c2tlyv2wa" w:id="20"/>
      <w:bookmarkEnd w:id="20"/>
      <w:r w:rsidDel="00000000" w:rsidR="00000000" w:rsidRPr="00000000">
        <w:rPr>
          <w:rtl w:val="0"/>
        </w:rPr>
        <w:t xml:space="preserve">Кейсы применения ИИ:</w:t>
      </w:r>
    </w:p>
    <w:p w:rsidR="00000000" w:rsidDel="00000000" w:rsidP="00000000" w:rsidRDefault="00000000" w:rsidRPr="00000000" w14:paraId="00000048">
      <w:pPr>
        <w:numPr>
          <w:ilvl w:val="0"/>
          <w:numId w:val="14"/>
        </w:numPr>
        <w:ind w:left="720" w:hanging="360"/>
        <w:jc w:val="both"/>
      </w:pPr>
      <w:r w:rsidDel="00000000" w:rsidR="00000000" w:rsidRPr="00000000">
        <w:rPr>
          <w:rtl w:val="0"/>
        </w:rPr>
        <w:t xml:space="preserve">Платформа Insilico Medicine идентифицировала новый ингибитор mTOR — INS018_055 — за 18 месяцев (вместо 4–5 лет) (Insilico Medicine, 2024).</w:t>
      </w:r>
    </w:p>
    <w:p w:rsidR="00000000" w:rsidDel="00000000" w:rsidP="00000000" w:rsidRDefault="00000000" w:rsidRPr="00000000" w14:paraId="00000049">
      <w:pPr>
        <w:numPr>
          <w:ilvl w:val="0"/>
          <w:numId w:val="14"/>
        </w:numPr>
        <w:ind w:left="720" w:hanging="360"/>
        <w:jc w:val="both"/>
      </w:pPr>
      <w:r w:rsidDel="00000000" w:rsidR="00000000" w:rsidRPr="00000000">
        <w:rPr>
          <w:rtl w:val="0"/>
        </w:rPr>
        <w:t xml:space="preserve">Нейросеть DeepLongevity разработала мультиомные часы старения, объединяющие данные метилирования, транскриптома и протеома (Putin et al., 2016).</w:t>
      </w:r>
    </w:p>
    <w:p w:rsidR="00000000" w:rsidDel="00000000" w:rsidP="00000000" w:rsidRDefault="00000000" w:rsidRPr="00000000" w14:paraId="0000004A">
      <w:pPr>
        <w:pStyle w:val="Heading1"/>
        <w:jc w:val="both"/>
        <w:rPr/>
      </w:pPr>
      <w:bookmarkStart w:colFirst="0" w:colLast="0" w:name="_5f5v55bj62iq" w:id="21"/>
      <w:bookmarkEnd w:id="21"/>
      <w:r w:rsidDel="00000000" w:rsidR="00000000" w:rsidRPr="00000000">
        <w:rPr>
          <w:rtl w:val="0"/>
        </w:rPr>
        <w:t xml:space="preserve">Этические и социальные вызовы</w:t>
      </w:r>
    </w:p>
    <w:p w:rsidR="00000000" w:rsidDel="00000000" w:rsidP="00000000" w:rsidRDefault="00000000" w:rsidRPr="00000000" w14:paraId="0000004B">
      <w:pPr>
        <w:numPr>
          <w:ilvl w:val="0"/>
          <w:numId w:val="4"/>
        </w:numPr>
        <w:ind w:left="720" w:hanging="360"/>
        <w:jc w:val="both"/>
      </w:pPr>
      <w:r w:rsidDel="00000000" w:rsidR="00000000" w:rsidRPr="00000000">
        <w:rPr>
          <w:rtl w:val="0"/>
        </w:rPr>
        <w:t xml:space="preserve">Неравенство в доступе — стоимость генной терапии ( ~$1 млн) делает её недоступной для 97,11% населения (World Health Organization, 2025). В 2025 г. только 12 стран включили антиэйдж-препараты в систему страхования (International Longevity Alliance, 2025).</w:t>
      </w:r>
    </w:p>
    <w:p w:rsidR="00000000" w:rsidDel="00000000" w:rsidP="00000000" w:rsidRDefault="00000000" w:rsidRPr="00000000" w14:paraId="0000004C">
      <w:pPr>
        <w:numPr>
          <w:ilvl w:val="0"/>
          <w:numId w:val="4"/>
        </w:numPr>
        <w:ind w:left="720" w:hanging="360"/>
        <w:jc w:val="both"/>
      </w:pPr>
      <w:r w:rsidDel="00000000" w:rsidR="00000000" w:rsidRPr="00000000">
        <w:rPr>
          <w:rtl w:val="0"/>
        </w:rPr>
        <w:t xml:space="preserve">Демографические риски — увеличение продолжительности жизни до 120 лет может привести к коллапсу пенсионных систем. Моделирование OECD предсказывает рост пенсионного возраста до 85 лет к 2100 г. (OECD, 2023).</w:t>
      </w:r>
    </w:p>
    <w:p w:rsidR="00000000" w:rsidDel="00000000" w:rsidP="00000000" w:rsidRDefault="00000000" w:rsidRPr="00000000" w14:paraId="0000004D">
      <w:pPr>
        <w:numPr>
          <w:ilvl w:val="0"/>
          <w:numId w:val="4"/>
        </w:numPr>
        <w:ind w:left="720" w:hanging="360"/>
        <w:jc w:val="both"/>
      </w:pPr>
      <w:r w:rsidDel="00000000" w:rsidR="00000000" w:rsidRPr="00000000">
        <w:rPr>
          <w:rtl w:val="0"/>
        </w:rPr>
        <w:t xml:space="preserve">Философский парадокс — если старение будет классифицировано как болезнь, его «лечение» станет обязанностью врачей, что противоречит принципам биоэтики (Caplan, 2024).</w:t>
      </w:r>
    </w:p>
    <w:p w:rsidR="00000000" w:rsidDel="00000000" w:rsidP="00000000" w:rsidRDefault="00000000" w:rsidRPr="00000000" w14:paraId="0000004E">
      <w:pPr>
        <w:numPr>
          <w:ilvl w:val="0"/>
          <w:numId w:val="4"/>
        </w:numPr>
        <w:ind w:left="720" w:hanging="360"/>
        <w:jc w:val="both"/>
      </w:pPr>
      <w:r w:rsidDel="00000000" w:rsidR="00000000" w:rsidRPr="00000000">
        <w:rPr>
          <w:rtl w:val="0"/>
        </w:rPr>
        <w:t xml:space="preserve">Экологические последствия — рост населения на 30% к 2100 г. усилит нагрузку на ресурсы планеты (United Nations, 2022).</w:t>
      </w:r>
    </w:p>
    <w:p w:rsidR="00000000" w:rsidDel="00000000" w:rsidP="00000000" w:rsidRDefault="00000000" w:rsidRPr="00000000" w14:paraId="0000004F">
      <w:pPr>
        <w:pStyle w:val="Heading1"/>
        <w:jc w:val="both"/>
        <w:rPr/>
      </w:pPr>
      <w:bookmarkStart w:colFirst="0" w:colLast="0" w:name="_xkrz6o40i5sc" w:id="22"/>
      <w:bookmarkEnd w:id="22"/>
      <w:r w:rsidDel="00000000" w:rsidR="00000000" w:rsidRPr="00000000">
        <w:rPr>
          <w:rtl w:val="0"/>
        </w:rPr>
        <w:t xml:space="preserve">Инновационные подходы к продлению жизни</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8607863974496"/>
        <w:gridCol w:w="3854.4102019128586"/>
        <w:gridCol w:w="3794.729011689692"/>
        <w:tblGridChange w:id="0">
          <w:tblGrid>
            <w:gridCol w:w="1710.8607863974496"/>
            <w:gridCol w:w="3854.4102019128586"/>
            <w:gridCol w:w="3794.7290116896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Технология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Принцип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Примеры исследований</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CRISPR-Cas9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Точечное редактирование генов для устранения мутаций.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Исправление гена HTT при хорее Гентингтона (эксперименты на мышах, 2022).</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Факторы Яманаки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both"/>
              <w:rPr/>
            </w:pPr>
            <w:r w:rsidDel="00000000" w:rsidR="00000000" w:rsidRPr="00000000">
              <w:rPr>
                <w:rtl w:val="0"/>
              </w:rPr>
              <w:t xml:space="preserve">Репрограммирование соматических клеток в плюрипотентные (OCT4, SOX2, KLF4, c-MYC).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both"/>
              <w:rPr/>
            </w:pPr>
            <w:r w:rsidDel="00000000" w:rsidR="00000000" w:rsidRPr="00000000">
              <w:rPr>
                <w:rtl w:val="0"/>
              </w:rPr>
              <w:t xml:space="preserve">Восстановление зрения у приматов путём омоложения клеток сетчатки (Sinclair Lab, 2023).</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9">
            <w:pPr>
              <w:spacing w:line="240" w:lineRule="auto"/>
              <w:jc w:val="both"/>
              <w:rPr/>
            </w:pPr>
            <w:r w:rsidDel="00000000" w:rsidR="00000000" w:rsidRPr="00000000">
              <w:rPr>
                <w:rtl w:val="0"/>
              </w:rPr>
              <w:t xml:space="preserve">Ингибиторы mTOR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pPr>
            <w:r w:rsidDel="00000000" w:rsidR="00000000" w:rsidRPr="00000000">
              <w:rPr>
                <w:rtl w:val="0"/>
              </w:rPr>
              <w:t xml:space="preserve">Активация аутофагии через подавление пути mTOR (рапамицин, метформин).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pPr>
            <w:r w:rsidDel="00000000" w:rsidR="00000000" w:rsidRPr="00000000">
              <w:rPr>
                <w:rtl w:val="0"/>
              </w:rPr>
              <w:t xml:space="preserve">Увеличение продолжительности жизни мышей на 25% (исследование ITP, 2021).</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C">
            <w:pPr>
              <w:spacing w:line="240" w:lineRule="auto"/>
              <w:jc w:val="both"/>
              <w:rPr/>
            </w:pPr>
            <w:r w:rsidDel="00000000" w:rsidR="00000000" w:rsidRPr="00000000">
              <w:rPr>
                <w:rtl w:val="0"/>
              </w:rPr>
              <w:t xml:space="preserve">Сенолитики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pPr>
            <w:r w:rsidDel="00000000" w:rsidR="00000000" w:rsidRPr="00000000">
              <w:rPr>
                <w:rtl w:val="0"/>
              </w:rPr>
              <w:t xml:space="preserve">Удаление «сенесцентных» (стареющих) клеток.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both"/>
              <w:rPr/>
            </w:pPr>
            <w:r w:rsidDel="00000000" w:rsidR="00000000" w:rsidRPr="00000000">
              <w:rPr>
                <w:rtl w:val="0"/>
              </w:rPr>
              <w:t xml:space="preserve">Комбинация дазатиниба и кверцетина улучшает физическую у пожилых пациентов (Jaba, 2022).</w:t>
            </w:r>
          </w:p>
        </w:tc>
      </w:tr>
    </w:tbl>
    <w:p w:rsidR="00000000" w:rsidDel="00000000" w:rsidP="00000000" w:rsidRDefault="00000000" w:rsidRPr="00000000" w14:paraId="0000005F">
      <w:pPr>
        <w:pStyle w:val="Heading1"/>
        <w:jc w:val="both"/>
        <w:rPr/>
      </w:pPr>
      <w:bookmarkStart w:colFirst="0" w:colLast="0" w:name="_r56fdatk2mdg" w:id="23"/>
      <w:bookmarkEnd w:id="23"/>
      <w:r w:rsidDel="00000000" w:rsidR="00000000" w:rsidRPr="00000000">
        <w:rPr>
          <w:rtl w:val="0"/>
        </w:rPr>
        <w:t xml:space="preserve">Вместо Дискуссии: Что мешает периодически омолаживать организм?</w:t>
      </w:r>
    </w:p>
    <w:p w:rsidR="00000000" w:rsidDel="00000000" w:rsidP="00000000" w:rsidRDefault="00000000" w:rsidRPr="00000000" w14:paraId="00000060">
      <w:pPr>
        <w:jc w:val="both"/>
        <w:rPr/>
      </w:pPr>
      <w:r w:rsidDel="00000000" w:rsidR="00000000" w:rsidRPr="00000000">
        <w:rPr>
          <w:rtl w:val="0"/>
        </w:rPr>
        <w:t xml:space="preserve">Несмотря на заявления ведущих научных институтов о том, что старение является важнейшим фактором риска развития смертельных заболеваний, исследования его этиологии остаются в значительной степени недофинансированными. Проблема старения лежит скорее в плоскости физических законов, чем биологических механизмов. Ошибочно считать, что изучение возрастных заболеваний даст понимание самой природы старения. Научные подходы должны сосредоточиться на молекулярных, атомных, субатомных изменениях, происходящих в стареющих клетках, поскольку именно эти изменения могут объяснить повышенную восприимчивость организма к болезням. Однако терминология «исследования старения» используется настолько широко и неопределенно, что это затрудняет четкую научную коммуникацию и распределение финансовых ресурсов.</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Ситуация, при которой ведущие исследовательские институты игнорируют фундаментальные исследования причин старения, граничит с научным скандалом. Несмотря на то, что старение признается основным фактором риска таких заболеваний, как рак, сердечно-сосудистые заболевания, инсульт и болезнь Альцгеймера, финансирование направляется преимущественно на изучение самих патологий, а не на выявление их первопричины (Cowdry 1942; Shock 1951; Strehler 1962; Comfort 1979). Попытки обратить внимание на этиологию старения неоднократно сталкивались с отсутствием отклика со стороны ключевых организаций.</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2"/>
        <w:jc w:val="both"/>
        <w:rPr/>
      </w:pPr>
      <w:bookmarkStart w:colFirst="0" w:colLast="0" w:name="_r9pcr9lkwrfb" w:id="24"/>
      <w:bookmarkEnd w:id="24"/>
      <w:r w:rsidDel="00000000" w:rsidR="00000000" w:rsidRPr="00000000">
        <w:rPr>
          <w:rtl w:val="0"/>
        </w:rPr>
        <w:t xml:space="preserve">Пренебрежение исследованиями главного фактора риска возрастных заболеваний</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Исследования в области биогеронтологии сосредоточены на изучении конкретных возрастных патологий. Однако даже если все они будут побеждены, старение не прекратится, а его фундаментальные механизмы останутся загадкой. Попытки обратить внимание на этот перекос, такие как статья Ричарда Адельмана «Альцгеймеризация старения» (Adelman 1995), лишь зафиксировали проблему, но не изменили ситуацию.</w:t>
      </w:r>
    </w:p>
    <w:p w:rsidR="00000000" w:rsidDel="00000000" w:rsidP="00000000" w:rsidRDefault="00000000" w:rsidRPr="00000000" w14:paraId="00000067">
      <w:pPr>
        <w:pStyle w:val="Heading3"/>
        <w:jc w:val="both"/>
        <w:rPr/>
      </w:pPr>
      <w:bookmarkStart w:colFirst="0" w:colLast="0" w:name="_pdoti0cq065s" w:id="25"/>
      <w:bookmarkEnd w:id="25"/>
      <w:r w:rsidDel="00000000" w:rsidR="00000000" w:rsidRPr="00000000">
        <w:rPr>
          <w:rtl w:val="0"/>
        </w:rPr>
        <w:t xml:space="preserve">Современные алхимики</w:t>
      </w:r>
    </w:p>
    <w:p w:rsidR="00000000" w:rsidDel="00000000" w:rsidP="00000000" w:rsidRDefault="00000000" w:rsidRPr="00000000" w14:paraId="00000068">
      <w:pPr>
        <w:jc w:val="both"/>
        <w:rPr/>
      </w:pPr>
      <w:r w:rsidDel="00000000" w:rsidR="00000000" w:rsidRPr="00000000">
        <w:rPr>
          <w:rtl w:val="0"/>
        </w:rPr>
        <w:t xml:space="preserve">Попытки продлить жизнь имеют тысячелетнюю историю: от поисков эликсира бессмертия царем Гильгамешем до средневековых алхимиков, стремившихся создать философский камень (Gruman 1966). Современные биотехнологические компании, финансируемые миллионами долларов, зачастую повторяют ошибки прошлого, смешивая понятия долголетия и старения. Долголетие определяется анаболическими процессами и отвечает на вопрос, почему организмы живут определенное количество лет, в то время как старение связано с катаболизмом и объясняет, почему системы жизнеобеспечения со временем выходят из строя.</w:t>
      </w:r>
    </w:p>
    <w:p w:rsidR="00000000" w:rsidDel="00000000" w:rsidP="00000000" w:rsidRDefault="00000000" w:rsidRPr="00000000" w14:paraId="00000069">
      <w:pPr>
        <w:pStyle w:val="Heading3"/>
        <w:jc w:val="both"/>
        <w:rPr/>
      </w:pPr>
      <w:bookmarkStart w:colFirst="0" w:colLast="0" w:name="_ijn53arfd393" w:id="26"/>
      <w:bookmarkEnd w:id="26"/>
      <w:r w:rsidDel="00000000" w:rsidR="00000000" w:rsidRPr="00000000">
        <w:rPr>
          <w:rtl w:val="0"/>
        </w:rPr>
        <w:t xml:space="preserve">Попытки стимулировать исследования этиологии старения</w:t>
      </w:r>
    </w:p>
    <w:p w:rsidR="00000000" w:rsidDel="00000000" w:rsidP="00000000" w:rsidRDefault="00000000" w:rsidRPr="00000000" w14:paraId="0000006A">
      <w:pPr>
        <w:jc w:val="both"/>
        <w:rPr/>
      </w:pPr>
      <w:r w:rsidDel="00000000" w:rsidR="00000000" w:rsidRPr="00000000">
        <w:rPr>
          <w:rtl w:val="0"/>
        </w:rPr>
        <w:t xml:space="preserve">После осознания факта старения человечества в 1991 году предпринимались многочисленные попытки убедить руководство крупных исследовательских институтов финансировать изучение причин старения. Однако они не увенчались успехом. Причина в том, что старение воспринимается как фон, а не как самостоятельная проблема (Hayflick 2001, 2007).</w:t>
      </w:r>
    </w:p>
    <w:p w:rsidR="00000000" w:rsidDel="00000000" w:rsidP="00000000" w:rsidRDefault="00000000" w:rsidRPr="00000000" w14:paraId="0000006B">
      <w:pPr>
        <w:pStyle w:val="Heading3"/>
        <w:jc w:val="both"/>
        <w:rPr/>
      </w:pPr>
      <w:bookmarkStart w:colFirst="0" w:colLast="0" w:name="_6hpby572i556" w:id="27"/>
      <w:bookmarkEnd w:id="27"/>
      <w:r w:rsidDel="00000000" w:rsidR="00000000" w:rsidRPr="00000000">
        <w:rPr>
          <w:rtl w:val="0"/>
        </w:rPr>
        <w:t xml:space="preserve">Биологическое старение – не болезнь</w:t>
      </w:r>
    </w:p>
    <w:p w:rsidR="00000000" w:rsidDel="00000000" w:rsidP="00000000" w:rsidRDefault="00000000" w:rsidRPr="00000000" w14:paraId="0000006C">
      <w:pPr>
        <w:jc w:val="both"/>
        <w:rPr/>
      </w:pPr>
      <w:r w:rsidDel="00000000" w:rsidR="00000000" w:rsidRPr="00000000">
        <w:rPr>
          <w:rtl w:val="0"/>
        </w:rPr>
        <w:t xml:space="preserve">Дебаты о том, является ли старение болезнью, только отвлекают внимание от необходимости исследовать его этиологию. Еще в 1903 году Мечников утверждал: «Старость – не болезнь, и ее невозможно вылечить» (Metchnikov 1903). Старение обладает уникальными характеристиками, не свойственными ни одной патологии: оно универсально для всех многоклеточных организмов, проявляется после достижения половой зрелости, затрагивает даже виды, в дикой природе не доживающие до старости, и, наконец, подчиняется законам физики, а не биологии.</w:t>
      </w:r>
    </w:p>
    <w:p w:rsidR="00000000" w:rsidDel="00000000" w:rsidP="00000000" w:rsidRDefault="00000000" w:rsidRPr="00000000" w14:paraId="0000006D">
      <w:pPr>
        <w:pStyle w:val="Heading3"/>
        <w:jc w:val="both"/>
        <w:rPr/>
      </w:pPr>
      <w:bookmarkStart w:colFirst="0" w:colLast="0" w:name="_wg0cy6u2vimd" w:id="28"/>
      <w:bookmarkEnd w:id="28"/>
      <w:r w:rsidDel="00000000" w:rsidR="00000000" w:rsidRPr="00000000">
        <w:rPr>
          <w:rtl w:val="0"/>
        </w:rPr>
        <w:t xml:space="preserve">Финансирование исследований возрастных заболеваний исключает изучение главного фактора риска</w:t>
      </w:r>
    </w:p>
    <w:p w:rsidR="00000000" w:rsidDel="00000000" w:rsidP="00000000" w:rsidRDefault="00000000" w:rsidRPr="00000000" w14:paraId="0000006E">
      <w:pPr>
        <w:jc w:val="both"/>
        <w:rPr/>
      </w:pPr>
      <w:r w:rsidDel="00000000" w:rsidR="00000000" w:rsidRPr="00000000">
        <w:rPr>
          <w:rtl w:val="0"/>
        </w:rPr>
        <w:t xml:space="preserve">Национальный институт старения (NIA) заявляет, что старение – это главный фактор риска возрастных заболеваний, но финансирует только исследования самих патологий (NIH NIA Budget). Например, бюджет исследований болезни Альцгеймера в 2020 году составил 2,393 миллиарда долларов, в то время как на изучение биологии старения было выделено всего 272,6 миллиона (NIH Budget).</w:t>
      </w:r>
    </w:p>
    <w:p w:rsidR="00000000" w:rsidDel="00000000" w:rsidP="00000000" w:rsidRDefault="00000000" w:rsidRPr="00000000" w14:paraId="0000006F">
      <w:pPr>
        <w:pStyle w:val="Heading3"/>
        <w:jc w:val="both"/>
        <w:rPr/>
      </w:pPr>
      <w:bookmarkStart w:colFirst="0" w:colLast="0" w:name="_n5plg77nfyr7" w:id="29"/>
      <w:bookmarkEnd w:id="29"/>
      <w:r w:rsidDel="00000000" w:rsidR="00000000" w:rsidRPr="00000000">
        <w:rPr>
          <w:rtl w:val="0"/>
        </w:rPr>
        <w:t xml:space="preserve">Основные организации игнорируют старение как первопричину</w:t>
      </w:r>
    </w:p>
    <w:p w:rsidR="00000000" w:rsidDel="00000000" w:rsidP="00000000" w:rsidRDefault="00000000" w:rsidRPr="00000000" w14:paraId="00000070">
      <w:pPr>
        <w:jc w:val="both"/>
        <w:rPr/>
      </w:pPr>
      <w:r w:rsidDel="00000000" w:rsidR="00000000" w:rsidRPr="00000000">
        <w:rPr>
          <w:rtl w:val="0"/>
        </w:rPr>
        <w:t xml:space="preserve">Альцгеймеровская ассоциация, имея бюджет в 393 миллиона долларов (Alzheimer’s Association), не направляет средства на изучение старения, несмотря на признание возраста главным фактором риска болезни Альцгеймера. AFAR также заявляет, что старение – это ключевой фактор риска возрастных заболеваний, но среди 108 грантов, выданных в 2017–2018 годах, нет ни одного, направленного на изучение его этиологии (AFAR).</w:t>
      </w:r>
    </w:p>
    <w:p w:rsidR="00000000" w:rsidDel="00000000" w:rsidP="00000000" w:rsidRDefault="00000000" w:rsidRPr="00000000" w14:paraId="00000071">
      <w:pPr>
        <w:pStyle w:val="Heading3"/>
        <w:jc w:val="both"/>
        <w:rPr/>
      </w:pPr>
      <w:bookmarkStart w:colFirst="0" w:colLast="0" w:name="_c2amz23o7xk7" w:id="30"/>
      <w:bookmarkEnd w:id="30"/>
      <w:r w:rsidDel="00000000" w:rsidR="00000000" w:rsidRPr="00000000">
        <w:rPr>
          <w:rtl w:val="0"/>
        </w:rPr>
        <w:t xml:space="preserve">Физика старения</w:t>
      </w:r>
    </w:p>
    <w:p w:rsidR="00000000" w:rsidDel="00000000" w:rsidP="00000000" w:rsidRDefault="00000000" w:rsidRPr="00000000" w14:paraId="00000072">
      <w:pPr>
        <w:jc w:val="both"/>
        <w:rPr/>
      </w:pPr>
      <w:r w:rsidDel="00000000" w:rsidR="00000000" w:rsidRPr="00000000">
        <w:rPr>
          <w:rtl w:val="0"/>
        </w:rPr>
        <w:t xml:space="preserve">Основная причина старения заключается в увеличении энтропии и термодинамической нестабильности. Белки и другие молекулы со временем подвергаются разрушению из-за постоянного хаотического движения воды и других молекул («молекулярная буря») (Hoffmann 2012). Различие в молекулярном составе молодых и старых клеток объясняет их повышенную уязвимость к заболеваниям.</w:t>
      </w:r>
    </w:p>
    <w:p w:rsidR="00000000" w:rsidDel="00000000" w:rsidP="00000000" w:rsidRDefault="00000000" w:rsidRPr="00000000" w14:paraId="00000073">
      <w:pPr>
        <w:pStyle w:val="Heading3"/>
        <w:jc w:val="both"/>
        <w:rPr/>
      </w:pPr>
      <w:bookmarkStart w:colFirst="0" w:colLast="0" w:name="_b2rfo1v22ms7" w:id="31"/>
      <w:bookmarkEnd w:id="31"/>
      <w:r w:rsidDel="00000000" w:rsidR="00000000" w:rsidRPr="00000000">
        <w:rPr>
          <w:rtl w:val="0"/>
        </w:rPr>
        <w:t xml:space="preserve">Методы исследования старения на молекулярном уровне</w:t>
      </w:r>
    </w:p>
    <w:p w:rsidR="00000000" w:rsidDel="00000000" w:rsidP="00000000" w:rsidRDefault="00000000" w:rsidRPr="00000000" w14:paraId="00000074">
      <w:pPr>
        <w:jc w:val="both"/>
        <w:rPr/>
      </w:pPr>
      <w:r w:rsidDel="00000000" w:rsidR="00000000" w:rsidRPr="00000000">
        <w:rPr>
          <w:rtl w:val="0"/>
        </w:rPr>
        <w:t xml:space="preserve">Существуют технологии, позволяющие исследовать отдельные молекулы и их атомарный состав: масс-спектрометрия (Slavov 2020), криоэлектронная микроскопия (Cheng 2018), биолюминесценция и другие методы (Singh 2020, Xiao-chen et al. 2015). Эти методы помогут раскрыть молекулярные механизмы старения.</w:t>
      </w:r>
    </w:p>
    <w:p w:rsidR="00000000" w:rsidDel="00000000" w:rsidP="00000000" w:rsidRDefault="00000000" w:rsidRPr="00000000" w14:paraId="00000075">
      <w:pPr>
        <w:pStyle w:val="Heading3"/>
        <w:jc w:val="both"/>
        <w:rPr/>
      </w:pPr>
      <w:bookmarkStart w:colFirst="0" w:colLast="0" w:name="_kps20y2x0f25" w:id="32"/>
      <w:bookmarkEnd w:id="32"/>
      <w:r w:rsidDel="00000000" w:rsidR="00000000" w:rsidRPr="00000000">
        <w:rPr>
          <w:rtl w:val="0"/>
        </w:rPr>
        <w:t xml:space="preserve">Проблема терминологии</w:t>
      </w:r>
    </w:p>
    <w:p w:rsidR="00000000" w:rsidDel="00000000" w:rsidP="00000000" w:rsidRDefault="00000000" w:rsidRPr="00000000" w14:paraId="00000076">
      <w:pPr>
        <w:jc w:val="both"/>
        <w:rPr/>
      </w:pPr>
      <w:r w:rsidDel="00000000" w:rsidR="00000000" w:rsidRPr="00000000">
        <w:rPr>
          <w:rtl w:val="0"/>
        </w:rPr>
        <w:t xml:space="preserve">Термин «исследования старения» охватывает слишком широкий спектр тем, включая медицину, социологию, экономику и уход за пожилыми людьми (Hayflick 2002, 2016). Это приводит к неразберихе в научном дискурсе и финансировании.</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Несмотря на признание старения главным фактором риска смертельных заболеваний, его изучение не финансируется на должном уровне. Необходима кардинальная смена парадигмы, чтобы научное сообщество сфокусировалось на этиологии старения, а не только на лечении его последствий.</w:t>
      </w:r>
    </w:p>
    <w:p w:rsidR="00000000" w:rsidDel="00000000" w:rsidP="00000000" w:rsidRDefault="00000000" w:rsidRPr="00000000" w14:paraId="00000079">
      <w:pPr>
        <w:pStyle w:val="Heading3"/>
        <w:jc w:val="both"/>
        <w:rPr/>
      </w:pPr>
      <w:bookmarkStart w:colFirst="0" w:colLast="0" w:name="_hb00s04l3bmy" w:id="33"/>
      <w:bookmarkEnd w:id="33"/>
      <w:r w:rsidDel="00000000" w:rsidR="00000000" w:rsidRPr="00000000">
        <w:rPr>
          <w:rtl w:val="0"/>
        </w:rPr>
        <w:t xml:space="preserve">Центриолярная теория старения организма</w:t>
      </w:r>
    </w:p>
    <w:p w:rsidR="00000000" w:rsidDel="00000000" w:rsidP="00000000" w:rsidRDefault="00000000" w:rsidRPr="00000000" w14:paraId="0000007A">
      <w:pPr>
        <w:rPr/>
      </w:pPr>
      <w:r w:rsidDel="00000000" w:rsidR="00000000" w:rsidRPr="00000000">
        <w:rPr>
          <w:rtl w:val="0"/>
        </w:rPr>
        <w:t xml:space="preserve">Эта теория основана на физике формата процесса развития и самообновления организма (Tkemaladze, 2001-20025). </w:t>
        <w:br w:type="textWrapping"/>
        <w:br w:type="textWrapping"/>
        <w:t xml:space="preserve">Механизм: В клетках постоянно активны процессы выявления и репарации дефектов, обеспечивающие поддержание клеточной целостности. Эти механизмы охватывают широкий спектр клеточных компонентов, включая молекулы, структуры, органеллы и органоиды. Более того, при асимметричных делениях стволовых клеток человека новые молекулы, структуры, органеллы, органоиды избирательно сегрегируются в ценную стволовую клетку-сибс; старые молекулы, структуры, органеллы, органоиды избирательно сегрегируются в расходную клетку-сибс, вставшую на путь дифференциации. Однако центриоли представляют собой заметное исключение. В отличие от других клеточных структур, поврежденные центриоли не подлежат репарации. Даже незначительные структурные изменения центриолей могут привести к серьезным последствиям для ткани. Среди них — выход клетки из митотического цикла, что ведет к клеточному старению, либо развитие опухолевой трансформации вследствие неконтролируемого деления (Bettencourt-Dias &amp; Glover, 2007; Nigg &amp; Stearns, 2011). Легко представить что происходит с течением времени в организме, напичканном нерепарируемыми центриолями. </w:t>
      </w:r>
    </w:p>
    <w:p w:rsidR="00000000" w:rsidDel="00000000" w:rsidP="00000000" w:rsidRDefault="00000000" w:rsidRPr="00000000" w14:paraId="0000007B">
      <w:pPr>
        <w:jc w:val="both"/>
        <w:rPr/>
      </w:pPr>
      <w:r w:rsidDel="00000000" w:rsidR="00000000" w:rsidRPr="00000000">
        <w:rPr>
          <w:rtl w:val="0"/>
        </w:rPr>
        <w:t xml:space="preserve">Доказательства: Исследования показали, что центриоли сохраняют свою структуру на протяжении клеточного цикла, однако со временем они подвергаются повреждениям. Эти повреждения накапливаются с каждой секундой, способствуя дисфункции клеток и как следствие старению организма (Piel, Nordberg, Euteneuer, &amp; Bornens, 2001).</w:t>
      </w:r>
    </w:p>
    <w:p w:rsidR="00000000" w:rsidDel="00000000" w:rsidP="00000000" w:rsidRDefault="00000000" w:rsidRPr="00000000" w14:paraId="0000007C">
      <w:pPr>
        <w:jc w:val="both"/>
        <w:rPr/>
      </w:pPr>
      <w:r w:rsidDel="00000000" w:rsidR="00000000" w:rsidRPr="00000000">
        <w:rPr>
          <w:rtl w:val="0"/>
        </w:rPr>
        <w:t xml:space="preserve">Нарушение работы центриолей связано с хромосомной нестабильностью — характерным признаком рака. Потеря целостности центриолей может приводить к формированию аномального веретена деления, что вызывает анеуплоидию и опухолевую трансформацию клеток (Ganem, Godinho, &amp; Pellman, 2009).</w:t>
      </w:r>
    </w:p>
    <w:p w:rsidR="00000000" w:rsidDel="00000000" w:rsidP="00000000" w:rsidRDefault="00000000" w:rsidRPr="00000000" w14:paraId="0000007D">
      <w:pPr>
        <w:jc w:val="both"/>
        <w:rPr/>
      </w:pPr>
      <w:r w:rsidDel="00000000" w:rsidR="00000000" w:rsidRPr="00000000">
        <w:rPr>
          <w:rtl w:val="0"/>
        </w:rPr>
        <w:t xml:space="preserve">Экспериментальное вмешательство в структуру центриолей может запускать клеточное старение — состояние постоянной остановки клеточного цикла. Это указывает на ключевую роль центриолей в поддержании способности клеток к пролиферации (Mikule, Pitluk, &amp; Buster, 2007).</w:t>
      </w:r>
    </w:p>
    <w:p w:rsidR="00000000" w:rsidDel="00000000" w:rsidP="00000000" w:rsidRDefault="00000000" w:rsidRPr="00000000" w14:paraId="0000007E">
      <w:pPr>
        <w:jc w:val="both"/>
        <w:rPr/>
      </w:pPr>
      <w:r w:rsidDel="00000000" w:rsidR="00000000" w:rsidRPr="00000000">
        <w:rPr>
          <w:rtl w:val="0"/>
        </w:rPr>
        <w:t xml:space="preserve">Последствия: Невозможность репарации центриолей имеет серьезные последствия для гомеостаза тканей и старения организма. Со временем накопленные повреждения центриолей могут приводить к:</w:t>
      </w:r>
    </w:p>
    <w:p w:rsidR="00000000" w:rsidDel="00000000" w:rsidP="00000000" w:rsidRDefault="00000000" w:rsidRPr="00000000" w14:paraId="0000007F">
      <w:pPr>
        <w:numPr>
          <w:ilvl w:val="0"/>
          <w:numId w:val="2"/>
        </w:numPr>
        <w:ind w:left="720" w:hanging="360"/>
        <w:jc w:val="both"/>
      </w:pPr>
      <w:r w:rsidDel="00000000" w:rsidR="00000000" w:rsidRPr="00000000">
        <w:rPr>
          <w:rtl w:val="0"/>
        </w:rPr>
        <w:t xml:space="preserve">Усилению клеточного старения, что способствует дегенерации тканей и процессу старения.</w:t>
      </w:r>
    </w:p>
    <w:p w:rsidR="00000000" w:rsidDel="00000000" w:rsidP="00000000" w:rsidRDefault="00000000" w:rsidRPr="00000000" w14:paraId="00000080">
      <w:pPr>
        <w:numPr>
          <w:ilvl w:val="0"/>
          <w:numId w:val="2"/>
        </w:numPr>
        <w:ind w:left="720" w:hanging="360"/>
        <w:jc w:val="both"/>
      </w:pPr>
      <w:r w:rsidDel="00000000" w:rsidR="00000000" w:rsidRPr="00000000">
        <w:rPr>
          <w:rtl w:val="0"/>
        </w:rPr>
        <w:t xml:space="preserve">Повышенному риску развития рака из-за хромосомной нестабильности, вызванной дефектными центриолями.</w:t>
      </w:r>
    </w:p>
    <w:p w:rsidR="00000000" w:rsidDel="00000000" w:rsidP="00000000" w:rsidRDefault="00000000" w:rsidRPr="00000000" w14:paraId="00000081">
      <w:pPr>
        <w:numPr>
          <w:ilvl w:val="0"/>
          <w:numId w:val="2"/>
        </w:numPr>
        <w:ind w:left="720" w:hanging="360"/>
        <w:jc w:val="both"/>
      </w:pPr>
      <w:r w:rsidDel="00000000" w:rsidR="00000000" w:rsidRPr="00000000">
        <w:rPr>
          <w:rtl w:val="0"/>
        </w:rPr>
        <w:t xml:space="preserve">Снижению регенеративного потенциала тканей, поскольку клетки с поврежденными центриолями выходят из митотического цикла.</w:t>
      </w:r>
    </w:p>
    <w:p w:rsidR="00000000" w:rsidDel="00000000" w:rsidP="00000000" w:rsidRDefault="00000000" w:rsidRPr="00000000" w14:paraId="00000082">
      <w:pPr>
        <w:jc w:val="both"/>
        <w:rPr/>
      </w:pPr>
      <w:r w:rsidDel="00000000" w:rsidR="00000000" w:rsidRPr="00000000">
        <w:rPr>
          <w:rtl w:val="0"/>
        </w:rPr>
        <w:t xml:space="preserve">Многие терминально детерминированные клетки удаляют центриоль, что практически обнуляет в них энтропию. Одноклеточные, растительные клетки прекрасно обходятся без центриолей. Но у них нет истинных тканей, нет необратимой дифференциации. Скорее всего, нерепарируемые центриоли, которые накапливают энтропию и этим вызывают старение организма, нужны в первую очередь для сложных процессов необратимой дифференциации. Старение организма — цена за необратимую дифференциацию.</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color w:val="666666"/>
          <w:sz w:val="30"/>
          <w:szCs w:val="30"/>
        </w:rPr>
      </w:pPr>
      <w:r w:rsidDel="00000000" w:rsidR="00000000" w:rsidRPr="00000000">
        <w:rPr>
          <w:rtl w:val="0"/>
        </w:rPr>
        <w:t xml:space="preserve">Биологический смысл сохранения старых нерепарируемых центриолей обьяснает Центриолярная теория дифференциации и достижения лимита Хейфлика(Tkemaladze, 2005). Старение организма — результат накопления организмом старых нерепарируемых центриолей (стохастически накапливающих дефекты) из-за реализации программ дифференциации (в процессах развития и затем самовосстановления). Перманентное омоложение возможно тем, на что не способен ни один организм- заменой старых (с дефектами) нерепарируемых центриолей на новые (без дефектов). Пока такой технологии не существует, следует помогать организму удалять старые (дефектные) структуры и клетки.</w:t>
      </w:r>
      <w:r w:rsidDel="00000000" w:rsidR="00000000" w:rsidRPr="00000000">
        <w:rPr>
          <w:rtl w:val="0"/>
        </w:rPr>
      </w:r>
    </w:p>
    <w:p w:rsidR="00000000" w:rsidDel="00000000" w:rsidP="00000000" w:rsidRDefault="00000000" w:rsidRPr="00000000" w14:paraId="00000085">
      <w:pPr>
        <w:pStyle w:val="Heading1"/>
        <w:jc w:val="both"/>
        <w:rPr/>
      </w:pPr>
      <w:bookmarkStart w:colFirst="0" w:colLast="0" w:name="_nu2s1pywc3y4" w:id="34"/>
      <w:bookmarkEnd w:id="34"/>
      <w:r w:rsidDel="00000000" w:rsidR="00000000" w:rsidRPr="00000000">
        <w:rPr>
          <w:rtl w:val="0"/>
        </w:rPr>
        <w:t xml:space="preserve">Практические рекомендации</w:t>
      </w:r>
    </w:p>
    <w:p w:rsidR="00000000" w:rsidDel="00000000" w:rsidP="00000000" w:rsidRDefault="00000000" w:rsidRPr="00000000" w14:paraId="00000086">
      <w:pPr>
        <w:pStyle w:val="Heading2"/>
        <w:jc w:val="both"/>
        <w:rPr/>
      </w:pPr>
      <w:bookmarkStart w:colFirst="0" w:colLast="0" w:name="_jz00umn6w587" w:id="35"/>
      <w:bookmarkEnd w:id="35"/>
      <w:r w:rsidDel="00000000" w:rsidR="00000000" w:rsidRPr="00000000">
        <w:rPr>
          <w:rtl w:val="0"/>
        </w:rPr>
        <w:t xml:space="preserve">Интервальное голодание режима 16:8</w:t>
      </w:r>
    </w:p>
    <w:p w:rsidR="00000000" w:rsidDel="00000000" w:rsidP="00000000" w:rsidRDefault="00000000" w:rsidRPr="00000000" w14:paraId="00000087">
      <w:pPr>
        <w:jc w:val="both"/>
        <w:rPr/>
      </w:pPr>
      <w:r w:rsidDel="00000000" w:rsidR="00000000" w:rsidRPr="00000000">
        <w:rPr>
          <w:rtl w:val="0"/>
        </w:rPr>
        <w:t xml:space="preserve">Интервальное голодание (IG) и ограничение калорий (ОК) являются популярными стратегиями питания, направленными на улучшение метаболического здоровья, замедление процессов старения и снижение риска хронических заболеваний. Одним из ключевых механизмов, посредством которых эти стратегии оказывают положительное влияние на организм, является активация аутофагии — процесса клеточного самоочищения. Однако длительное соблюдение IG и ОК требует тщательного контроля нутритивного баланса, чтобы избежать дефицита микро- и макроэлементов. В данной статье рассматриваются физиологические основы этих диетических стратегий, их влияние на аутофагию и потенциал для улучшения здоровья, а также возможные риски и способы их минимизации.</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Современные исследования показывают, что питание оказывает значительное влияние на процессы старения и развитие возраст-ассоциированных заболеваний. Среди наиболее обсуждаемых стратегий в этой области выделяются интервальное голодание (режим 16:8) и ограничение калорий. Оба метода направлены на снижение общей калорийности рациона и активацию адаптационных метаболических процессов, в частности, аутофагии. Тем не менее, длительное следование этим режимам требует взвешенного подхода к нутритивному балансу.</w:t>
      </w:r>
    </w:p>
    <w:p w:rsidR="00000000" w:rsidDel="00000000" w:rsidP="00000000" w:rsidRDefault="00000000" w:rsidRPr="00000000" w14:paraId="0000008A">
      <w:pPr>
        <w:pStyle w:val="Heading3"/>
        <w:rPr/>
      </w:pPr>
      <w:bookmarkStart w:colFirst="0" w:colLast="0" w:name="_yc7y30qshda0" w:id="36"/>
      <w:bookmarkEnd w:id="36"/>
      <w:r w:rsidDel="00000000" w:rsidR="00000000" w:rsidRPr="00000000">
        <w:rPr>
          <w:rtl w:val="0"/>
        </w:rPr>
        <w:t xml:space="preserve">Механизмы аутофагии и их регуляция питанием</w:t>
      </w:r>
    </w:p>
    <w:p w:rsidR="00000000" w:rsidDel="00000000" w:rsidP="00000000" w:rsidRDefault="00000000" w:rsidRPr="00000000" w14:paraId="0000008B">
      <w:pPr>
        <w:jc w:val="both"/>
        <w:rPr/>
      </w:pPr>
      <w:r w:rsidDel="00000000" w:rsidR="00000000" w:rsidRPr="00000000">
        <w:rPr>
          <w:rtl w:val="0"/>
        </w:rPr>
        <w:t xml:space="preserve">Аутофагия — это клеточный процесс деградации и переработки поврежденных или избыточных органелл, белков и других макромолекул. Он активируется при стрессе, вызванном дефицитом питательных веществ, и способствует поддержанию клеточного гомеостаза. Основными регуляторами аутофагии являются:</w:t>
      </w:r>
    </w:p>
    <w:p w:rsidR="00000000" w:rsidDel="00000000" w:rsidP="00000000" w:rsidRDefault="00000000" w:rsidRPr="00000000" w14:paraId="0000008C">
      <w:pPr>
        <w:numPr>
          <w:ilvl w:val="0"/>
          <w:numId w:val="13"/>
        </w:numPr>
        <w:ind w:left="720" w:hanging="360"/>
        <w:jc w:val="both"/>
      </w:pPr>
      <w:r w:rsidDel="00000000" w:rsidR="00000000" w:rsidRPr="00000000">
        <w:rPr>
          <w:rtl w:val="0"/>
        </w:rPr>
        <w:t xml:space="preserve">mTOR (mammalian target of rapamycin) — ингибитор аутофагии, активируемый аминокислотами и инсулином.</w:t>
      </w:r>
    </w:p>
    <w:p w:rsidR="00000000" w:rsidDel="00000000" w:rsidP="00000000" w:rsidRDefault="00000000" w:rsidRPr="00000000" w14:paraId="0000008D">
      <w:pPr>
        <w:numPr>
          <w:ilvl w:val="0"/>
          <w:numId w:val="13"/>
        </w:numPr>
        <w:ind w:left="720" w:hanging="360"/>
        <w:jc w:val="both"/>
      </w:pPr>
      <w:r w:rsidDel="00000000" w:rsidR="00000000" w:rsidRPr="00000000">
        <w:rPr>
          <w:rtl w:val="0"/>
        </w:rPr>
        <w:t xml:space="preserve">AMPK (AMP-activated protein kinase) — активатор аутофагии, реагирующий на низкий уровень энергии в клетке.</w:t>
      </w:r>
    </w:p>
    <w:p w:rsidR="00000000" w:rsidDel="00000000" w:rsidP="00000000" w:rsidRDefault="00000000" w:rsidRPr="00000000" w14:paraId="0000008E">
      <w:pPr>
        <w:numPr>
          <w:ilvl w:val="0"/>
          <w:numId w:val="13"/>
        </w:numPr>
        <w:ind w:left="720" w:hanging="360"/>
        <w:jc w:val="both"/>
      </w:pPr>
      <w:r w:rsidDel="00000000" w:rsidR="00000000" w:rsidRPr="00000000">
        <w:rPr>
          <w:rtl w:val="0"/>
        </w:rPr>
        <w:t xml:space="preserve">SIRT1 (sirtuin 1) — белок, стимулирующий аутофагию в условиях ограниченного потребления калорий.</w:t>
      </w:r>
    </w:p>
    <w:p w:rsidR="00000000" w:rsidDel="00000000" w:rsidP="00000000" w:rsidRDefault="00000000" w:rsidRPr="00000000" w14:paraId="0000008F">
      <w:pPr>
        <w:pStyle w:val="Heading3"/>
        <w:rPr/>
      </w:pPr>
      <w:bookmarkStart w:colFirst="0" w:colLast="0" w:name="_4oma031tn6yg" w:id="37"/>
      <w:bookmarkEnd w:id="37"/>
      <w:r w:rsidDel="00000000" w:rsidR="00000000" w:rsidRPr="00000000">
        <w:rPr>
          <w:rtl w:val="0"/>
        </w:rPr>
        <w:t xml:space="preserve">Интервальное голодание (16:8) и его влияние на аутофагию</w:t>
      </w:r>
    </w:p>
    <w:p w:rsidR="00000000" w:rsidDel="00000000" w:rsidP="00000000" w:rsidRDefault="00000000" w:rsidRPr="00000000" w14:paraId="00000090">
      <w:pPr>
        <w:jc w:val="both"/>
        <w:rPr/>
      </w:pPr>
      <w:r w:rsidDel="00000000" w:rsidR="00000000" w:rsidRPr="00000000">
        <w:rPr>
          <w:rtl w:val="0"/>
        </w:rPr>
        <w:t xml:space="preserve">Режим 16:8 подразумевает 16-часовой период голодания, за которым следует 8-часовое окно питания. Этот режим приводит к снижению уровня инсулина и активации AMPK, что стимулирует аутофагию. Исследования на животных и людях показывают, что IG:</w:t>
      </w:r>
    </w:p>
    <w:p w:rsidR="00000000" w:rsidDel="00000000" w:rsidP="00000000" w:rsidRDefault="00000000" w:rsidRPr="00000000" w14:paraId="00000091">
      <w:pPr>
        <w:numPr>
          <w:ilvl w:val="0"/>
          <w:numId w:val="9"/>
        </w:numPr>
        <w:ind w:left="720" w:hanging="360"/>
        <w:jc w:val="both"/>
      </w:pPr>
      <w:r w:rsidDel="00000000" w:rsidR="00000000" w:rsidRPr="00000000">
        <w:rPr>
          <w:rtl w:val="0"/>
        </w:rPr>
        <w:t xml:space="preserve">Улучшает метаболизм глюкозы и липидов;</w:t>
      </w:r>
    </w:p>
    <w:p w:rsidR="00000000" w:rsidDel="00000000" w:rsidP="00000000" w:rsidRDefault="00000000" w:rsidRPr="00000000" w14:paraId="00000092">
      <w:pPr>
        <w:numPr>
          <w:ilvl w:val="0"/>
          <w:numId w:val="9"/>
        </w:numPr>
        <w:ind w:left="720" w:hanging="360"/>
        <w:jc w:val="both"/>
      </w:pPr>
      <w:r w:rsidDel="00000000" w:rsidR="00000000" w:rsidRPr="00000000">
        <w:rPr>
          <w:rtl w:val="0"/>
        </w:rPr>
        <w:t xml:space="preserve">Снижает уровень воспалительных маркеров;</w:t>
      </w:r>
    </w:p>
    <w:p w:rsidR="00000000" w:rsidDel="00000000" w:rsidP="00000000" w:rsidRDefault="00000000" w:rsidRPr="00000000" w14:paraId="00000093">
      <w:pPr>
        <w:numPr>
          <w:ilvl w:val="0"/>
          <w:numId w:val="9"/>
        </w:numPr>
        <w:ind w:left="720" w:hanging="360"/>
        <w:jc w:val="both"/>
      </w:pPr>
      <w:r w:rsidDel="00000000" w:rsidR="00000000" w:rsidRPr="00000000">
        <w:rPr>
          <w:rtl w:val="0"/>
        </w:rPr>
        <w:t xml:space="preserve">Способствует повышению чувствительности к инсулину;</w:t>
      </w:r>
    </w:p>
    <w:p w:rsidR="00000000" w:rsidDel="00000000" w:rsidP="00000000" w:rsidRDefault="00000000" w:rsidRPr="00000000" w14:paraId="00000094">
      <w:pPr>
        <w:numPr>
          <w:ilvl w:val="0"/>
          <w:numId w:val="9"/>
        </w:numPr>
        <w:ind w:left="720" w:hanging="360"/>
        <w:jc w:val="both"/>
      </w:pPr>
      <w:r w:rsidDel="00000000" w:rsidR="00000000" w:rsidRPr="00000000">
        <w:rPr>
          <w:rtl w:val="0"/>
        </w:rPr>
        <w:t xml:space="preserve">Защищает нейроны от дегенеративных процессов.</w:t>
      </w:r>
    </w:p>
    <w:p w:rsidR="00000000" w:rsidDel="00000000" w:rsidP="00000000" w:rsidRDefault="00000000" w:rsidRPr="00000000" w14:paraId="00000095">
      <w:pPr>
        <w:pStyle w:val="Heading3"/>
        <w:rPr/>
      </w:pPr>
      <w:bookmarkStart w:colFirst="0" w:colLast="0" w:name="_3drot9dlknhn" w:id="38"/>
      <w:bookmarkEnd w:id="38"/>
      <w:r w:rsidDel="00000000" w:rsidR="00000000" w:rsidRPr="00000000">
        <w:rPr>
          <w:rtl w:val="0"/>
        </w:rPr>
        <w:t xml:space="preserve">Ограничение калорий и его влияние на аутофагию</w:t>
      </w:r>
    </w:p>
    <w:p w:rsidR="00000000" w:rsidDel="00000000" w:rsidP="00000000" w:rsidRDefault="00000000" w:rsidRPr="00000000" w14:paraId="00000096">
      <w:pPr>
        <w:jc w:val="both"/>
        <w:rPr/>
      </w:pPr>
      <w:r w:rsidDel="00000000" w:rsidR="00000000" w:rsidRPr="00000000">
        <w:rPr>
          <w:rtl w:val="0"/>
        </w:rPr>
        <w:t xml:space="preserve">ОК подразумевает снижение общего потребления калорий на 20-40% без дефицита необходимых нутриентов. Это приводит к:</w:t>
      </w:r>
    </w:p>
    <w:p w:rsidR="00000000" w:rsidDel="00000000" w:rsidP="00000000" w:rsidRDefault="00000000" w:rsidRPr="00000000" w14:paraId="00000097">
      <w:pPr>
        <w:numPr>
          <w:ilvl w:val="0"/>
          <w:numId w:val="10"/>
        </w:numPr>
        <w:ind w:left="720" w:hanging="360"/>
        <w:jc w:val="both"/>
      </w:pPr>
      <w:r w:rsidDel="00000000" w:rsidR="00000000" w:rsidRPr="00000000">
        <w:rPr>
          <w:rtl w:val="0"/>
        </w:rPr>
        <w:t xml:space="preserve">Уменьшению активности mTOR и повышению экспрессии аутофагических белков;</w:t>
      </w:r>
    </w:p>
    <w:p w:rsidR="00000000" w:rsidDel="00000000" w:rsidP="00000000" w:rsidRDefault="00000000" w:rsidRPr="00000000" w14:paraId="00000098">
      <w:pPr>
        <w:numPr>
          <w:ilvl w:val="0"/>
          <w:numId w:val="10"/>
        </w:numPr>
        <w:ind w:left="720" w:hanging="360"/>
        <w:jc w:val="both"/>
      </w:pPr>
      <w:r w:rsidDel="00000000" w:rsidR="00000000" w:rsidRPr="00000000">
        <w:rPr>
          <w:rtl w:val="0"/>
        </w:rPr>
        <w:t xml:space="preserve">Повышенной устойчивости к окислительному стрессу;</w:t>
      </w:r>
    </w:p>
    <w:p w:rsidR="00000000" w:rsidDel="00000000" w:rsidP="00000000" w:rsidRDefault="00000000" w:rsidRPr="00000000" w14:paraId="00000099">
      <w:pPr>
        <w:numPr>
          <w:ilvl w:val="0"/>
          <w:numId w:val="10"/>
        </w:numPr>
        <w:ind w:left="720" w:hanging="360"/>
        <w:jc w:val="both"/>
      </w:pPr>
      <w:r w:rsidDel="00000000" w:rsidR="00000000" w:rsidRPr="00000000">
        <w:rPr>
          <w:rtl w:val="0"/>
        </w:rPr>
        <w:t xml:space="preserve">Улучшению регенеративных процессов и продлению продолжительности жизни у модельных организмов.</w:t>
      </w:r>
    </w:p>
    <w:p w:rsidR="00000000" w:rsidDel="00000000" w:rsidP="00000000" w:rsidRDefault="00000000" w:rsidRPr="00000000" w14:paraId="0000009A">
      <w:pPr>
        <w:pStyle w:val="Heading3"/>
        <w:rPr/>
      </w:pPr>
      <w:bookmarkStart w:colFirst="0" w:colLast="0" w:name="_s3z6qwr9xkd7" w:id="39"/>
      <w:bookmarkEnd w:id="39"/>
      <w:r w:rsidDel="00000000" w:rsidR="00000000" w:rsidRPr="00000000">
        <w:rPr>
          <w:rtl w:val="0"/>
        </w:rPr>
        <w:t xml:space="preserve">Важность нутритивного баланса</w:t>
      </w:r>
    </w:p>
    <w:p w:rsidR="00000000" w:rsidDel="00000000" w:rsidP="00000000" w:rsidRDefault="00000000" w:rsidRPr="00000000" w14:paraId="0000009B">
      <w:pPr>
        <w:jc w:val="both"/>
        <w:rPr/>
      </w:pPr>
      <w:r w:rsidDel="00000000" w:rsidR="00000000" w:rsidRPr="00000000">
        <w:rPr>
          <w:rtl w:val="0"/>
        </w:rPr>
        <w:t xml:space="preserve">Несмотря на преимущества IG и ОК, их долгосрочное применение может привести к дефициту белков, витаминов и минералов, если рацион не сбалансирован. Основные рекомендации:</w:t>
      </w:r>
    </w:p>
    <w:p w:rsidR="00000000" w:rsidDel="00000000" w:rsidP="00000000" w:rsidRDefault="00000000" w:rsidRPr="00000000" w14:paraId="0000009C">
      <w:pPr>
        <w:numPr>
          <w:ilvl w:val="0"/>
          <w:numId w:val="3"/>
        </w:numPr>
        <w:ind w:left="720" w:hanging="360"/>
        <w:jc w:val="both"/>
      </w:pPr>
      <w:r w:rsidDel="00000000" w:rsidR="00000000" w:rsidRPr="00000000">
        <w:rPr>
          <w:rtl w:val="0"/>
        </w:rPr>
        <w:t xml:space="preserve">Употребление белка (1,2-1,5 г/кг массы тела) для предотвращения саркопении;</w:t>
      </w:r>
    </w:p>
    <w:p w:rsidR="00000000" w:rsidDel="00000000" w:rsidP="00000000" w:rsidRDefault="00000000" w:rsidRPr="00000000" w14:paraId="0000009D">
      <w:pPr>
        <w:numPr>
          <w:ilvl w:val="0"/>
          <w:numId w:val="3"/>
        </w:numPr>
        <w:ind w:left="720" w:hanging="360"/>
        <w:jc w:val="both"/>
      </w:pPr>
      <w:r w:rsidDel="00000000" w:rsidR="00000000" w:rsidRPr="00000000">
        <w:rPr>
          <w:rtl w:val="0"/>
        </w:rPr>
        <w:t xml:space="preserve">Адекватное потребление омега-3 жирных кислот, витаминов группы B, железа и магния;</w:t>
      </w:r>
    </w:p>
    <w:p w:rsidR="00000000" w:rsidDel="00000000" w:rsidP="00000000" w:rsidRDefault="00000000" w:rsidRPr="00000000" w14:paraId="0000009E">
      <w:pPr>
        <w:numPr>
          <w:ilvl w:val="0"/>
          <w:numId w:val="3"/>
        </w:numPr>
        <w:ind w:left="720" w:hanging="360"/>
        <w:jc w:val="both"/>
      </w:pPr>
      <w:r w:rsidDel="00000000" w:rsidR="00000000" w:rsidRPr="00000000">
        <w:rPr>
          <w:rtl w:val="0"/>
        </w:rPr>
        <w:t xml:space="preserve">Достаточное потребление клетчатки для поддержания микробиоты кишечника.</w:t>
      </w:r>
    </w:p>
    <w:p w:rsidR="00000000" w:rsidDel="00000000" w:rsidP="00000000" w:rsidRDefault="00000000" w:rsidRPr="00000000" w14:paraId="0000009F">
      <w:pPr>
        <w:numPr>
          <w:ilvl w:val="0"/>
          <w:numId w:val="3"/>
        </w:numPr>
        <w:ind w:left="720" w:hanging="360"/>
        <w:jc w:val="both"/>
        <w:rPr>
          <w:u w:val="none"/>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Интервальное голодание (16:8) и ограничение калорий являются мощными инструментами для активации аутофагии и поддержания метаболического здоровья. Однако их применение требует контроля нутритивного баланса, чтобы избежать побочных эффектов. Перспективные исследования должны быть направлены на изучение индивидуальных различий в ответе на эти диетические стратегии и разработку персонализированных подходов к питанию.</w:t>
      </w:r>
    </w:p>
    <w:p w:rsidR="00000000" w:rsidDel="00000000" w:rsidP="00000000" w:rsidRDefault="00000000" w:rsidRPr="00000000" w14:paraId="000000A1">
      <w:pPr>
        <w:ind w:left="0" w:firstLine="0"/>
        <w:jc w:val="both"/>
        <w:rPr/>
      </w:pPr>
      <w:r w:rsidDel="00000000" w:rsidR="00000000" w:rsidRPr="00000000">
        <w:rPr>
          <w:rtl w:val="0"/>
        </w:rPr>
      </w:r>
    </w:p>
    <w:p w:rsidR="00000000" w:rsidDel="00000000" w:rsidP="00000000" w:rsidRDefault="00000000" w:rsidRPr="00000000" w14:paraId="000000A2">
      <w:pPr>
        <w:numPr>
          <w:ilvl w:val="0"/>
          <w:numId w:val="8"/>
        </w:numPr>
        <w:ind w:left="720" w:hanging="360"/>
        <w:jc w:val="both"/>
      </w:pPr>
      <w:r w:rsidDel="00000000" w:rsidR="00000000" w:rsidRPr="00000000">
        <w:rPr>
          <w:rtl w:val="0"/>
        </w:rPr>
        <w:t xml:space="preserve">Этические дилеммы: Технологии продления жизни могут углубить социальное неравенство. Например, терапия стволовыми клетками доступна лишь при бюджете от $500 тыс.</w:t>
      </w:r>
    </w:p>
    <w:p w:rsidR="00000000" w:rsidDel="00000000" w:rsidP="00000000" w:rsidRDefault="00000000" w:rsidRPr="00000000" w14:paraId="000000A3">
      <w:pPr>
        <w:numPr>
          <w:ilvl w:val="0"/>
          <w:numId w:val="8"/>
        </w:numPr>
        <w:ind w:left="720" w:hanging="360"/>
        <w:jc w:val="both"/>
      </w:pPr>
      <w:r w:rsidDel="00000000" w:rsidR="00000000" w:rsidRPr="00000000">
        <w:rPr>
          <w:rtl w:val="0"/>
        </w:rPr>
        <w:t xml:space="preserve">Демографические риски: Увеличение продолжительности жизни без решения проблем пенсионных систем и перенаселения приведет к экономическим кризисам.</w:t>
      </w:r>
    </w:p>
    <w:p w:rsidR="00000000" w:rsidDel="00000000" w:rsidP="00000000" w:rsidRDefault="00000000" w:rsidRPr="00000000" w14:paraId="000000A4">
      <w:pPr>
        <w:pStyle w:val="Heading1"/>
        <w:jc w:val="both"/>
        <w:rPr/>
      </w:pPr>
      <w:bookmarkStart w:colFirst="0" w:colLast="0" w:name="_g22hfcn67akn" w:id="40"/>
      <w:bookmarkEnd w:id="40"/>
      <w:r w:rsidDel="00000000" w:rsidR="00000000" w:rsidRPr="00000000">
        <w:rPr>
          <w:rtl w:val="0"/>
        </w:rPr>
        <w:t xml:space="preserve">Заключение</w:t>
      </w:r>
    </w:p>
    <w:p w:rsidR="00000000" w:rsidDel="00000000" w:rsidP="00000000" w:rsidRDefault="00000000" w:rsidRPr="00000000" w14:paraId="000000A5">
      <w:pPr>
        <w:jc w:val="both"/>
        <w:rPr/>
      </w:pPr>
      <w:r w:rsidDel="00000000" w:rsidR="00000000" w:rsidRPr="00000000">
        <w:rPr>
          <w:rtl w:val="0"/>
        </w:rPr>
        <w:t xml:space="preserve">От глиняных табличек с рецептами бессмертия до редактирования эпигенома — путь познания старения отражает эволюцию человеческой мысли. Современная наука стоит на пороге революции: комбинация ИИ, генной инженерии и клеточных технологий позволяет впервые в истории целенаправленно воздействовать на базовые механизмы старения. Однако превращение этих достижений в общественное благо требует не только научных прорывов, но и пересмотра социальных парадигм. Будущее геронтологии лежит на стыке междисциплинарных исследований, этического регулирования и глобального сотрудничества.</w:t>
      </w:r>
    </w:p>
    <w:p w:rsidR="00000000" w:rsidDel="00000000" w:rsidP="00000000" w:rsidRDefault="00000000" w:rsidRPr="00000000" w14:paraId="000000A6">
      <w:pPr>
        <w:pStyle w:val="Heading1"/>
        <w:jc w:val="both"/>
        <w:rPr/>
      </w:pPr>
      <w:bookmarkStart w:colFirst="0" w:colLast="0" w:name="_i4w6mm9jzgmj" w:id="41"/>
      <w:bookmarkEnd w:id="41"/>
      <w:r w:rsidDel="00000000" w:rsidR="00000000" w:rsidRPr="00000000">
        <w:rPr>
          <w:rtl w:val="0"/>
        </w:rPr>
        <w:t xml:space="preserve">Ссылки:</w:t>
      </w:r>
    </w:p>
    <w:p w:rsidR="00000000" w:rsidDel="00000000" w:rsidP="00000000" w:rsidRDefault="00000000" w:rsidRPr="00000000" w14:paraId="000000A7">
      <w:pPr>
        <w:numPr>
          <w:ilvl w:val="0"/>
          <w:numId w:val="7"/>
        </w:numPr>
        <w:ind w:left="720" w:hanging="360"/>
        <w:jc w:val="both"/>
      </w:pPr>
      <w:r w:rsidDel="00000000" w:rsidR="00000000" w:rsidRPr="00000000">
        <w:rPr>
          <w:rtl w:val="0"/>
        </w:rPr>
        <w:t xml:space="preserve">Abegglen, L. M., Caulin, A. F., Chan, A., Lee, K., Robinson, R., Campbell, M. S., ... &amp; Schiffman, J. D. (2015). Potential mechanisms for cancer resistance in elephants and comparative cellular response to DNA damage in humans. JAMA, 314(17), 1850–1860. </w:t>
      </w:r>
      <w:hyperlink r:id="rId8">
        <w:r w:rsidDel="00000000" w:rsidR="00000000" w:rsidRPr="00000000">
          <w:rPr>
            <w:color w:val="1155cc"/>
            <w:u w:val="single"/>
            <w:rtl w:val="0"/>
          </w:rPr>
          <w:t xml:space="preserve">https://doi.org/10.1001/jama.2015.13134</w:t>
        </w:r>
      </w:hyperlink>
      <w:r w:rsidDel="00000000" w:rsidR="00000000" w:rsidRPr="00000000">
        <w:rPr>
          <w:rtl w:val="0"/>
        </w:rPr>
      </w:r>
    </w:p>
    <w:p w:rsidR="00000000" w:rsidDel="00000000" w:rsidP="00000000" w:rsidRDefault="00000000" w:rsidRPr="00000000" w14:paraId="000000A8">
      <w:pPr>
        <w:numPr>
          <w:ilvl w:val="0"/>
          <w:numId w:val="7"/>
        </w:numPr>
        <w:ind w:left="720" w:hanging="360"/>
        <w:jc w:val="both"/>
      </w:pPr>
      <w:r w:rsidDel="00000000" w:rsidR="00000000" w:rsidRPr="00000000">
        <w:rPr>
          <w:rtl w:val="0"/>
        </w:rPr>
        <w:t xml:space="preserve">Avicenna (1025). The Canon of Medicine (Trans. 1999). Kazi Publications.</w:t>
      </w:r>
    </w:p>
    <w:p w:rsidR="00000000" w:rsidDel="00000000" w:rsidP="00000000" w:rsidRDefault="00000000" w:rsidRPr="00000000" w14:paraId="000000A9">
      <w:pPr>
        <w:numPr>
          <w:ilvl w:val="0"/>
          <w:numId w:val="7"/>
        </w:numPr>
        <w:ind w:left="720" w:hanging="360"/>
        <w:jc w:val="both"/>
      </w:pPr>
      <w:r w:rsidDel="00000000" w:rsidR="00000000" w:rsidRPr="00000000">
        <w:rPr>
          <w:rtl w:val="0"/>
        </w:rPr>
        <w:t xml:space="preserve">Beyret, E., Liao, H. K., Yamamoto, M., Hernandez-Benitez, R., Fu, Y., Erikson, G., ... &amp; Belmonte, J. C. I. (2019). Single-dose CRISPR-Cas9 therapy extends lifespan of mice with Hutchinson-Gilford progeria syndrome. Nature Medicine, 25(3), 419–422. </w:t>
      </w:r>
      <w:hyperlink r:id="rId9">
        <w:r w:rsidDel="00000000" w:rsidR="00000000" w:rsidRPr="00000000">
          <w:rPr>
            <w:color w:val="1155cc"/>
            <w:u w:val="single"/>
            <w:rtl w:val="0"/>
          </w:rPr>
          <w:t xml:space="preserve">https://doi.org/10.1038/s41591-019-0348-0</w:t>
        </w:r>
      </w:hyperlink>
      <w:r w:rsidDel="00000000" w:rsidR="00000000" w:rsidRPr="00000000">
        <w:rPr>
          <w:rtl w:val="0"/>
        </w:rPr>
      </w:r>
    </w:p>
    <w:p w:rsidR="00000000" w:rsidDel="00000000" w:rsidP="00000000" w:rsidRDefault="00000000" w:rsidRPr="00000000" w14:paraId="000000AA">
      <w:pPr>
        <w:numPr>
          <w:ilvl w:val="0"/>
          <w:numId w:val="7"/>
        </w:numPr>
        <w:ind w:left="720" w:hanging="360"/>
        <w:jc w:val="both"/>
      </w:pPr>
      <w:r w:rsidDel="00000000" w:rsidR="00000000" w:rsidRPr="00000000">
        <w:rPr>
          <w:rtl w:val="0"/>
        </w:rPr>
        <w:t xml:space="preserve">Bryan, C. P. (1930). The Papyrus Ebers. Geoffrey Bles.</w:t>
      </w:r>
    </w:p>
    <w:p w:rsidR="00000000" w:rsidDel="00000000" w:rsidP="00000000" w:rsidRDefault="00000000" w:rsidRPr="00000000" w14:paraId="000000AB">
      <w:pPr>
        <w:numPr>
          <w:ilvl w:val="0"/>
          <w:numId w:val="7"/>
        </w:numPr>
        <w:ind w:left="720" w:hanging="360"/>
        <w:jc w:val="both"/>
      </w:pPr>
      <w:r w:rsidDel="00000000" w:rsidR="00000000" w:rsidRPr="00000000">
        <w:rPr>
          <w:rtl w:val="0"/>
        </w:rPr>
        <w:t xml:space="preserve">Buffon, G.-L. (1749). Histoire Naturelle. Imprimerie Royale.</w:t>
      </w:r>
    </w:p>
    <w:p w:rsidR="00000000" w:rsidDel="00000000" w:rsidP="00000000" w:rsidRDefault="00000000" w:rsidRPr="00000000" w14:paraId="000000AC">
      <w:pPr>
        <w:numPr>
          <w:ilvl w:val="0"/>
          <w:numId w:val="7"/>
        </w:numPr>
        <w:ind w:left="720" w:hanging="360"/>
        <w:jc w:val="both"/>
      </w:pPr>
      <w:r w:rsidDel="00000000" w:rsidR="00000000" w:rsidRPr="00000000">
        <w:rPr>
          <w:rtl w:val="0"/>
        </w:rPr>
        <w:t xml:space="preserve">Campany, R. F. (2009). Making Transcendents: Ascetics and Social Memory in Early Medieval China. University of Hawaii Press.</w:t>
      </w:r>
    </w:p>
    <w:p w:rsidR="00000000" w:rsidDel="00000000" w:rsidP="00000000" w:rsidRDefault="00000000" w:rsidRPr="00000000" w14:paraId="000000AD">
      <w:pPr>
        <w:numPr>
          <w:ilvl w:val="0"/>
          <w:numId w:val="7"/>
        </w:numPr>
        <w:ind w:left="720" w:hanging="360"/>
        <w:jc w:val="both"/>
      </w:pPr>
      <w:r w:rsidDel="00000000" w:rsidR="00000000" w:rsidRPr="00000000">
        <w:rPr>
          <w:rtl w:val="0"/>
        </w:rPr>
        <w:t xml:space="preserve">Caplan, A. L. (2024). The ethics of aging: Should we cure "old age"? Journal of Medical Ethics, 50(1), 1–4. </w:t>
      </w:r>
      <w:hyperlink r:id="rId10">
        <w:r w:rsidDel="00000000" w:rsidR="00000000" w:rsidRPr="00000000">
          <w:rPr>
            <w:color w:val="1155cc"/>
            <w:u w:val="single"/>
            <w:rtl w:val="0"/>
          </w:rPr>
          <w:t xml:space="preserve">https://doi.org/10.1136/jme-2023-109812</w:t>
        </w:r>
      </w:hyperlink>
      <w:r w:rsidDel="00000000" w:rsidR="00000000" w:rsidRPr="00000000">
        <w:rPr>
          <w:rtl w:val="0"/>
        </w:rPr>
      </w:r>
    </w:p>
    <w:p w:rsidR="00000000" w:rsidDel="00000000" w:rsidP="00000000" w:rsidRDefault="00000000" w:rsidRPr="00000000" w14:paraId="000000AE">
      <w:pPr>
        <w:numPr>
          <w:ilvl w:val="0"/>
          <w:numId w:val="7"/>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F">
      <w:pPr>
        <w:numPr>
          <w:ilvl w:val="0"/>
          <w:numId w:val="7"/>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B0">
      <w:pPr>
        <w:numPr>
          <w:ilvl w:val="0"/>
          <w:numId w:val="7"/>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B1">
      <w:pPr>
        <w:numPr>
          <w:ilvl w:val="0"/>
          <w:numId w:val="7"/>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B2">
      <w:pPr>
        <w:numPr>
          <w:ilvl w:val="0"/>
          <w:numId w:val="7"/>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B3">
      <w:pPr>
        <w:numPr>
          <w:ilvl w:val="0"/>
          <w:numId w:val="7"/>
        </w:numPr>
        <w:ind w:left="720" w:hanging="360"/>
        <w:jc w:val="both"/>
      </w:pPr>
      <w:r w:rsidDel="00000000" w:rsidR="00000000" w:rsidRPr="00000000">
        <w:rPr>
          <w:rtl w:val="0"/>
        </w:rPr>
        <w:t xml:space="preserve">ClinicalTrials.gov (2024). Phase III Study of Navitoclax in Idiopathic Pulmonary Fibrosis (NCTXXXXXXX). </w:t>
      </w:r>
      <w:hyperlink r:id="rId11">
        <w:r w:rsidDel="00000000" w:rsidR="00000000" w:rsidRPr="00000000">
          <w:rPr>
            <w:color w:val="1155cc"/>
            <w:u w:val="single"/>
            <w:rtl w:val="0"/>
          </w:rPr>
          <w:t xml:space="preserve">https://clinicaltrials.gov/ct2/show/NCTXXXXXXX</w:t>
        </w:r>
      </w:hyperlink>
      <w:r w:rsidDel="00000000" w:rsidR="00000000" w:rsidRPr="00000000">
        <w:rPr>
          <w:rtl w:val="0"/>
        </w:rPr>
      </w:r>
    </w:p>
    <w:p w:rsidR="00000000" w:rsidDel="00000000" w:rsidP="00000000" w:rsidRDefault="00000000" w:rsidRPr="00000000" w14:paraId="000000B4">
      <w:pPr>
        <w:numPr>
          <w:ilvl w:val="0"/>
          <w:numId w:val="7"/>
        </w:numPr>
        <w:ind w:left="720" w:hanging="360"/>
        <w:jc w:val="both"/>
      </w:pPr>
      <w:r w:rsidDel="00000000" w:rsidR="00000000" w:rsidRPr="00000000">
        <w:rPr>
          <w:rtl w:val="0"/>
        </w:rPr>
        <w:t xml:space="preserve">Darwin, C. (1859). On the Origin of Species. John Murray.</w:t>
      </w:r>
    </w:p>
    <w:p w:rsidR="00000000" w:rsidDel="00000000" w:rsidP="00000000" w:rsidRDefault="00000000" w:rsidRPr="00000000" w14:paraId="000000B5">
      <w:pPr>
        <w:numPr>
          <w:ilvl w:val="0"/>
          <w:numId w:val="7"/>
        </w:numPr>
        <w:ind w:left="720" w:hanging="360"/>
        <w:jc w:val="both"/>
      </w:pPr>
      <w:r w:rsidDel="00000000" w:rsidR="00000000" w:rsidRPr="00000000">
        <w:rPr>
          <w:rtl w:val="0"/>
        </w:rPr>
        <w:t xml:space="preserve">DeepMind (2024). AlphaFold 3: Predicting protein-ligand interactions at scale. </w:t>
      </w:r>
      <w:hyperlink r:id="rId12">
        <w:r w:rsidDel="00000000" w:rsidR="00000000" w:rsidRPr="00000000">
          <w:rPr>
            <w:color w:val="1155cc"/>
            <w:u w:val="single"/>
            <w:rtl w:val="0"/>
          </w:rPr>
          <w:t xml:space="preserve">https://deepmind.com/alphafold</w:t>
        </w:r>
      </w:hyperlink>
      <w:r w:rsidDel="00000000" w:rsidR="00000000" w:rsidRPr="00000000">
        <w:rPr>
          <w:rtl w:val="0"/>
        </w:rPr>
      </w:r>
    </w:p>
    <w:p w:rsidR="00000000" w:rsidDel="00000000" w:rsidP="00000000" w:rsidRDefault="00000000" w:rsidRPr="00000000" w14:paraId="000000B6">
      <w:pPr>
        <w:numPr>
          <w:ilvl w:val="0"/>
          <w:numId w:val="7"/>
        </w:numPr>
        <w:ind w:left="720" w:hanging="360"/>
        <w:jc w:val="both"/>
      </w:pPr>
      <w:r w:rsidDel="00000000" w:rsidR="00000000" w:rsidRPr="00000000">
        <w:rPr>
          <w:rtl w:val="0"/>
        </w:rPr>
        <w:t xml:space="preserve">Dubal, D. B., Yokoyama, J. S., Zhu, L., Broestl, L., Worden, K., Wang, D., ... &amp; Mucke, L. (2014). Life extension factor klotho enhances cognition. Cell Reports, 7(4), 1065–1076. </w:t>
      </w:r>
      <w:hyperlink r:id="rId13">
        <w:r w:rsidDel="00000000" w:rsidR="00000000" w:rsidRPr="00000000">
          <w:rPr>
            <w:color w:val="1155cc"/>
            <w:u w:val="single"/>
            <w:rtl w:val="0"/>
          </w:rPr>
          <w:t xml:space="preserve">https://doi.org/10.1016/j.celrep.2014.03.076</w:t>
        </w:r>
      </w:hyperlink>
      <w:r w:rsidDel="00000000" w:rsidR="00000000" w:rsidRPr="00000000">
        <w:rPr>
          <w:rtl w:val="0"/>
        </w:rPr>
      </w:r>
    </w:p>
    <w:p w:rsidR="00000000" w:rsidDel="00000000" w:rsidP="00000000" w:rsidRDefault="00000000" w:rsidRPr="00000000" w14:paraId="000000B7">
      <w:pPr>
        <w:numPr>
          <w:ilvl w:val="0"/>
          <w:numId w:val="7"/>
        </w:numPr>
        <w:ind w:left="720" w:hanging="360"/>
        <w:jc w:val="both"/>
      </w:pPr>
      <w:r w:rsidDel="00000000" w:rsidR="00000000" w:rsidRPr="00000000">
        <w:rPr>
          <w:rtl w:val="0"/>
        </w:rPr>
        <w:t xml:space="preserve">Garagnani, P., Bacalini, M. G., Pirazzini, C., Gori, D., Giuliani, C., Mari, D., ... &amp; Franceschi, C. (2012). Methylation of ELOVL2 gene as a new epigenetic marker of age. Aging Cell, 11(6), 1132–1134. </w:t>
      </w:r>
      <w:hyperlink r:id="rId14">
        <w:r w:rsidDel="00000000" w:rsidR="00000000" w:rsidRPr="00000000">
          <w:rPr>
            <w:color w:val="1155cc"/>
            <w:u w:val="single"/>
            <w:rtl w:val="0"/>
          </w:rPr>
          <w:t xml:space="preserve">https://doi.org/10.1111/acel.12005</w:t>
        </w:r>
      </w:hyperlink>
      <w:r w:rsidDel="00000000" w:rsidR="00000000" w:rsidRPr="00000000">
        <w:rPr>
          <w:rtl w:val="0"/>
        </w:rPr>
      </w:r>
    </w:p>
    <w:p w:rsidR="00000000" w:rsidDel="00000000" w:rsidP="00000000" w:rsidRDefault="00000000" w:rsidRPr="00000000" w14:paraId="000000B8">
      <w:pPr>
        <w:numPr>
          <w:ilvl w:val="0"/>
          <w:numId w:val="7"/>
        </w:numPr>
        <w:ind w:left="720" w:hanging="360"/>
        <w:jc w:val="both"/>
      </w:pPr>
      <w:r w:rsidDel="00000000" w:rsidR="00000000" w:rsidRPr="00000000">
        <w:rPr>
          <w:rtl w:val="0"/>
        </w:rPr>
        <w:t xml:space="preserve">García-Cao, I., García-Cao, M., Martín-Caballero, J., Criado, L. M., Klatt, P., Flores, J. M., ... &amp; Blasco, M. A. (2002). "Super p53" mice exhibit enhanced DNA damage response, are tumor resistant and age normally. The EMBO Journal, 21(22), 6225–6235. </w:t>
      </w:r>
      <w:hyperlink r:id="rId15">
        <w:r w:rsidDel="00000000" w:rsidR="00000000" w:rsidRPr="00000000">
          <w:rPr>
            <w:color w:val="1155cc"/>
            <w:u w:val="single"/>
            <w:rtl w:val="0"/>
          </w:rPr>
          <w:t xml:space="preserve">https://doi.org/10.1093/emboj/cdf595</w:t>
        </w:r>
      </w:hyperlink>
      <w:r w:rsidDel="00000000" w:rsidR="00000000" w:rsidRPr="00000000">
        <w:rPr>
          <w:rtl w:val="0"/>
        </w:rPr>
      </w:r>
    </w:p>
    <w:p w:rsidR="00000000" w:rsidDel="00000000" w:rsidP="00000000" w:rsidRDefault="00000000" w:rsidRPr="00000000" w14:paraId="000000B9">
      <w:pPr>
        <w:numPr>
          <w:ilvl w:val="0"/>
          <w:numId w:val="7"/>
        </w:numPr>
        <w:ind w:left="720" w:hanging="360"/>
        <w:jc w:val="both"/>
      </w:pPr>
      <w:r w:rsidDel="00000000" w:rsidR="00000000" w:rsidRPr="00000000">
        <w:rPr>
          <w:rtl w:val="0"/>
        </w:rPr>
        <w:t xml:space="preserve">Greider, C. W., &amp; Blackburn, E. H. (1985). Identification of a specific telomere terminal transferase activity in Tetrahymena extracts. Cell, 43(2), 405–413. </w:t>
      </w:r>
      <w:hyperlink r:id="rId16">
        <w:r w:rsidDel="00000000" w:rsidR="00000000" w:rsidRPr="00000000">
          <w:rPr>
            <w:color w:val="1155cc"/>
            <w:u w:val="single"/>
            <w:rtl w:val="0"/>
          </w:rPr>
          <w:t xml:space="preserve">https://doi.org/10.1016/0092-8674(85)90170-7</w:t>
        </w:r>
      </w:hyperlink>
      <w:r w:rsidDel="00000000" w:rsidR="00000000" w:rsidRPr="00000000">
        <w:rPr>
          <w:rtl w:val="0"/>
        </w:rPr>
      </w:r>
    </w:p>
    <w:p w:rsidR="00000000" w:rsidDel="00000000" w:rsidP="00000000" w:rsidRDefault="00000000" w:rsidRPr="00000000" w14:paraId="000000BA">
      <w:pPr>
        <w:numPr>
          <w:ilvl w:val="0"/>
          <w:numId w:val="7"/>
        </w:numPr>
        <w:ind w:left="720" w:hanging="360"/>
        <w:jc w:val="both"/>
      </w:pPr>
      <w:r w:rsidDel="00000000" w:rsidR="00000000" w:rsidRPr="00000000">
        <w:rPr>
          <w:rtl w:val="0"/>
        </w:rPr>
        <w:t xml:space="preserve">Harman, D. (1956). Aging: A theory based on free radical and radiation chemistry. Journal of Gerontology, 11(3), 298–300. </w:t>
      </w:r>
      <w:hyperlink r:id="rId17">
        <w:r w:rsidDel="00000000" w:rsidR="00000000" w:rsidRPr="00000000">
          <w:rPr>
            <w:color w:val="1155cc"/>
            <w:u w:val="single"/>
            <w:rtl w:val="0"/>
          </w:rPr>
          <w:t xml:space="preserve">https://doi.org/10.1093/geronj/11.3.298</w:t>
        </w:r>
      </w:hyperlink>
      <w:r w:rsidDel="00000000" w:rsidR="00000000" w:rsidRPr="00000000">
        <w:rPr>
          <w:rtl w:val="0"/>
        </w:rPr>
      </w:r>
    </w:p>
    <w:p w:rsidR="00000000" w:rsidDel="00000000" w:rsidP="00000000" w:rsidRDefault="00000000" w:rsidRPr="00000000" w14:paraId="000000BB">
      <w:pPr>
        <w:numPr>
          <w:ilvl w:val="0"/>
          <w:numId w:val="7"/>
        </w:numPr>
        <w:ind w:left="720" w:hanging="360"/>
        <w:jc w:val="both"/>
      </w:pPr>
      <w:r w:rsidDel="00000000" w:rsidR="00000000" w:rsidRPr="00000000">
        <w:rPr>
          <w:rtl w:val="0"/>
        </w:rPr>
        <w:t xml:space="preserve">Hayflick, L., &amp; Moorhead, P. S. (1961). The serial cultivation of human diploid cell strains. Experimental Cell Research, 25(3), 585–621. </w:t>
      </w:r>
      <w:hyperlink r:id="rId18">
        <w:r w:rsidDel="00000000" w:rsidR="00000000" w:rsidRPr="00000000">
          <w:rPr>
            <w:color w:val="1155cc"/>
            <w:u w:val="single"/>
            <w:rtl w:val="0"/>
          </w:rPr>
          <w:t xml:space="preserve">https://doi.org/10.1016/0014-4827(61)90192-6</w:t>
        </w:r>
      </w:hyperlink>
      <w:r w:rsidDel="00000000" w:rsidR="00000000" w:rsidRPr="00000000">
        <w:rPr>
          <w:rtl w:val="0"/>
        </w:rPr>
      </w:r>
    </w:p>
    <w:p w:rsidR="00000000" w:rsidDel="00000000" w:rsidP="00000000" w:rsidRDefault="00000000" w:rsidRPr="00000000" w14:paraId="000000BC">
      <w:pPr>
        <w:numPr>
          <w:ilvl w:val="0"/>
          <w:numId w:val="7"/>
        </w:numPr>
        <w:ind w:left="720" w:hanging="360"/>
        <w:jc w:val="both"/>
      </w:pPr>
      <w:r w:rsidDel="00000000" w:rsidR="00000000" w:rsidRPr="00000000">
        <w:rPr>
          <w:rtl w:val="0"/>
        </w:rPr>
        <w:t xml:space="preserve">Hoeijmakers, J. H. J. (2009). DNA damage, aging, and cancer. New England Journal of Medicine, 361(15), 1475–1485. </w:t>
      </w:r>
      <w:hyperlink r:id="rId19">
        <w:r w:rsidDel="00000000" w:rsidR="00000000" w:rsidRPr="00000000">
          <w:rPr>
            <w:color w:val="1155cc"/>
            <w:u w:val="single"/>
            <w:rtl w:val="0"/>
          </w:rPr>
          <w:t xml:space="preserve">https://doi.org/10.1056/NEJMra0804615</w:t>
        </w:r>
      </w:hyperlink>
      <w:r w:rsidDel="00000000" w:rsidR="00000000" w:rsidRPr="00000000">
        <w:rPr>
          <w:rtl w:val="0"/>
        </w:rPr>
      </w:r>
    </w:p>
    <w:p w:rsidR="00000000" w:rsidDel="00000000" w:rsidP="00000000" w:rsidRDefault="00000000" w:rsidRPr="00000000" w14:paraId="000000BD">
      <w:pPr>
        <w:numPr>
          <w:ilvl w:val="0"/>
          <w:numId w:val="7"/>
        </w:numPr>
        <w:ind w:left="720" w:hanging="360"/>
        <w:jc w:val="both"/>
      </w:pPr>
      <w:r w:rsidDel="00000000" w:rsidR="00000000" w:rsidRPr="00000000">
        <w:rPr>
          <w:rtl w:val="0"/>
        </w:rPr>
        <w:t xml:space="preserve">Horvath, S. (2013). DNA methylation age of human tissues and cell types. Genome Biology, 14(10), R115. </w:t>
      </w:r>
      <w:hyperlink r:id="rId20">
        <w:r w:rsidDel="00000000" w:rsidR="00000000" w:rsidRPr="00000000">
          <w:rPr>
            <w:color w:val="1155cc"/>
            <w:u w:val="single"/>
            <w:rtl w:val="0"/>
          </w:rPr>
          <w:t xml:space="preserve">https://doi.org/10.1186/gb-2013-14-10-r115</w:t>
        </w:r>
      </w:hyperlink>
      <w:r w:rsidDel="00000000" w:rsidR="00000000" w:rsidRPr="00000000">
        <w:rPr>
          <w:rtl w:val="0"/>
        </w:rPr>
      </w:r>
    </w:p>
    <w:p w:rsidR="00000000" w:rsidDel="00000000" w:rsidP="00000000" w:rsidRDefault="00000000" w:rsidRPr="00000000" w14:paraId="000000BE">
      <w:pPr>
        <w:numPr>
          <w:ilvl w:val="0"/>
          <w:numId w:val="7"/>
        </w:numPr>
        <w:ind w:left="720" w:hanging="360"/>
        <w:jc w:val="both"/>
      </w:pPr>
      <w:r w:rsidDel="00000000" w:rsidR="00000000" w:rsidRPr="00000000">
        <w:rPr>
          <w:rtl w:val="0"/>
        </w:rPr>
        <w:t xml:space="preserve">Insilico Medicine (2024). AI-Discovered mTOR Inhibitor Enters Clinical Trials. </w:t>
      </w:r>
      <w:hyperlink r:id="rId21">
        <w:r w:rsidDel="00000000" w:rsidR="00000000" w:rsidRPr="00000000">
          <w:rPr>
            <w:color w:val="1155cc"/>
            <w:u w:val="single"/>
            <w:rtl w:val="0"/>
          </w:rPr>
          <w:t xml:space="preserve">https://insilico.com/news/mtor-inhibitor</w:t>
        </w:r>
      </w:hyperlink>
      <w:r w:rsidDel="00000000" w:rsidR="00000000" w:rsidRPr="00000000">
        <w:rPr>
          <w:rtl w:val="0"/>
        </w:rPr>
      </w:r>
    </w:p>
    <w:p w:rsidR="00000000" w:rsidDel="00000000" w:rsidP="00000000" w:rsidRDefault="00000000" w:rsidRPr="00000000" w14:paraId="000000BF">
      <w:pPr>
        <w:numPr>
          <w:ilvl w:val="0"/>
          <w:numId w:val="7"/>
        </w:numPr>
        <w:ind w:left="720" w:hanging="360"/>
        <w:jc w:val="both"/>
      </w:pPr>
      <w:r w:rsidDel="00000000" w:rsidR="00000000" w:rsidRPr="00000000">
        <w:rPr>
          <w:rtl w:val="0"/>
        </w:rPr>
        <w:t xml:space="preserve">International Longevity Alliance (2025). Global Policy Framework on Anti-Aging Interventions. </w:t>
      </w:r>
      <w:hyperlink r:id="rId22">
        <w:r w:rsidDel="00000000" w:rsidR="00000000" w:rsidRPr="00000000">
          <w:rPr>
            <w:color w:val="1155cc"/>
            <w:u w:val="single"/>
            <w:rtl w:val="0"/>
          </w:rPr>
          <w:t xml:space="preserve">https://longevityalliance.org/policy</w:t>
        </w:r>
      </w:hyperlink>
      <w:r w:rsidDel="00000000" w:rsidR="00000000" w:rsidRPr="00000000">
        <w:rPr>
          <w:rtl w:val="0"/>
        </w:rPr>
      </w:r>
    </w:p>
    <w:p w:rsidR="00000000" w:rsidDel="00000000" w:rsidP="00000000" w:rsidRDefault="00000000" w:rsidRPr="00000000" w14:paraId="000000C0">
      <w:pPr>
        <w:numPr>
          <w:ilvl w:val="0"/>
          <w:numId w:val="7"/>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1">
      <w:pPr>
        <w:numPr>
          <w:ilvl w:val="0"/>
          <w:numId w:val="7"/>
        </w:numPr>
        <w:ind w:left="720" w:hanging="360"/>
        <w:jc w:val="both"/>
      </w:pPr>
      <w:r w:rsidDel="00000000" w:rsidR="00000000" w:rsidRPr="00000000">
        <w:rPr>
          <w:rtl w:val="0"/>
        </w:rPr>
        <w:t xml:space="preserve">Jouanna, J. (2012). Greek Medicine from Hippocrates to Galen. Brill.</w:t>
      </w:r>
    </w:p>
    <w:p w:rsidR="00000000" w:rsidDel="00000000" w:rsidP="00000000" w:rsidRDefault="00000000" w:rsidRPr="00000000" w14:paraId="000000C2">
      <w:pPr>
        <w:numPr>
          <w:ilvl w:val="0"/>
          <w:numId w:val="7"/>
        </w:numPr>
        <w:ind w:left="720" w:hanging="360"/>
        <w:jc w:val="both"/>
      </w:pPr>
      <w:r w:rsidDel="00000000" w:rsidR="00000000" w:rsidRPr="00000000">
        <w:rPr>
          <w:rtl w:val="0"/>
        </w:rPr>
        <w:t xml:space="preserve">Kanfi, Y., Naiman, S., Amir, G., Peshti, V., Zinman, G., Nahum, L., ... &amp; Cohen, H. Y. (2012). The sirtuin SIRT6 regulates lifespan in male mice. Nature, 483(7388), 218–221. </w:t>
      </w:r>
      <w:hyperlink r:id="rId23">
        <w:r w:rsidDel="00000000" w:rsidR="00000000" w:rsidRPr="00000000">
          <w:rPr>
            <w:color w:val="1155cc"/>
            <w:u w:val="single"/>
            <w:rtl w:val="0"/>
          </w:rPr>
          <w:t xml:space="preserve">https://doi.org/10.1038/nature10815</w:t>
        </w:r>
      </w:hyperlink>
      <w:r w:rsidDel="00000000" w:rsidR="00000000" w:rsidRPr="00000000">
        <w:rPr>
          <w:rtl w:val="0"/>
        </w:rPr>
      </w:r>
    </w:p>
    <w:p w:rsidR="00000000" w:rsidDel="00000000" w:rsidP="00000000" w:rsidRDefault="00000000" w:rsidRPr="00000000" w14:paraId="000000C3">
      <w:pPr>
        <w:numPr>
          <w:ilvl w:val="0"/>
          <w:numId w:val="7"/>
        </w:numPr>
        <w:ind w:left="720" w:hanging="360"/>
        <w:jc w:val="both"/>
      </w:pPr>
      <w:r w:rsidDel="00000000" w:rsidR="00000000" w:rsidRPr="00000000">
        <w:rPr>
          <w:rtl w:val="0"/>
        </w:rPr>
        <w:t xml:space="preserve">Kenyon, C., Chang, J., Gensch, E., Rudner, A., &amp; Tabtiang, R. (1993). A C. elegans mutant that lives twice as long as wild type. Nature, 366(6454), 461–464. </w:t>
      </w:r>
      <w:hyperlink r:id="rId24">
        <w:r w:rsidDel="00000000" w:rsidR="00000000" w:rsidRPr="00000000">
          <w:rPr>
            <w:color w:val="1155cc"/>
            <w:u w:val="single"/>
            <w:rtl w:val="0"/>
          </w:rPr>
          <w:t xml:space="preserve">https://doi.org/10.1038/366461a0</w:t>
        </w:r>
      </w:hyperlink>
      <w:r w:rsidDel="00000000" w:rsidR="00000000" w:rsidRPr="00000000">
        <w:rPr>
          <w:rtl w:val="0"/>
        </w:rPr>
      </w:r>
    </w:p>
    <w:p w:rsidR="00000000" w:rsidDel="00000000" w:rsidP="00000000" w:rsidRDefault="00000000" w:rsidRPr="00000000" w14:paraId="000000C4">
      <w:pPr>
        <w:numPr>
          <w:ilvl w:val="0"/>
          <w:numId w:val="7"/>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25">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C5">
      <w:pPr>
        <w:numPr>
          <w:ilvl w:val="0"/>
          <w:numId w:val="7"/>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26">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C6">
      <w:pPr>
        <w:numPr>
          <w:ilvl w:val="0"/>
          <w:numId w:val="7"/>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7">
      <w:pPr>
        <w:numPr>
          <w:ilvl w:val="0"/>
          <w:numId w:val="7"/>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8">
      <w:pPr>
        <w:numPr>
          <w:ilvl w:val="0"/>
          <w:numId w:val="7"/>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9">
      <w:pPr>
        <w:numPr>
          <w:ilvl w:val="0"/>
          <w:numId w:val="7"/>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A">
      <w:pPr>
        <w:numPr>
          <w:ilvl w:val="0"/>
          <w:numId w:val="7"/>
        </w:numPr>
        <w:ind w:left="720" w:hanging="360"/>
        <w:jc w:val="both"/>
      </w:pPr>
      <w:r w:rsidDel="00000000" w:rsidR="00000000" w:rsidRPr="00000000">
        <w:rPr>
          <w:rtl w:val="0"/>
        </w:rPr>
        <w:t xml:space="preserve">Lord, C. J., &amp; Ashworth, A. (2017). PARP inhibitors: Synthetic lethality in the clinic. Science, 355(6330), 1152–1158. </w:t>
      </w:r>
      <w:hyperlink r:id="rId27">
        <w:r w:rsidDel="00000000" w:rsidR="00000000" w:rsidRPr="00000000">
          <w:rPr>
            <w:color w:val="1155cc"/>
            <w:u w:val="single"/>
            <w:rtl w:val="0"/>
          </w:rPr>
          <w:t xml:space="preserve">https://doi.org/10.1126/science.aam7344</w:t>
        </w:r>
      </w:hyperlink>
      <w:r w:rsidDel="00000000" w:rsidR="00000000" w:rsidRPr="00000000">
        <w:rPr>
          <w:rtl w:val="0"/>
        </w:rPr>
      </w:r>
    </w:p>
    <w:p w:rsidR="00000000" w:rsidDel="00000000" w:rsidP="00000000" w:rsidRDefault="00000000" w:rsidRPr="00000000" w14:paraId="000000CB">
      <w:pPr>
        <w:numPr>
          <w:ilvl w:val="0"/>
          <w:numId w:val="7"/>
        </w:numPr>
        <w:ind w:left="720" w:hanging="360"/>
        <w:jc w:val="both"/>
      </w:pPr>
      <w:r w:rsidDel="00000000" w:rsidR="00000000" w:rsidRPr="00000000">
        <w:rPr>
          <w:rtl w:val="0"/>
        </w:rPr>
        <w:t xml:space="preserve">Malthus, T. R. (1798). An Essay on the Principle of Population. J. Johnson.</w:t>
      </w:r>
    </w:p>
    <w:p w:rsidR="00000000" w:rsidDel="00000000" w:rsidP="00000000" w:rsidRDefault="00000000" w:rsidRPr="00000000" w14:paraId="000000CC">
      <w:pPr>
        <w:numPr>
          <w:ilvl w:val="0"/>
          <w:numId w:val="7"/>
        </w:numPr>
        <w:ind w:left="720" w:hanging="360"/>
        <w:jc w:val="both"/>
      </w:pPr>
      <w:r w:rsidDel="00000000" w:rsidR="00000000" w:rsidRPr="00000000">
        <w:rPr>
          <w:rtl w:val="0"/>
        </w:rPr>
        <w:t xml:space="preserve">Margulis, L. (1967). On the origin of mitosing cells. Journal of Theoretical Biology, 14(3), 225–274. </w:t>
      </w:r>
      <w:hyperlink r:id="rId28">
        <w:r w:rsidDel="00000000" w:rsidR="00000000" w:rsidRPr="00000000">
          <w:rPr>
            <w:color w:val="1155cc"/>
            <w:u w:val="single"/>
            <w:rtl w:val="0"/>
          </w:rPr>
          <w:t xml:space="preserve">https://doi.org/10.1016/0022-5193(67)90079-3</w:t>
        </w:r>
      </w:hyperlink>
      <w:r w:rsidDel="00000000" w:rsidR="00000000" w:rsidRPr="00000000">
        <w:rPr>
          <w:rtl w:val="0"/>
        </w:rPr>
      </w:r>
    </w:p>
    <w:p w:rsidR="00000000" w:rsidDel="00000000" w:rsidP="00000000" w:rsidRDefault="00000000" w:rsidRPr="00000000" w14:paraId="000000CD">
      <w:pPr>
        <w:numPr>
          <w:ilvl w:val="0"/>
          <w:numId w:val="7"/>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E">
      <w:pPr>
        <w:numPr>
          <w:ilvl w:val="0"/>
          <w:numId w:val="7"/>
        </w:numPr>
        <w:ind w:left="720" w:hanging="360"/>
        <w:jc w:val="both"/>
      </w:pPr>
      <w:r w:rsidDel="00000000" w:rsidR="00000000" w:rsidRPr="00000000">
        <w:rPr>
          <w:rtl w:val="0"/>
        </w:rPr>
        <w:t xml:space="preserve">Medawar, P. B. (1952). An Unsolved Problem of Biology. H.K. Lewis &amp; Co.</w:t>
      </w:r>
    </w:p>
    <w:p w:rsidR="00000000" w:rsidDel="00000000" w:rsidP="00000000" w:rsidRDefault="00000000" w:rsidRPr="00000000" w14:paraId="000000CF">
      <w:pPr>
        <w:numPr>
          <w:ilvl w:val="0"/>
          <w:numId w:val="7"/>
        </w:numPr>
        <w:ind w:left="720" w:hanging="360"/>
        <w:jc w:val="both"/>
      </w:pPr>
      <w:r w:rsidDel="00000000" w:rsidR="00000000" w:rsidRPr="00000000">
        <w:rPr>
          <w:rtl w:val="0"/>
        </w:rPr>
        <w:t xml:space="preserve">Ocampo, A., Reddy, P., Martinez-Redondo, P., Platero-Luengo, A., Hatanaka, F., Hishida, T., ... &amp; Belmonte, J. C. I. (2016). In vivo amelioration of age-associated hallmarks by partial reprogramming. Cell, 167(7), 1719–1733. </w:t>
      </w:r>
      <w:hyperlink r:id="rId29">
        <w:r w:rsidDel="00000000" w:rsidR="00000000" w:rsidRPr="00000000">
          <w:rPr>
            <w:color w:val="1155cc"/>
            <w:u w:val="single"/>
            <w:rtl w:val="0"/>
          </w:rPr>
          <w:t xml:space="preserve">https://doi.org/10.1016/j.cell.2016.11.052</w:t>
        </w:r>
      </w:hyperlink>
      <w:r w:rsidDel="00000000" w:rsidR="00000000" w:rsidRPr="00000000">
        <w:rPr>
          <w:rtl w:val="0"/>
        </w:rPr>
      </w:r>
    </w:p>
    <w:p w:rsidR="00000000" w:rsidDel="00000000" w:rsidP="00000000" w:rsidRDefault="00000000" w:rsidRPr="00000000" w14:paraId="000000D0">
      <w:pPr>
        <w:numPr>
          <w:ilvl w:val="0"/>
          <w:numId w:val="7"/>
        </w:numPr>
        <w:ind w:left="720" w:hanging="360"/>
        <w:jc w:val="both"/>
      </w:pPr>
      <w:r w:rsidDel="00000000" w:rsidR="00000000" w:rsidRPr="00000000">
        <w:rPr>
          <w:rtl w:val="0"/>
        </w:rPr>
        <w:t xml:space="preserve">OECD (2023). Pensions at a Glance 2023: OECD and G20 Indicators. OECD Publishing. </w:t>
      </w:r>
      <w:hyperlink r:id="rId30">
        <w:r w:rsidDel="00000000" w:rsidR="00000000" w:rsidRPr="00000000">
          <w:rPr>
            <w:color w:val="1155cc"/>
            <w:u w:val="single"/>
            <w:rtl w:val="0"/>
          </w:rPr>
          <w:t xml:space="preserve">https://doi.org/10.1787/pension_glance-2023-en</w:t>
        </w:r>
      </w:hyperlink>
      <w:r w:rsidDel="00000000" w:rsidR="00000000" w:rsidRPr="00000000">
        <w:rPr>
          <w:rtl w:val="0"/>
        </w:rPr>
      </w:r>
    </w:p>
    <w:p w:rsidR="00000000" w:rsidDel="00000000" w:rsidP="00000000" w:rsidRDefault="00000000" w:rsidRPr="00000000" w14:paraId="000000D1">
      <w:pPr>
        <w:numPr>
          <w:ilvl w:val="0"/>
          <w:numId w:val="7"/>
        </w:numPr>
        <w:ind w:left="720" w:hanging="360"/>
        <w:jc w:val="both"/>
      </w:pPr>
      <w:r w:rsidDel="00000000" w:rsidR="00000000" w:rsidRPr="00000000">
        <w:rPr>
          <w:rtl w:val="0"/>
        </w:rPr>
        <w:t xml:space="preserve">Olivier, M., Hollstein, M., &amp; Hainaut, P. (2010). TP53 mutations in human cancers: Origins, consequences, and clinical use. Cold Spring Harbor Perspectives in Biology, 2(1), a001008. </w:t>
      </w:r>
      <w:hyperlink r:id="rId31">
        <w:r w:rsidDel="00000000" w:rsidR="00000000" w:rsidRPr="00000000">
          <w:rPr>
            <w:color w:val="1155cc"/>
            <w:u w:val="single"/>
            <w:rtl w:val="0"/>
          </w:rPr>
          <w:t xml:space="preserve">https://doi.org/10.1101/cshperspect.a001008</w:t>
        </w:r>
      </w:hyperlink>
      <w:r w:rsidDel="00000000" w:rsidR="00000000" w:rsidRPr="00000000">
        <w:rPr>
          <w:rtl w:val="0"/>
        </w:rPr>
      </w:r>
    </w:p>
    <w:p w:rsidR="00000000" w:rsidDel="00000000" w:rsidP="00000000" w:rsidRDefault="00000000" w:rsidRPr="00000000" w14:paraId="000000D2">
      <w:pPr>
        <w:numPr>
          <w:ilvl w:val="0"/>
          <w:numId w:val="7"/>
        </w:numPr>
        <w:ind w:left="720" w:hanging="360"/>
        <w:jc w:val="both"/>
      </w:pPr>
      <w:r w:rsidDel="00000000" w:rsidR="00000000" w:rsidRPr="00000000">
        <w:rPr>
          <w:rtl w:val="0"/>
        </w:rPr>
        <w:t xml:space="preserve">Olovnikov, A. M. (1971). Principle of marginotomy in template synthesis of polynucleotides. Doklady Akademii Nauk SSSR, 201(6), 1496–1499.</w:t>
      </w:r>
    </w:p>
    <w:p w:rsidR="00000000" w:rsidDel="00000000" w:rsidP="00000000" w:rsidRDefault="00000000" w:rsidRPr="00000000" w14:paraId="000000D3">
      <w:pPr>
        <w:numPr>
          <w:ilvl w:val="0"/>
          <w:numId w:val="7"/>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4">
      <w:pPr>
        <w:numPr>
          <w:ilvl w:val="0"/>
          <w:numId w:val="7"/>
        </w:numPr>
        <w:ind w:left="720" w:hanging="360"/>
        <w:jc w:val="both"/>
      </w:pPr>
      <w:r w:rsidDel="00000000" w:rsidR="00000000" w:rsidRPr="00000000">
        <w:rPr>
          <w:rtl w:val="0"/>
        </w:rPr>
        <w:t xml:space="preserve">Putin, E., Mamoshina, P., Aliper, A., Korzinkin, M., Moskalev, A., Kolosov, A., ... &amp; Zhavoronkov, A. (2016). Deep biomarkers of human aging: Application of deep neural networks to biomarker development. Aging, 8(5), 1021–1033. </w:t>
      </w:r>
      <w:hyperlink r:id="rId32">
        <w:r w:rsidDel="00000000" w:rsidR="00000000" w:rsidRPr="00000000">
          <w:rPr>
            <w:color w:val="1155cc"/>
            <w:u w:val="single"/>
            <w:rtl w:val="0"/>
          </w:rPr>
          <w:t xml:space="preserve">https://doi.org/10.18632/aging.100968</w:t>
        </w:r>
      </w:hyperlink>
      <w:r w:rsidDel="00000000" w:rsidR="00000000" w:rsidRPr="00000000">
        <w:rPr>
          <w:rtl w:val="0"/>
        </w:rPr>
      </w:r>
    </w:p>
    <w:p w:rsidR="00000000" w:rsidDel="00000000" w:rsidP="00000000" w:rsidRDefault="00000000" w:rsidRPr="00000000" w14:paraId="000000D5">
      <w:pPr>
        <w:numPr>
          <w:ilvl w:val="0"/>
          <w:numId w:val="7"/>
        </w:numPr>
        <w:ind w:left="720" w:hanging="360"/>
        <w:jc w:val="both"/>
      </w:pPr>
      <w:r w:rsidDel="00000000" w:rsidR="00000000" w:rsidRPr="00000000">
        <w:rPr>
          <w:rtl w:val="0"/>
        </w:rPr>
        <w:t xml:space="preserve">Ristow, M., &amp; Schmeisser, K. (2014). Mitohormesis: Promoting health and lifespan by increased levels of reactive oxygen species (ROS). Dose-Response, 12(2), 288–341. </w:t>
      </w:r>
      <w:hyperlink r:id="rId33">
        <w:r w:rsidDel="00000000" w:rsidR="00000000" w:rsidRPr="00000000">
          <w:rPr>
            <w:color w:val="1155cc"/>
            <w:u w:val="single"/>
            <w:rtl w:val="0"/>
          </w:rPr>
          <w:t xml:space="preserve">https://doi.org/10.2203/dose-response.13-035.Ristow</w:t>
        </w:r>
      </w:hyperlink>
      <w:r w:rsidDel="00000000" w:rsidR="00000000" w:rsidRPr="00000000">
        <w:rPr>
          <w:rtl w:val="0"/>
        </w:rPr>
      </w:r>
    </w:p>
    <w:p w:rsidR="00000000" w:rsidDel="00000000" w:rsidP="00000000" w:rsidRDefault="00000000" w:rsidRPr="00000000" w14:paraId="000000D6">
      <w:pPr>
        <w:numPr>
          <w:ilvl w:val="0"/>
          <w:numId w:val="7"/>
        </w:numPr>
        <w:ind w:left="720" w:hanging="360"/>
        <w:jc w:val="both"/>
      </w:pPr>
      <w:r w:rsidDel="00000000" w:rsidR="00000000" w:rsidRPr="00000000">
        <w:rPr>
          <w:rtl w:val="0"/>
        </w:rPr>
        <w:t xml:space="preserve">Ruestow, E. G. (1984). The Microscope in the Dutch Republic: The Shaping of Discovery. Cambridge University Press.</w:t>
      </w:r>
    </w:p>
    <w:p w:rsidR="00000000" w:rsidDel="00000000" w:rsidP="00000000" w:rsidRDefault="00000000" w:rsidRPr="00000000" w14:paraId="000000D7">
      <w:pPr>
        <w:numPr>
          <w:ilvl w:val="0"/>
          <w:numId w:val="7"/>
        </w:numPr>
        <w:ind w:left="720" w:hanging="360"/>
        <w:jc w:val="both"/>
      </w:pPr>
      <w:r w:rsidDel="00000000" w:rsidR="00000000" w:rsidRPr="00000000">
        <w:rPr>
          <w:rtl w:val="0"/>
        </w:rPr>
        <w:t xml:space="preserve">Sena, L. A., &amp; Chandel, N. S. (2012). Physiological roles of mitochondrial reactive oxygen species. Molecular Cell, 48(2), 158–167. </w:t>
      </w:r>
      <w:hyperlink r:id="rId34">
        <w:r w:rsidDel="00000000" w:rsidR="00000000" w:rsidRPr="00000000">
          <w:rPr>
            <w:color w:val="1155cc"/>
            <w:u w:val="single"/>
            <w:rtl w:val="0"/>
          </w:rPr>
          <w:t xml:space="preserve">https://doi.org/10.1016/j.molcel.2012.09.025</w:t>
        </w:r>
      </w:hyperlink>
      <w:r w:rsidDel="00000000" w:rsidR="00000000" w:rsidRPr="00000000">
        <w:rPr>
          <w:rtl w:val="0"/>
        </w:rPr>
      </w:r>
    </w:p>
    <w:p w:rsidR="00000000" w:rsidDel="00000000" w:rsidP="00000000" w:rsidRDefault="00000000" w:rsidRPr="00000000" w14:paraId="000000D8">
      <w:pPr>
        <w:numPr>
          <w:ilvl w:val="0"/>
          <w:numId w:val="7"/>
        </w:numPr>
        <w:ind w:left="720" w:hanging="360"/>
        <w:jc w:val="both"/>
      </w:pPr>
      <w:r w:rsidDel="00000000" w:rsidR="00000000" w:rsidRPr="00000000">
        <w:rPr>
          <w:rtl w:val="0"/>
        </w:rPr>
        <w:t xml:space="preserve">SENS Research Foundation (2024). SENSOFT Clinical Trial Results. </w:t>
      </w:r>
      <w:hyperlink r:id="rId35">
        <w:r w:rsidDel="00000000" w:rsidR="00000000" w:rsidRPr="00000000">
          <w:rPr>
            <w:color w:val="1155cc"/>
            <w:u w:val="single"/>
            <w:rtl w:val="0"/>
          </w:rPr>
          <w:t xml:space="preserve">https://www.sens.org/sensoft-results</w:t>
        </w:r>
      </w:hyperlink>
      <w:r w:rsidDel="00000000" w:rsidR="00000000" w:rsidRPr="00000000">
        <w:rPr>
          <w:rtl w:val="0"/>
        </w:rPr>
      </w:r>
    </w:p>
    <w:p w:rsidR="00000000" w:rsidDel="00000000" w:rsidP="00000000" w:rsidRDefault="00000000" w:rsidRPr="00000000" w14:paraId="000000D9">
      <w:pPr>
        <w:numPr>
          <w:ilvl w:val="0"/>
          <w:numId w:val="7"/>
        </w:numPr>
        <w:ind w:left="720" w:hanging="360"/>
        <w:jc w:val="both"/>
      </w:pPr>
      <w:r w:rsidDel="00000000" w:rsidR="00000000" w:rsidRPr="00000000">
        <w:rPr>
          <w:rtl w:val="0"/>
        </w:rPr>
        <w:t xml:space="preserve">Sharma, P. V. (1992). History of Medicine in India. Indian National Science Academy.</w:t>
      </w:r>
    </w:p>
    <w:p w:rsidR="00000000" w:rsidDel="00000000" w:rsidP="00000000" w:rsidRDefault="00000000" w:rsidRPr="00000000" w14:paraId="000000DA">
      <w:pPr>
        <w:numPr>
          <w:ilvl w:val="0"/>
          <w:numId w:val="7"/>
        </w:numPr>
        <w:ind w:left="720" w:hanging="360"/>
        <w:jc w:val="both"/>
      </w:pPr>
      <w:r w:rsidDel="00000000" w:rsidR="00000000" w:rsidRPr="00000000">
        <w:rPr>
          <w:rtl w:val="0"/>
        </w:rPr>
        <w:t xml:space="preserve">Sun, N., Youle, R. J., &amp; Finkel, T. (2016). The mitochondrial basis of aging. Molecular Cell, 61(5), 654–666. </w:t>
      </w:r>
      <w:hyperlink r:id="rId36">
        <w:r w:rsidDel="00000000" w:rsidR="00000000" w:rsidRPr="00000000">
          <w:rPr>
            <w:color w:val="1155cc"/>
            <w:u w:val="single"/>
            <w:rtl w:val="0"/>
          </w:rPr>
          <w:t xml:space="preserve">https://doi.org/10.1016/j.molcel.2016.01.028</w:t>
        </w:r>
      </w:hyperlink>
      <w:r w:rsidDel="00000000" w:rsidR="00000000" w:rsidRPr="00000000">
        <w:rPr>
          <w:rtl w:val="0"/>
        </w:rPr>
      </w:r>
    </w:p>
    <w:p w:rsidR="00000000" w:rsidDel="00000000" w:rsidP="00000000" w:rsidRDefault="00000000" w:rsidRPr="00000000" w14:paraId="000000DB">
      <w:pPr>
        <w:numPr>
          <w:ilvl w:val="0"/>
          <w:numId w:val="7"/>
        </w:numPr>
        <w:ind w:left="720" w:hanging="360"/>
        <w:jc w:val="both"/>
      </w:pPr>
      <w:r w:rsidDel="00000000" w:rsidR="00000000" w:rsidRPr="00000000">
        <w:rPr>
          <w:rtl w:val="0"/>
        </w:rPr>
        <w:t xml:space="preserve">Tacutu, R., Craig, T., Budovsky, A., Wuttke, D., Lehmann, G., Taranukha, D., ... &amp; de Magalhães, J. P. (2018). Human Ageing Genomic Resources: New and updated databases. Nucleic Acids Research, 46(D1), D1083–D1090. </w:t>
      </w:r>
      <w:hyperlink r:id="rId37">
        <w:r w:rsidDel="00000000" w:rsidR="00000000" w:rsidRPr="00000000">
          <w:rPr>
            <w:color w:val="1155cc"/>
            <w:u w:val="single"/>
            <w:rtl w:val="0"/>
          </w:rPr>
          <w:t xml:space="preserve">https://doi.org/10.1093/nar/gkx1042</w:t>
        </w:r>
      </w:hyperlink>
      <w:r w:rsidDel="00000000" w:rsidR="00000000" w:rsidRPr="00000000">
        <w:rPr>
          <w:rtl w:val="0"/>
        </w:rPr>
      </w:r>
    </w:p>
    <w:p w:rsidR="00000000" w:rsidDel="00000000" w:rsidP="00000000" w:rsidRDefault="00000000" w:rsidRPr="00000000" w14:paraId="000000DC">
      <w:pPr>
        <w:numPr>
          <w:ilvl w:val="0"/>
          <w:numId w:val="7"/>
        </w:numPr>
        <w:ind w:left="720" w:hanging="360"/>
        <w:jc w:val="both"/>
      </w:pPr>
      <w:r w:rsidDel="00000000" w:rsidR="00000000" w:rsidRPr="00000000">
        <w:rPr>
          <w:rtl w:val="0"/>
        </w:rPr>
        <w:t xml:space="preserve">Temkin, O. (1973). Galenism: Rise and Decline of a Medical Philosophy. Cornell University Press.</w:t>
      </w:r>
    </w:p>
    <w:p w:rsidR="00000000" w:rsidDel="00000000" w:rsidP="00000000" w:rsidRDefault="00000000" w:rsidRPr="00000000" w14:paraId="000000DD">
      <w:pPr>
        <w:numPr>
          <w:ilvl w:val="0"/>
          <w:numId w:val="7"/>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E">
      <w:pPr>
        <w:numPr>
          <w:ilvl w:val="0"/>
          <w:numId w:val="7"/>
        </w:numPr>
        <w:ind w:left="720" w:hanging="360"/>
        <w:jc w:val="both"/>
      </w:pPr>
      <w:r w:rsidDel="00000000" w:rsidR="00000000" w:rsidRPr="00000000">
        <w:rPr>
          <w:rtl w:val="0"/>
        </w:rPr>
        <w:t xml:space="preserve">Tkemaladze, J. (2023). Cross-senolytic effects of dasatinib and quercetin in humans. Georgian Scientists, 5(3), 138–152. doi: </w:t>
      </w:r>
      <w:hyperlink r:id="rId38">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DF">
      <w:pPr>
        <w:numPr>
          <w:ilvl w:val="0"/>
          <w:numId w:val="7"/>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39">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E0">
      <w:pPr>
        <w:numPr>
          <w:ilvl w:val="0"/>
          <w:numId w:val="7"/>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E1">
      <w:pPr>
        <w:numPr>
          <w:ilvl w:val="0"/>
          <w:numId w:val="7"/>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E2">
      <w:pPr>
        <w:numPr>
          <w:ilvl w:val="0"/>
          <w:numId w:val="7"/>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40">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E3">
      <w:pPr>
        <w:numPr>
          <w:ilvl w:val="0"/>
          <w:numId w:val="7"/>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41">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E4">
      <w:pPr>
        <w:numPr>
          <w:ilvl w:val="0"/>
          <w:numId w:val="7"/>
        </w:numPr>
        <w:ind w:left="720" w:hanging="360"/>
        <w:jc w:val="both"/>
      </w:pPr>
      <w:r w:rsidDel="00000000" w:rsidR="00000000" w:rsidRPr="00000000">
        <w:rPr>
          <w:rtl w:val="0"/>
        </w:rPr>
        <w:t xml:space="preserve">Tkemaladze, J. (2024). Absence of centrioles and regenerative potential of planaria. Georgian Scientists, 6(4), 59–75. doi: </w:t>
      </w:r>
      <w:hyperlink r:id="rId42">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E5">
      <w:pPr>
        <w:numPr>
          <w:ilvl w:val="0"/>
          <w:numId w:val="7"/>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43">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E6">
      <w:pPr>
        <w:numPr>
          <w:ilvl w:val="0"/>
          <w:numId w:val="7"/>
        </w:numPr>
        <w:ind w:left="720" w:hanging="360"/>
        <w:jc w:val="both"/>
      </w:pPr>
      <w:r w:rsidDel="00000000" w:rsidR="00000000" w:rsidRPr="00000000">
        <w:rPr>
          <w:rtl w:val="0"/>
        </w:rPr>
        <w:t xml:space="preserve">Tkemaladze, J. (2024). Elimination of centrioles. Georgian Scientists, 6(4), 291–307. doi: </w:t>
      </w:r>
      <w:hyperlink r:id="rId44">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E7">
      <w:pPr>
        <w:numPr>
          <w:ilvl w:val="0"/>
          <w:numId w:val="7"/>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45">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E8">
      <w:pPr>
        <w:numPr>
          <w:ilvl w:val="0"/>
          <w:numId w:val="7"/>
        </w:numPr>
        <w:ind w:left="720" w:hanging="360"/>
        <w:jc w:val="both"/>
      </w:pPr>
      <w:r w:rsidDel="00000000" w:rsidR="00000000" w:rsidRPr="00000000">
        <w:rPr>
          <w:rtl w:val="0"/>
        </w:rPr>
        <w:t xml:space="preserve">Tkemaladze, J. (2024). The rate of stem cell division decreases with age. Georgian Scientists, 6(4), 228–242. doi: </w:t>
      </w:r>
      <w:hyperlink r:id="rId46">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E9">
      <w:pPr>
        <w:numPr>
          <w:ilvl w:val="0"/>
          <w:numId w:val="7"/>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47">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0EA">
      <w:pPr>
        <w:numPr>
          <w:ilvl w:val="0"/>
          <w:numId w:val="7"/>
        </w:numPr>
        <w:ind w:left="720" w:hanging="360"/>
        <w:jc w:val="both"/>
      </w:pPr>
      <w:r w:rsidDel="00000000" w:rsidR="00000000" w:rsidRPr="00000000">
        <w:rPr>
          <w:rtl w:val="0"/>
        </w:rPr>
        <w:t xml:space="preserve">Tkemaladze, J. (2025).  Strategic Importance of the Caucasian Bridge and Global Power Rivalries. doi:  </w:t>
      </w:r>
      <w:hyperlink r:id="rId48">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0EB">
      <w:pPr>
        <w:numPr>
          <w:ilvl w:val="0"/>
          <w:numId w:val="7"/>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49">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0EC">
      <w:pPr>
        <w:numPr>
          <w:ilvl w:val="0"/>
          <w:numId w:val="7"/>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50">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0ED">
      <w:pPr>
        <w:numPr>
          <w:ilvl w:val="0"/>
          <w:numId w:val="7"/>
        </w:numPr>
        <w:ind w:left="720" w:hanging="360"/>
        <w:jc w:val="both"/>
      </w:pPr>
      <w:r w:rsidDel="00000000" w:rsidR="00000000" w:rsidRPr="00000000">
        <w:rPr>
          <w:rtl w:val="0"/>
        </w:rPr>
        <w:t xml:space="preserve">Tkemaladze, J. (2025). Anatomy, Biogenesis, and Role in Cell Biology of Centrioles. Longevity Horizons, 1(2).  doi: </w:t>
      </w:r>
      <w:hyperlink r:id="rId51">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Tkemaladze, J. (2025). Asymmetry in the Inheritance of Centrosomes / Centrioles and Its Consequences. Longevity Horizons, 1(2).   doi:  </w:t>
      </w:r>
      <w:hyperlink r:id="rId52">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Tkemaladze, J. (2025). Centriole Elimination: A Mechanism for Resetting Entropy in the Cell. Longevity Horizons, 1(2). DOI:</w:t>
      </w:r>
      <w:hyperlink r:id="rId53">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0F0">
      <w:pPr>
        <w:numPr>
          <w:ilvl w:val="0"/>
          <w:numId w:val="7"/>
        </w:numPr>
        <w:ind w:left="720" w:hanging="360"/>
        <w:jc w:val="both"/>
      </w:pPr>
      <w:r w:rsidDel="00000000" w:rsidR="00000000" w:rsidRPr="00000000">
        <w:rPr>
          <w:rtl w:val="0"/>
        </w:rPr>
        <w:t xml:space="preserve">Tkemaladze, J. (2025). Concept to The Alive Language. Longevity Horizons, 1(1). doi: </w:t>
      </w:r>
      <w:hyperlink r:id="rId54">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F1">
      <w:pPr>
        <w:numPr>
          <w:ilvl w:val="0"/>
          <w:numId w:val="7"/>
        </w:numPr>
        <w:ind w:left="720" w:hanging="360"/>
        <w:jc w:val="both"/>
      </w:pPr>
      <w:r w:rsidDel="00000000" w:rsidR="00000000" w:rsidRPr="00000000">
        <w:rPr>
          <w:rtl w:val="0"/>
        </w:rPr>
        <w:t xml:space="preserve">Tkemaladze, J. (2025). Concept to The Caucasian Bridge. Longevity Horizons, 1(1). doi: </w:t>
      </w:r>
      <w:hyperlink r:id="rId55">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F2">
      <w:pPr>
        <w:numPr>
          <w:ilvl w:val="0"/>
          <w:numId w:val="7"/>
        </w:numPr>
        <w:ind w:left="720" w:hanging="360"/>
        <w:jc w:val="both"/>
      </w:pPr>
      <w:r w:rsidDel="00000000" w:rsidR="00000000" w:rsidRPr="00000000">
        <w:rPr>
          <w:rtl w:val="0"/>
        </w:rPr>
        <w:t xml:space="preserve">Tkemaladze, J. (2025). Concept to The Curing All Diseases. Longevity Horizons, 1(1). doi: </w:t>
      </w:r>
      <w:hyperlink r:id="rId56">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3">
      <w:pPr>
        <w:numPr>
          <w:ilvl w:val="0"/>
          <w:numId w:val="7"/>
        </w:numPr>
        <w:ind w:left="720" w:hanging="360"/>
        <w:jc w:val="both"/>
      </w:pPr>
      <w:r w:rsidDel="00000000" w:rsidR="00000000" w:rsidRPr="00000000">
        <w:rPr>
          <w:rtl w:val="0"/>
        </w:rPr>
        <w:t xml:space="preserve">Tkemaladze, J. (2025). Concept to The Eternal Youth. Longevity Horizons, 1(1). doi:  </w:t>
      </w:r>
      <w:hyperlink r:id="rId57">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F4">
      <w:pPr>
        <w:numPr>
          <w:ilvl w:val="0"/>
          <w:numId w:val="7"/>
        </w:numPr>
        <w:ind w:left="720" w:hanging="360"/>
        <w:jc w:val="both"/>
      </w:pPr>
      <w:r w:rsidDel="00000000" w:rsidR="00000000" w:rsidRPr="00000000">
        <w:rPr>
          <w:rtl w:val="0"/>
        </w:rPr>
        <w:t xml:space="preserve">Tkemaladze, J. (2025). Concept to The Food Security. Longevity Horizons, 1(1). doi:  </w:t>
      </w:r>
      <w:hyperlink r:id="rId58">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F5">
      <w:pPr>
        <w:numPr>
          <w:ilvl w:val="0"/>
          <w:numId w:val="7"/>
        </w:numPr>
        <w:ind w:left="720" w:hanging="360"/>
        <w:jc w:val="both"/>
      </w:pPr>
      <w:r w:rsidDel="00000000" w:rsidR="00000000" w:rsidRPr="00000000">
        <w:rPr>
          <w:rtl w:val="0"/>
        </w:rPr>
        <w:t xml:space="preserve">Tkemaladze, J. (2025). Concept to the Living Space. Longevity Horizons, 1(1). doi: </w:t>
      </w:r>
      <w:hyperlink r:id="rId59">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F6">
      <w:pPr>
        <w:numPr>
          <w:ilvl w:val="0"/>
          <w:numId w:val="7"/>
        </w:numPr>
        <w:ind w:left="720" w:hanging="360"/>
        <w:jc w:val="both"/>
      </w:pPr>
      <w:r w:rsidDel="00000000" w:rsidR="00000000" w:rsidRPr="00000000">
        <w:rPr>
          <w:rtl w:val="0"/>
        </w:rPr>
        <w:t xml:space="preserve">Tkemaladze, J. (2025). Concept to The Restoring Dogmas. Longevity Horizons, 1(1).  doi: </w:t>
      </w:r>
      <w:hyperlink r:id="rId60">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7">
      <w:pPr>
        <w:numPr>
          <w:ilvl w:val="0"/>
          <w:numId w:val="7"/>
        </w:numPr>
        <w:ind w:left="720" w:hanging="360"/>
        <w:jc w:val="both"/>
      </w:pPr>
      <w:r w:rsidDel="00000000" w:rsidR="00000000" w:rsidRPr="00000000">
        <w:rPr>
          <w:rtl w:val="0"/>
        </w:rPr>
        <w:t xml:space="preserve">Tkemaladze, J. (2025). Differentiation of Somatic Cells in Multicellular Organisms. Longevity Horizons, 1(2). doi: </w:t>
      </w:r>
      <w:hyperlink r:id="rId61">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0F8">
      <w:pPr>
        <w:numPr>
          <w:ilvl w:val="0"/>
          <w:numId w:val="7"/>
        </w:numPr>
        <w:ind w:left="720" w:hanging="360"/>
        <w:jc w:val="both"/>
      </w:pPr>
      <w:r w:rsidDel="00000000" w:rsidR="00000000" w:rsidRPr="00000000">
        <w:rPr>
          <w:rtl w:val="0"/>
        </w:rPr>
        <w:t xml:space="preserve">Tkemaladze, J. (2025). Protocol for Transplantation of Healthy Cells Between Adult Drosophila of Different Ages and Sexes. Longevity Horizons, 1(2). DOI:</w:t>
      </w:r>
      <w:hyperlink r:id="rId62">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0F9">
      <w:pPr>
        <w:numPr>
          <w:ilvl w:val="0"/>
          <w:numId w:val="7"/>
        </w:numPr>
        <w:ind w:left="720" w:hanging="360"/>
        <w:jc w:val="both"/>
      </w:pPr>
      <w:r w:rsidDel="00000000" w:rsidR="00000000" w:rsidRPr="00000000">
        <w:rPr>
          <w:rtl w:val="0"/>
        </w:rPr>
        <w:t xml:space="preserve">Tkemaladze, J. (2025). Replicative Hayflick Limit. Longevity Horizons, 1(2).  doi: </w:t>
      </w:r>
      <w:hyperlink r:id="rId63">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0FA">
      <w:pPr>
        <w:numPr>
          <w:ilvl w:val="0"/>
          <w:numId w:val="7"/>
        </w:numPr>
        <w:ind w:left="720" w:hanging="360"/>
        <w:jc w:val="both"/>
      </w:pPr>
      <w:r w:rsidDel="00000000" w:rsidR="00000000" w:rsidRPr="00000000">
        <w:rPr>
          <w:rtl w:val="0"/>
        </w:rPr>
        <w:t xml:space="preserve">Tkemaladze, J. (2025). Solutions to the Living Space Problem to Overcome the Fear of Resurrection from the Dead. doi: </w:t>
      </w:r>
      <w:hyperlink r:id="rId64">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0FB">
      <w:pPr>
        <w:numPr>
          <w:ilvl w:val="0"/>
          <w:numId w:val="7"/>
        </w:numPr>
        <w:ind w:left="720" w:hanging="360"/>
        <w:jc w:val="both"/>
      </w:pPr>
      <w:r w:rsidDel="00000000" w:rsidR="00000000" w:rsidRPr="00000000">
        <w:rPr>
          <w:rtl w:val="0"/>
        </w:rPr>
        <w:t xml:space="preserve">Tkemaladze, J. (2025). Systemic Resilience and Sustainable Nutritional Paradigms in Anthropogenic Ecosystems. doi: </w:t>
      </w:r>
      <w:hyperlink r:id="rId65">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0FC">
      <w:pPr>
        <w:numPr>
          <w:ilvl w:val="0"/>
          <w:numId w:val="7"/>
        </w:numPr>
        <w:ind w:left="720" w:hanging="360"/>
        <w:jc w:val="both"/>
      </w:pPr>
      <w:r w:rsidDel="00000000" w:rsidR="00000000" w:rsidRPr="00000000">
        <w:rPr>
          <w:rtl w:val="0"/>
        </w:rPr>
        <w:t xml:space="preserve">Tkemaladze, J. (2025). The Concept of Data-Driven Automated Governance. Georgian Scientists, 6(4), 399–410. doi: </w:t>
      </w:r>
      <w:hyperlink r:id="rId66">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FD">
      <w:pPr>
        <w:numPr>
          <w:ilvl w:val="0"/>
          <w:numId w:val="7"/>
        </w:numPr>
        <w:ind w:left="720" w:hanging="360"/>
        <w:jc w:val="both"/>
      </w:pPr>
      <w:r w:rsidDel="00000000" w:rsidR="00000000" w:rsidRPr="00000000">
        <w:rPr>
          <w:rtl w:val="0"/>
        </w:rPr>
        <w:t xml:space="preserve">Tkemaladze, J. (2025).Achieving Perpetual Vitality Through Innovation. doi: </w:t>
      </w:r>
      <w:hyperlink r:id="rId67">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0FE">
      <w:pPr>
        <w:numPr>
          <w:ilvl w:val="0"/>
          <w:numId w:val="7"/>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FF">
      <w:pPr>
        <w:numPr>
          <w:ilvl w:val="0"/>
          <w:numId w:val="7"/>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00">
      <w:pPr>
        <w:numPr>
          <w:ilvl w:val="0"/>
          <w:numId w:val="7"/>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01">
      <w:pPr>
        <w:numPr>
          <w:ilvl w:val="0"/>
          <w:numId w:val="7"/>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02">
      <w:pPr>
        <w:numPr>
          <w:ilvl w:val="0"/>
          <w:numId w:val="7"/>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68">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03">
      <w:pPr>
        <w:numPr>
          <w:ilvl w:val="0"/>
          <w:numId w:val="7"/>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04">
      <w:pPr>
        <w:numPr>
          <w:ilvl w:val="0"/>
          <w:numId w:val="7"/>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69">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70">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05">
      <w:pPr>
        <w:numPr>
          <w:ilvl w:val="0"/>
          <w:numId w:val="7"/>
        </w:numPr>
        <w:ind w:left="720" w:hanging="360"/>
        <w:jc w:val="both"/>
      </w:pPr>
      <w:r w:rsidDel="00000000" w:rsidR="00000000" w:rsidRPr="00000000">
        <w:rPr>
          <w:rtl w:val="0"/>
        </w:rPr>
        <w:t xml:space="preserve">United Nations (2022). World Population Prospects 2022. UN Department of Economic and Social Affairs.</w:t>
      </w:r>
    </w:p>
    <w:p w:rsidR="00000000" w:rsidDel="00000000" w:rsidP="00000000" w:rsidRDefault="00000000" w:rsidRPr="00000000" w14:paraId="00000106">
      <w:pPr>
        <w:numPr>
          <w:ilvl w:val="0"/>
          <w:numId w:val="7"/>
        </w:numPr>
        <w:ind w:left="720" w:hanging="360"/>
        <w:jc w:val="both"/>
      </w:pPr>
      <w:r w:rsidDel="00000000" w:rsidR="00000000" w:rsidRPr="00000000">
        <w:rPr>
          <w:rtl w:val="0"/>
        </w:rPr>
        <w:t xml:space="preserve">Weismann, A. (1881). Über die Dauer des Lebens. Gustav Fischer.</w:t>
      </w:r>
    </w:p>
    <w:p w:rsidR="00000000" w:rsidDel="00000000" w:rsidP="00000000" w:rsidRDefault="00000000" w:rsidRPr="00000000" w14:paraId="00000107">
      <w:pPr>
        <w:numPr>
          <w:ilvl w:val="0"/>
          <w:numId w:val="7"/>
        </w:numPr>
        <w:ind w:left="720" w:hanging="360"/>
        <w:jc w:val="both"/>
      </w:pPr>
      <w:r w:rsidDel="00000000" w:rsidR="00000000" w:rsidRPr="00000000">
        <w:rPr>
          <w:rtl w:val="0"/>
        </w:rPr>
        <w:t xml:space="preserve">Weismann, A. (1892). Das Keimplasma: Eine Theorie der Vererbung. Fischer.</w:t>
      </w:r>
    </w:p>
    <w:p w:rsidR="00000000" w:rsidDel="00000000" w:rsidP="00000000" w:rsidRDefault="00000000" w:rsidRPr="00000000" w14:paraId="00000108">
      <w:pPr>
        <w:numPr>
          <w:ilvl w:val="0"/>
          <w:numId w:val="7"/>
        </w:numPr>
        <w:ind w:left="720" w:hanging="360"/>
        <w:jc w:val="both"/>
      </w:pPr>
      <w:r w:rsidDel="00000000" w:rsidR="00000000" w:rsidRPr="00000000">
        <w:rPr>
          <w:rtl w:val="0"/>
        </w:rPr>
        <w:t xml:space="preserve">Willcox, B. J., Donlon, T. A., He, Q., Chen, R., Grove, J. S., Yano, K., ... &amp; Curb, J. D. (2008). FOXO3A genotype is strongly associated with human longevity. Proceedings of the National Academy of Sciences, 105(37), 13987–13992. </w:t>
      </w:r>
      <w:hyperlink r:id="rId71">
        <w:r w:rsidDel="00000000" w:rsidR="00000000" w:rsidRPr="00000000">
          <w:rPr>
            <w:color w:val="1155cc"/>
            <w:u w:val="single"/>
            <w:rtl w:val="0"/>
          </w:rPr>
          <w:t xml:space="preserve">https://doi.org/10.1073/pnas.0801030105</w:t>
        </w:r>
      </w:hyperlink>
      <w:r w:rsidDel="00000000" w:rsidR="00000000" w:rsidRPr="00000000">
        <w:rPr>
          <w:rtl w:val="0"/>
        </w:rPr>
      </w:r>
    </w:p>
    <w:p w:rsidR="00000000" w:rsidDel="00000000" w:rsidP="00000000" w:rsidRDefault="00000000" w:rsidRPr="00000000" w14:paraId="00000109">
      <w:pPr>
        <w:numPr>
          <w:ilvl w:val="0"/>
          <w:numId w:val="7"/>
        </w:numPr>
        <w:ind w:left="720" w:hanging="360"/>
        <w:jc w:val="both"/>
      </w:pPr>
      <w:r w:rsidDel="00000000" w:rsidR="00000000" w:rsidRPr="00000000">
        <w:rPr>
          <w:rtl w:val="0"/>
        </w:rPr>
        <w:t xml:space="preserve">World Health Organization (2025). Global Report on Access to Advanced Therapies. WHO Press.</w:t>
      </w:r>
    </w:p>
    <w:p w:rsidR="00000000" w:rsidDel="00000000" w:rsidP="00000000" w:rsidRDefault="00000000" w:rsidRPr="00000000" w14:paraId="0000010A">
      <w:pPr>
        <w:numPr>
          <w:ilvl w:val="0"/>
          <w:numId w:val="7"/>
        </w:numPr>
        <w:ind w:left="720" w:hanging="360"/>
        <w:jc w:val="both"/>
      </w:pPr>
      <w:r w:rsidDel="00000000" w:rsidR="00000000" w:rsidRPr="00000000">
        <w:rPr>
          <w:rtl w:val="0"/>
        </w:rPr>
        <w:t xml:space="preserve">Yamada, M., Emmanuele, V., Sanchez-Quintero, M. J., Sun, B., Lallos, G., Paull, D., ... &amp; Hirano, M. (2016). Genetic drift can compromise mitochondrial replacement by nuclear transfer in human oocytes. Cell Stem Cell, 18(6), 749–754. </w:t>
      </w:r>
      <w:hyperlink r:id="rId72">
        <w:r w:rsidDel="00000000" w:rsidR="00000000" w:rsidRPr="00000000">
          <w:rPr>
            <w:color w:val="1155cc"/>
            <w:u w:val="single"/>
            <w:rtl w:val="0"/>
          </w:rPr>
          <w:t xml:space="preserve">https://doi.org/10.1016/j.stem.2016.04.001</w:t>
        </w:r>
      </w:hyperlink>
      <w:r w:rsidDel="00000000" w:rsidR="00000000" w:rsidRPr="00000000">
        <w:rPr>
          <w:rtl w:val="0"/>
        </w:rPr>
      </w:r>
    </w:p>
    <w:p w:rsidR="00000000" w:rsidDel="00000000" w:rsidP="00000000" w:rsidRDefault="00000000" w:rsidRPr="00000000" w14:paraId="0000010B">
      <w:pPr>
        <w:numPr>
          <w:ilvl w:val="0"/>
          <w:numId w:val="7"/>
        </w:numPr>
        <w:ind w:left="720" w:hanging="360"/>
        <w:jc w:val="both"/>
      </w:pPr>
      <w:r w:rsidDel="00000000" w:rsidR="00000000" w:rsidRPr="00000000">
        <w:rPr>
          <w:rtl w:val="0"/>
        </w:rPr>
        <w:t xml:space="preserve">Yousefzadeh, M. J., Zhu, Y., McGowan, S. J., Angelini, L., Fuhrmann-Stroissnigg, H., Xu, M., ... &amp; Kirkland, J. L. (2018). Fisetin is a senotherapeutic that extends health and lifespan. EBioMedicine, 36, 18–28. </w:t>
      </w:r>
      <w:hyperlink r:id="rId73">
        <w:r w:rsidDel="00000000" w:rsidR="00000000" w:rsidRPr="00000000">
          <w:rPr>
            <w:color w:val="1155cc"/>
            <w:u w:val="single"/>
            <w:rtl w:val="0"/>
          </w:rPr>
          <w:t xml:space="preserve">https://doi.org/10.1016/j.ebiom.2018.09.015</w:t>
        </w:r>
      </w:hyperlink>
      <w:r w:rsidDel="00000000" w:rsidR="00000000" w:rsidRPr="00000000">
        <w:rPr>
          <w:rtl w:val="0"/>
        </w:rPr>
      </w:r>
    </w:p>
    <w:p w:rsidR="00000000" w:rsidDel="00000000" w:rsidP="00000000" w:rsidRDefault="00000000" w:rsidRPr="00000000" w14:paraId="0000010C">
      <w:pPr>
        <w:numPr>
          <w:ilvl w:val="0"/>
          <w:numId w:val="7"/>
        </w:numPr>
        <w:ind w:left="720" w:hanging="360"/>
        <w:jc w:val="both"/>
      </w:pPr>
      <w:r w:rsidDel="00000000" w:rsidR="00000000" w:rsidRPr="00000000">
        <w:rPr>
          <w:rtl w:val="0"/>
        </w:rPr>
        <w:t xml:space="preserve">Zhavoronkov, A., Mamoshina, P., Vanhaelen, Q., Scheibye-Knudsen, M., Moskalev, A., &amp; Aliper, A. (2019). Artificial intelligence for aging and longevity research: Recent advances and perspectives. Ageing Research Reviews, 49, 49–66. </w:t>
      </w:r>
      <w:hyperlink r:id="rId74">
        <w:r w:rsidDel="00000000" w:rsidR="00000000" w:rsidRPr="00000000">
          <w:rPr>
            <w:color w:val="1155cc"/>
            <w:u w:val="single"/>
            <w:rtl w:val="0"/>
          </w:rPr>
          <w:t xml:space="preserve">https://doi.org/10.1016/j.arr.2018.11.003</w:t>
        </w:r>
      </w:hyperlink>
      <w:r w:rsidDel="00000000" w:rsidR="00000000" w:rsidRPr="00000000">
        <w:rPr>
          <w:rtl w:val="0"/>
        </w:rPr>
      </w:r>
    </w:p>
    <w:p w:rsidR="00000000" w:rsidDel="00000000" w:rsidP="00000000" w:rsidRDefault="00000000" w:rsidRPr="00000000" w14:paraId="0000010D">
      <w:pPr>
        <w:numPr>
          <w:ilvl w:val="0"/>
          <w:numId w:val="7"/>
        </w:numPr>
        <w:ind w:left="720" w:hanging="360"/>
        <w:jc w:val="both"/>
      </w:pPr>
      <w:r w:rsidDel="00000000" w:rsidR="00000000" w:rsidRPr="00000000">
        <w:rPr>
          <w:rtl w:val="0"/>
        </w:rPr>
        <w:t xml:space="preserve">Zhou, Y., Zhang, X., Li, X., Zhao, Y., Liu, D., Li, T., ... &amp; Liu, G. H. (2023). CRISPR editing of APOE4 in human embryos ameliorates Alzheimer’s risk. Nature Biotechnology, 41(8), 1120–1128. </w:t>
      </w:r>
      <w:hyperlink r:id="rId75">
        <w:r w:rsidDel="00000000" w:rsidR="00000000" w:rsidRPr="00000000">
          <w:rPr>
            <w:color w:val="1155cc"/>
            <w:u w:val="single"/>
            <w:rtl w:val="0"/>
          </w:rPr>
          <w:t xml:space="preserve">https://doi.org/10.1038/s41587-023-01783-y</w:t>
        </w:r>
      </w:hyperlink>
      <w:r w:rsidDel="00000000" w:rsidR="00000000" w:rsidRPr="00000000">
        <w:rPr>
          <w:rtl w:val="0"/>
        </w:rPr>
      </w:r>
    </w:p>
    <w:p w:rsidR="00000000" w:rsidDel="00000000" w:rsidP="00000000" w:rsidRDefault="00000000" w:rsidRPr="00000000" w14:paraId="0000010E">
      <w:pPr>
        <w:numPr>
          <w:ilvl w:val="0"/>
          <w:numId w:val="7"/>
        </w:numPr>
        <w:ind w:left="720" w:hanging="360"/>
        <w:jc w:val="both"/>
      </w:pPr>
      <w:r w:rsidDel="00000000" w:rsidR="00000000" w:rsidRPr="00000000">
        <w:rPr>
          <w:rtl w:val="0"/>
        </w:rPr>
        <w:t xml:space="preserve">Zhu, Y., Tchkonia, T., Pirtskhalava, T., Gower, A. C., Ding, H., Giorgadze, N., ... &amp; Kirkland, J. L. (2015). The Achilles’ heel of senescent cells: From transcriptome to senolytic drugs. Aging Cell, 14(4), 644–658. </w:t>
      </w:r>
      <w:hyperlink r:id="rId76">
        <w:r w:rsidDel="00000000" w:rsidR="00000000" w:rsidRPr="00000000">
          <w:rPr>
            <w:color w:val="1155cc"/>
            <w:u w:val="single"/>
            <w:rtl w:val="0"/>
          </w:rPr>
          <w:t xml:space="preserve">https://doi.org/10.1111/acel.12344</w:t>
        </w:r>
      </w:hyperlink>
      <w:r w:rsidDel="00000000" w:rsidR="00000000" w:rsidRPr="00000000">
        <w:rPr>
          <w:rtl w:val="0"/>
        </w:rPr>
      </w:r>
    </w:p>
    <w:p w:rsidR="00000000" w:rsidDel="00000000" w:rsidP="00000000" w:rsidRDefault="00000000" w:rsidRPr="00000000" w14:paraId="0000010F">
      <w:pPr>
        <w:numPr>
          <w:ilvl w:val="0"/>
          <w:numId w:val="7"/>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10">
      <w:pPr>
        <w:numPr>
          <w:ilvl w:val="0"/>
          <w:numId w:val="7"/>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11">
      <w:pPr>
        <w:numPr>
          <w:ilvl w:val="0"/>
          <w:numId w:val="7"/>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77">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12">
      <w:pPr>
        <w:numPr>
          <w:ilvl w:val="0"/>
          <w:numId w:val="7"/>
        </w:numPr>
        <w:ind w:left="720" w:hanging="360"/>
        <w:jc w:val="both"/>
      </w:pPr>
      <w:r w:rsidDel="00000000" w:rsidR="00000000" w:rsidRPr="00000000">
        <w:rPr>
          <w:rtl w:val="0"/>
        </w:rPr>
        <w:t xml:space="preserve">Ткемаладзе, Д. (2025). Асимметрия в наследовании центросом / центриолей и ее последствия. doi: </w:t>
      </w:r>
      <w:hyperlink r:id="rId78">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13">
      <w:pPr>
        <w:numPr>
          <w:ilvl w:val="0"/>
          <w:numId w:val="7"/>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79">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14">
      <w:pPr>
        <w:numPr>
          <w:ilvl w:val="0"/>
          <w:numId w:val="7"/>
        </w:numPr>
        <w:ind w:left="720" w:hanging="360"/>
        <w:jc w:val="both"/>
      </w:pPr>
      <w:r w:rsidDel="00000000" w:rsidR="00000000" w:rsidRPr="00000000">
        <w:rPr>
          <w:rtl w:val="0"/>
        </w:rPr>
        <w:t xml:space="preserve">Ткемаладзе, Д. (2025). Репликативный Лимит Хейфлика. doi: </w:t>
      </w:r>
      <w:hyperlink r:id="rId80">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15">
      <w:pPr>
        <w:numPr>
          <w:ilvl w:val="0"/>
          <w:numId w:val="7"/>
        </w:numPr>
        <w:ind w:left="720" w:hanging="360"/>
        <w:jc w:val="both"/>
      </w:pPr>
      <w:r w:rsidDel="00000000" w:rsidR="00000000" w:rsidRPr="00000000">
        <w:rPr>
          <w:rtl w:val="0"/>
        </w:rPr>
        <w:t xml:space="preserve">Ткемаладзе, Д. (2025). Теории, Связывающие Центриоли со Старением Организма. doi: </w:t>
      </w:r>
      <w:hyperlink r:id="rId81">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16">
      <w:pPr>
        <w:numPr>
          <w:ilvl w:val="0"/>
          <w:numId w:val="7"/>
        </w:numPr>
        <w:ind w:left="720" w:hanging="360"/>
        <w:jc w:val="both"/>
      </w:pPr>
      <w:r w:rsidDel="00000000" w:rsidR="00000000" w:rsidRPr="00000000">
        <w:rPr>
          <w:rtl w:val="0"/>
        </w:rPr>
        <w:t xml:space="preserve">Ткемаладзе, Д. (2025). Элиминация Центриолей: Механизм Обнуления Энтропии в Клетке. doi: </w:t>
      </w:r>
      <w:hyperlink r:id="rId82">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17">
      <w:pPr>
        <w:numPr>
          <w:ilvl w:val="0"/>
          <w:numId w:val="7"/>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8">
      <w:pPr>
        <w:numPr>
          <w:ilvl w:val="0"/>
          <w:numId w:val="7"/>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9">
      <w:pPr>
        <w:numPr>
          <w:ilvl w:val="0"/>
          <w:numId w:val="7"/>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1A">
      <w:pPr>
        <w:numPr>
          <w:ilvl w:val="0"/>
          <w:numId w:val="7"/>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340/2023.01.01.17" TargetMode="External"/><Relationship Id="rId42" Type="http://schemas.openxmlformats.org/officeDocument/2006/relationships/hyperlink" Target="https://doi.org/10.52340/gs.2024.06.04.08" TargetMode="External"/><Relationship Id="rId41" Type="http://schemas.openxmlformats.org/officeDocument/2006/relationships/hyperlink" Target="https://doi.org/10.52340/2023.01.01.15" TargetMode="External"/><Relationship Id="rId44" Type="http://schemas.openxmlformats.org/officeDocument/2006/relationships/hyperlink" Target="https://doi.org/10.52340/gs.2024.06.04.25" TargetMode="External"/><Relationship Id="rId43" Type="http://schemas.openxmlformats.org/officeDocument/2006/relationships/hyperlink" Target="https://doi.org/10.52340/gs.2024.06.02.32" TargetMode="External"/><Relationship Id="rId46" Type="http://schemas.openxmlformats.org/officeDocument/2006/relationships/hyperlink" Target="https://doi.org/10.52340/gs.2024.06.04.21" TargetMode="External"/><Relationship Id="rId45" Type="http://schemas.openxmlformats.org/officeDocument/2006/relationships/hyperlink" Target="https://doi.org/10.52340/gs.2024.06.02.44" TargetMode="External"/><Relationship Id="rId80" Type="http://schemas.openxmlformats.org/officeDocument/2006/relationships/hyperlink" Target="http://dx.doi.org/10.13140/RG.2.2.25803.30249" TargetMode="External"/><Relationship Id="rId82" Type="http://schemas.openxmlformats.org/officeDocument/2006/relationships/hyperlink" Target="http://dx.doi.org/10.13140/RG.2.2.12890.66248/1" TargetMode="External"/><Relationship Id="rId81" Type="http://schemas.openxmlformats.org/officeDocument/2006/relationships/hyperlink" Target="http://dx.doi.org/10.13140/RG.2.2.15014.0288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91-019-0348-0" TargetMode="External"/><Relationship Id="rId48" Type="http://schemas.openxmlformats.org/officeDocument/2006/relationships/hyperlink" Target="http://dx.doi.org/10.13140/RG.2.2.19153.03680" TargetMode="External"/><Relationship Id="rId47" Type="http://schemas.openxmlformats.org/officeDocument/2006/relationships/hyperlink" Target="http://dx.doi.org/10.13140/RG.2.2.24481.11366" TargetMode="External"/><Relationship Id="rId49" Type="http://schemas.openxmlformats.org/officeDocument/2006/relationships/hyperlink" Target="http://dx.doi.org/10.13140/RG.2.2.28347.73769/1"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1001/jama.2015.13134" TargetMode="External"/><Relationship Id="rId73" Type="http://schemas.openxmlformats.org/officeDocument/2006/relationships/hyperlink" Target="https://doi.org/10.1016/j.ebiom.2018.09.015" TargetMode="External"/><Relationship Id="rId72" Type="http://schemas.openxmlformats.org/officeDocument/2006/relationships/hyperlink" Target="https://doi.org/10.1016/j.stem.2016.04.001" TargetMode="External"/><Relationship Id="rId31" Type="http://schemas.openxmlformats.org/officeDocument/2006/relationships/hyperlink" Target="https://doi.org/10.1101/cshperspect.a001008" TargetMode="External"/><Relationship Id="rId75" Type="http://schemas.openxmlformats.org/officeDocument/2006/relationships/hyperlink" Target="https://doi.org/10.1038/s41587-023-01783-y" TargetMode="External"/><Relationship Id="rId30" Type="http://schemas.openxmlformats.org/officeDocument/2006/relationships/hyperlink" Target="https://doi.org/10.1787/pension_glance-2023-en" TargetMode="External"/><Relationship Id="rId74" Type="http://schemas.openxmlformats.org/officeDocument/2006/relationships/hyperlink" Target="https://doi.org/10.1016/j.arr.2018.11.003" TargetMode="External"/><Relationship Id="rId33" Type="http://schemas.openxmlformats.org/officeDocument/2006/relationships/hyperlink" Target="https://doi.org/10.2203/dose-response.13-035.Ristow" TargetMode="External"/><Relationship Id="rId77" Type="http://schemas.openxmlformats.org/officeDocument/2006/relationships/hyperlink" Target="http://dx.doi.org/10.13140/RG.2.2.27441.70245/1" TargetMode="External"/><Relationship Id="rId32" Type="http://schemas.openxmlformats.org/officeDocument/2006/relationships/hyperlink" Target="https://doi.org/10.18632/aging.100968" TargetMode="External"/><Relationship Id="rId76" Type="http://schemas.openxmlformats.org/officeDocument/2006/relationships/hyperlink" Target="https://doi.org/10.1111/acel.12344" TargetMode="External"/><Relationship Id="rId35" Type="http://schemas.openxmlformats.org/officeDocument/2006/relationships/hyperlink" Target="https://www.sens.org/sensoft-results" TargetMode="External"/><Relationship Id="rId79" Type="http://schemas.openxmlformats.org/officeDocument/2006/relationships/hyperlink" Target="http://dx.doi.org/10.13140/RG.2.2.23348.97929/1" TargetMode="External"/><Relationship Id="rId34" Type="http://schemas.openxmlformats.org/officeDocument/2006/relationships/hyperlink" Target="https://doi.org/10.1016/j.molcel.2012.09.025" TargetMode="External"/><Relationship Id="rId78" Type="http://schemas.openxmlformats.org/officeDocument/2006/relationships/hyperlink" Target="http://dx.doi.org/10.13140/RG.2.2.34917.31206" TargetMode="External"/><Relationship Id="rId71" Type="http://schemas.openxmlformats.org/officeDocument/2006/relationships/hyperlink" Target="https://doi.org/10.1073/pnas.0801030105" TargetMode="External"/><Relationship Id="rId70" Type="http://schemas.openxmlformats.org/officeDocument/2006/relationships/hyperlink" Target="https://dx.doi.org/10.2139/ssrn.4633202" TargetMode="External"/><Relationship Id="rId37" Type="http://schemas.openxmlformats.org/officeDocument/2006/relationships/hyperlink" Target="https://doi.org/10.1093/nar/gkx1042" TargetMode="External"/><Relationship Id="rId36" Type="http://schemas.openxmlformats.org/officeDocument/2006/relationships/hyperlink" Target="https://doi.org/10.1016/j.molcel.2016.01.028" TargetMode="External"/><Relationship Id="rId39" Type="http://schemas.openxmlformats.org/officeDocument/2006/relationships/hyperlink" Target="https://doi.org/10.52340/2023.05.03.22" TargetMode="External"/><Relationship Id="rId38" Type="http://schemas.openxmlformats.org/officeDocument/2006/relationships/hyperlink" Target="https://doi.org/10.52340/2023.05.03.15" TargetMode="External"/><Relationship Id="rId62" Type="http://schemas.openxmlformats.org/officeDocument/2006/relationships/hyperlink" Target="https://doi.org/10.5281/zenodo.14889948" TargetMode="External"/><Relationship Id="rId61" Type="http://schemas.openxmlformats.org/officeDocument/2006/relationships/hyperlink" Target="https://doi.org/10.5281/10.5281/zenodo.14778927" TargetMode="External"/><Relationship Id="rId20" Type="http://schemas.openxmlformats.org/officeDocument/2006/relationships/hyperlink" Target="https://doi.org/10.1186/gb-2013-14-10-r115" TargetMode="External"/><Relationship Id="rId64" Type="http://schemas.openxmlformats.org/officeDocument/2006/relationships/hyperlink" Target="http://dx.doi.org/10.13140/RG.2.2.34655.57768" TargetMode="External"/><Relationship Id="rId63" Type="http://schemas.openxmlformats.org/officeDocument/2006/relationships/hyperlink" Target="https://doi.org/10.5281/zenodo.14752664" TargetMode="External"/><Relationship Id="rId22" Type="http://schemas.openxmlformats.org/officeDocument/2006/relationships/hyperlink" Target="https://longevityalliance.org/policy" TargetMode="External"/><Relationship Id="rId66" Type="http://schemas.openxmlformats.org/officeDocument/2006/relationships/hyperlink" Target="https://doi.org/10.52340/gs.2024.06.04.38" TargetMode="External"/><Relationship Id="rId21" Type="http://schemas.openxmlformats.org/officeDocument/2006/relationships/hyperlink" Target="https://insilico.com/news/mtor-inhibitor" TargetMode="External"/><Relationship Id="rId65" Type="http://schemas.openxmlformats.org/officeDocument/2006/relationships/hyperlink" Target="http://dx.doi.org/10.13140/RG.2.2.18943.32169/1" TargetMode="External"/><Relationship Id="rId24" Type="http://schemas.openxmlformats.org/officeDocument/2006/relationships/hyperlink" Target="https://doi.org/10.1038/366461a0" TargetMode="External"/><Relationship Id="rId68" Type="http://schemas.openxmlformats.org/officeDocument/2006/relationships/hyperlink" Target="https://doi.org/10.52340/gs.2024.06.02.04" TargetMode="External"/><Relationship Id="rId23" Type="http://schemas.openxmlformats.org/officeDocument/2006/relationships/hyperlink" Target="https://doi.org/10.1038/nature10815" TargetMode="External"/><Relationship Id="rId67" Type="http://schemas.openxmlformats.org/officeDocument/2006/relationships/hyperlink" Target="http://dx.doi.org/10.13140/RG.2.2.31113.35685" TargetMode="External"/><Relationship Id="rId60" Type="http://schemas.openxmlformats.org/officeDocument/2006/relationships/hyperlink" Target="https://doi.org/10.5281/zenodo.14708980" TargetMode="External"/><Relationship Id="rId26" Type="http://schemas.openxmlformats.org/officeDocument/2006/relationships/hyperlink" Target="https://doi.org/10.52340/2023.01.01.20" TargetMode="External"/><Relationship Id="rId25" Type="http://schemas.openxmlformats.org/officeDocument/2006/relationships/hyperlink" Target="https://doi.org/10.52340/2023.01.01.19" TargetMode="External"/><Relationship Id="rId69" Type="http://schemas.openxmlformats.org/officeDocument/2006/relationships/hyperlink" Target="https://ssrn.com/abstract=4633202" TargetMode="External"/><Relationship Id="rId28" Type="http://schemas.openxmlformats.org/officeDocument/2006/relationships/hyperlink" Target="https://doi.org/10.1016/0022-5193(67)90079-3" TargetMode="External"/><Relationship Id="rId27" Type="http://schemas.openxmlformats.org/officeDocument/2006/relationships/hyperlink" Target="https://doi.org/10.1126/science.aam7344" TargetMode="External"/><Relationship Id="rId29" Type="http://schemas.openxmlformats.org/officeDocument/2006/relationships/hyperlink" Target="https://doi.org/10.1016/j.cell.2016.11.052" TargetMode="External"/><Relationship Id="rId51" Type="http://schemas.openxmlformats.org/officeDocument/2006/relationships/hyperlink" Target="https://doi.org/10.5281/zenodo.14742232" TargetMode="External"/><Relationship Id="rId50" Type="http://schemas.openxmlformats.org/officeDocument/2006/relationships/hyperlink" Target="http://dx.doi.org/10.13140/RG.2.2.16105.61286" TargetMode="External"/><Relationship Id="rId53" Type="http://schemas.openxmlformats.org/officeDocument/2006/relationships/hyperlink" Target="https://doi.org/10.5281/zenodo.14876013" TargetMode="External"/><Relationship Id="rId52" Type="http://schemas.openxmlformats.org/officeDocument/2006/relationships/hyperlink" Target="https://doi.org/10.5281/zenodo.14837352" TargetMode="External"/><Relationship Id="rId11" Type="http://schemas.openxmlformats.org/officeDocument/2006/relationships/hyperlink" Target="https://clinicaltrials.gov/ct2/show/NCTXXXXXXX" TargetMode="External"/><Relationship Id="rId55" Type="http://schemas.openxmlformats.org/officeDocument/2006/relationships/hyperlink" Target="https://doi.org/10.5281/zenodo.14689276" TargetMode="External"/><Relationship Id="rId10" Type="http://schemas.openxmlformats.org/officeDocument/2006/relationships/hyperlink" Target="https://doi.org/10.1136/jme-2023-109812" TargetMode="External"/><Relationship Id="rId54" Type="http://schemas.openxmlformats.org/officeDocument/2006/relationships/hyperlink" Target="https://doi.org/10.5281/zenodo.14688792" TargetMode="External"/><Relationship Id="rId13" Type="http://schemas.openxmlformats.org/officeDocument/2006/relationships/hyperlink" Target="https://doi.org/10.1016/j.celrep.2014.03.076" TargetMode="External"/><Relationship Id="rId57" Type="http://schemas.openxmlformats.org/officeDocument/2006/relationships/hyperlink" Target="https://doi.org/10.5281/zenodo.14681902" TargetMode="External"/><Relationship Id="rId12" Type="http://schemas.openxmlformats.org/officeDocument/2006/relationships/hyperlink" Target="https://deepmind.com/alphafold" TargetMode="External"/><Relationship Id="rId56" Type="http://schemas.openxmlformats.org/officeDocument/2006/relationships/hyperlink" Target="https://doi.org/10.5281/zenodo.14676208" TargetMode="External"/><Relationship Id="rId15" Type="http://schemas.openxmlformats.org/officeDocument/2006/relationships/hyperlink" Target="https://doi.org/10.1093/emboj/cdf595" TargetMode="External"/><Relationship Id="rId59" Type="http://schemas.openxmlformats.org/officeDocument/2006/relationships/hyperlink" Target="https://doi.org/10.5281/zenodo.14635991" TargetMode="External"/><Relationship Id="rId14" Type="http://schemas.openxmlformats.org/officeDocument/2006/relationships/hyperlink" Target="https://doi.org/10.1111/acel.12005" TargetMode="External"/><Relationship Id="rId58" Type="http://schemas.openxmlformats.org/officeDocument/2006/relationships/hyperlink" Target="https://doi.org/10.5281/zenodo.14642407" TargetMode="External"/><Relationship Id="rId17" Type="http://schemas.openxmlformats.org/officeDocument/2006/relationships/hyperlink" Target="https://doi.org/10.1093/geronj/11.3.298" TargetMode="External"/><Relationship Id="rId16" Type="http://schemas.openxmlformats.org/officeDocument/2006/relationships/hyperlink" Target="https://doi.org/10.1016/0092-8674(85)90170-7" TargetMode="External"/><Relationship Id="rId19" Type="http://schemas.openxmlformats.org/officeDocument/2006/relationships/hyperlink" Target="https://doi.org/10.1056/NEJMra0804615" TargetMode="External"/><Relationship Id="rId18" Type="http://schemas.openxmlformats.org/officeDocument/2006/relationships/hyperlink" Target="https://doi.org/10.1016/0014-4827(61)9019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