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phm2d5xuzwnh" w:id="0"/>
      <w:bookmarkEnd w:id="0"/>
      <w:r w:rsidDel="00000000" w:rsidR="00000000" w:rsidRPr="00000000">
        <w:rPr>
          <w:rtl w:val="0"/>
        </w:rPr>
        <w:t xml:space="preserve">Protocol for Transplantation of Healthy Cells Between Adult Drosophila of Different Ages and Sexes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Tkemaladze¹</w:t>
        <w:br w:type="textWrapping"/>
        <w:t xml:space="preserve">¹ Director of Research, Longevity Clinic, Inc., Georgia</w:t>
        <w:br w:type="textWrapping"/>
      </w:r>
      <w:hyperlink r:id="rId6">
        <w:r w:rsidDel="00000000" w:rsidR="00000000" w:rsidRPr="00000000">
          <w:rPr>
            <w:color w:val="1155cc"/>
            <w:u w:val="single"/>
            <w:rtl w:val="0"/>
          </w:rPr>
          <w:t xml:space="preserve">https://orcid.org/0000-0001-8651-7243</w:t>
          <w:br w:type="textWrapping"/>
        </w:r>
      </w:hyperlink>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jc w:val="both"/>
        <w:rPr/>
      </w:pPr>
      <w:bookmarkStart w:colFirst="0" w:colLast="0" w:name="_tj8sp14kz8sa"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Drosophila melanogaster is utilized as an exceptionally powerful and versatile model organism for investigating tissue allotransplantation. This is largely attributable to its remarkably short life cycle, high degree of genetic manipulability, and the significant homology observed in many of its key signaling pathways when compared to those in mammals. The protocol described herein outlines the procedure for performing tissue transplants between adult individuals of differing ages and sexes. The procedure involves several critical steps: beginning with the meticulous dissection of the donor’s midgut tissue, followed by the precise microinjection of the dissected tissue into the recipient organism, and subsequently tracking the engraftment and integration of these transplanted tissues by exploiting the differences in the sex chromosomes between the donor and the recipient. The principal outcomes of this protocol reveal that the host organisms exhibit a high rate of short-term survival (exceeding 80%), and that the transplanted tissues undergo encapsulation by hemocytes. Moreover, there is a pronounced sexual dimorphism observed in the outcome of the transplantations: female hosts tend to mount a significantly stronger immune response through the activation of the Toll pathway, which in turn results in a more frequent rejection of the transplant, whereas male hosts display a higher level of tolerance towards foreign tissues. Additionally, it is noted that age-related changes in both the donor and the recipient have a significant impact on the overall success of the procedure. Older individuals often demonstrate a reduced regenerative capacity of their tissues, a phenomenon that is linked to the downregulation of crucial signaling pathways such as Hippo/DPP and an accumulation of oxidative stress. This methodology also permits the modeling of intestinal stem cell regeneration. Despite certain technical limitations – such as the very small size of the tissues involved and the lack of an adaptive immune system – the protocol affords researchers unique opportunities to analyze innate immune mechanisms, aging processes, and intercellular interactions. The data generated underscore the potential of Drosophila as an invaluable preclinical model, combining low costs, ethical acceptability, and the high standardization of experimental conditions. Ultimately, this work opens promising avenues for the study of evolutionarily conserved processes underlying both tissue regeneration and immune response within the context of allotransplantation.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Keywords: аllotransplantation, drosophila melanogaster, sexual dimorphism, pathway, aging, signaling</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3"/>
        <w:jc w:val="both"/>
        <w:rPr/>
      </w:pPr>
      <w:bookmarkStart w:colFirst="0" w:colLast="0" w:name="_gj1w9qe03nh5" w:id="2"/>
      <w:bookmarkEnd w:id="2"/>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Heading4"/>
        <w:jc w:val="both"/>
        <w:rPr/>
      </w:pPr>
      <w:bookmarkStart w:colFirst="0" w:colLast="0" w:name="_ns8trokigtde" w:id="3"/>
      <w:bookmarkEnd w:id="3"/>
      <w:r w:rsidDel="00000000" w:rsidR="00000000" w:rsidRPr="00000000">
        <w:rPr>
          <w:rtl w:val="0"/>
        </w:rPr>
        <w:t xml:space="preserve">Drosophila as a Model</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Animal models, including invertebrates such as the fruit fly Drosophila melanogaster, play a pivotal role in enhancing our understanding of fundamental biological processes that are intricately linked to human development and disease, including the multifaceted phenomenon of aging. The experimental advantages of using Drosophila are manifold and include an exceptionally high degree of genomic homology with humans, the availability of thousands of genetically modified strains, and the existence of well-established methods that facilitate the execution of complex experiments. In addition, the relatively low cost of maintenance, the rapid generation time, and the high fecundity of these flies collectively render Drosophila an ideal genetically tractable organism for conducting genome-level functional studies with a speed and level of detail that is often unattainable in vertebrate models (Pandey &amp; Nichols, 2011).</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Heading4"/>
        <w:jc w:val="both"/>
        <w:rPr/>
      </w:pPr>
      <w:bookmarkStart w:colFirst="0" w:colLast="0" w:name="_t37ucrpk8zg2" w:id="4"/>
      <w:bookmarkEnd w:id="4"/>
      <w:r w:rsidDel="00000000" w:rsidR="00000000" w:rsidRPr="00000000">
        <w:rPr>
          <w:rtl w:val="0"/>
        </w:rPr>
        <w:t xml:space="preserve">Genetic Tools for Allotransplantation</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Transgenic Drosophila lines, which make use of powerful systems such as UAS/GAL4 and CRISPR/Cas9, enable researchers to label donor tissues with fluorescent markers (for instance, GFP) so that the integration and fate of these tissues within the recipient organism can be meticulously tracked over time. For example, García-Alcover et al. (2014) developed an innovative system designed to study alternative splicing mechanisms in the context of myotonic dystrophy, and this system can be readily adapted for the analysis of transplanted tissues (García et al., 2014; ). Furthermore, the CRISPR/Cas9 system is employed not only for tissue labeling but also for the precise modification of genes involved in the immune response, thereby streamlining the process of modeling allotransplantation between individuals that are genetically distinct.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4"/>
        <w:jc w:val="both"/>
        <w:rPr/>
      </w:pPr>
      <w:bookmarkStart w:colFirst="0" w:colLast="0" w:name="_8370tm6i4cjy" w:id="5"/>
      <w:bookmarkEnd w:id="5"/>
      <w:r w:rsidDel="00000000" w:rsidR="00000000" w:rsidRPr="00000000">
        <w:rPr>
          <w:rtl w:val="0"/>
        </w:rPr>
        <w:t xml:space="preserve">Sex-Based Differences in Tissue Engraftment</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Sexual dimorphism in Drosophila exerts a significant influence on various cellular processes, including the proliferation of stem cells and the innate immune response. Notably, research conducted by Álvarez-Abril et al. (2023) has demonstrated that the sexual identity of intestinal cells critically determines their response to transplanted tissues. This is closely associated with the differential expression of genes such as LamCa and βTub97EF. In addition, studies have revealed that female flies tend to exhibit a more robust immune response when exposed to foreign tissues, a response that is mediated by the enhanced activation of the Toll pathway, whereas male flies generally show a greater tolerance towards allogeneic tissues.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4"/>
        <w:jc w:val="both"/>
        <w:rPr/>
      </w:pPr>
      <w:bookmarkStart w:colFirst="0" w:colLast="0" w:name="_tm0pvwz96ftt" w:id="6"/>
      <w:bookmarkEnd w:id="6"/>
      <w:r w:rsidDel="00000000" w:rsidR="00000000" w:rsidRPr="00000000">
        <w:rPr>
          <w:rtl w:val="0"/>
        </w:rPr>
        <w:t xml:space="preserve">Age-Related Effects on Donors and Recipients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Age-associated changes, which include the accumulation of mutations in stem cells, lead to a noticeable decline in the efficacy of tissue allotransplantation. For instance, it has been observed that older male individuals exhibit a significant reduction in their tissue regenerative capabilities, a consequence of increased oxidative stress and the concomitant suppression of critical signaling pathways such as Hippo and DPP (Pandey &amp; Jafar-Nejad, 2022) in models of NGLY1 deficiency. Experiments involving the transplantation of imaginal discs between young and aged individuals have further highlighted that aged specimens display a diminished activation of these key signaling cascades.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4"/>
        <w:jc w:val="both"/>
        <w:rPr/>
      </w:pPr>
      <w:bookmarkStart w:colFirst="0" w:colLast="0" w:name="_s2vzoxq1hoxb" w:id="7"/>
      <w:bookmarkEnd w:id="7"/>
      <w:r w:rsidDel="00000000" w:rsidR="00000000" w:rsidRPr="00000000">
        <w:rPr>
          <w:rtl w:val="0"/>
        </w:rPr>
        <w:t xml:space="preserve">Immune Response and Tolerance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While Drosophila lack an adaptive immune system, they possess highly sophisticated innate immune mechanisms that include signaling pathways such as JNK and Toll. These pathways are essential for the recognition and response to allogeneic transplants. Research by Pan et al. (2023) has demonstrated that suppression of the Toll pathway can lead to increased tolerance towards transplanted tissues. Moreover, the immune response in these flies is also modulated by tissue compatibility factors, which are analogous to the MHC genes found in mammals.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3"/>
        <w:jc w:val="both"/>
        <w:rPr/>
      </w:pPr>
      <w:bookmarkStart w:colFirst="0" w:colLast="0" w:name="_gwowxcr9xcpg" w:id="8"/>
      <w:bookmarkEnd w:id="8"/>
      <w:r w:rsidDel="00000000" w:rsidR="00000000" w:rsidRPr="00000000">
        <w:rPr>
          <w:rtl w:val="0"/>
        </w:rPr>
        <w:t xml:space="preserve">Practical Applications in Research</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In practical research settings, imaginal discs are used to study the integration of transplanted tissues owing to their inherent regenerative capabilities. For instance, Thorpe et al. (2024) modeled PIGA-CDG, effectively demonstrating that the transplanted tissues recapitulate patient phenotypes. Additionally, tissues such as wings and eyes are employed for the quantitative assessment of growth and regeneration. Detailed imaging methods, including scanning electron microscopy (SEM) and advanced light microscopy, have been described in the work of García-Alcover et al. (2014).</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3"/>
        <w:jc w:val="both"/>
        <w:rPr/>
      </w:pPr>
      <w:bookmarkStart w:colFirst="0" w:colLast="0" w:name="_64qlzo61qgzq" w:id="9"/>
      <w:bookmarkEnd w:id="9"/>
      <w:r w:rsidDel="00000000" w:rsidR="00000000" w:rsidRPr="00000000">
        <w:rPr>
          <w:rtl w:val="0"/>
        </w:rPr>
        <w:t xml:space="preserve">Development and Review of the Allotransplantation Method</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Historically, the pioneering work on allotransplantation in Drosophila dates back to the 1920s, when Chambers (1921) first described a micromanipulator for injections. Later, Ephrussi and Beadle (1936) adapted this technology for the transplantation of organs between Drosophila larvae. Contemporary modifications of this method now enable the transplantation of tissues from either larvae or adult flies into adult hosts (Herranz et al., 2012). The allotransplantation procedure itself is relatively straightforward when all critical details are rigorously followed. The protocol comprises several essential steps: the preparation of an injection system, the precise labeling of both the implant and the host, the careful dissection of the donor tissue, the loading of the tissue into a fine needle, and finally, the injection into the host’s body cavity.</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4"/>
        <w:jc w:val="both"/>
        <w:rPr/>
      </w:pPr>
      <w:bookmarkStart w:colFirst="0" w:colLast="0" w:name="_9l16hfppfmmg" w:id="10"/>
      <w:bookmarkEnd w:id="10"/>
      <w:r w:rsidDel="00000000" w:rsidR="00000000" w:rsidRPr="00000000">
        <w:rPr>
          <w:rtl w:val="0"/>
        </w:rPr>
        <w:t xml:space="preserve">Applications, Advantages, and Limitations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Heading5"/>
        <w:jc w:val="both"/>
        <w:rPr/>
      </w:pPr>
      <w:bookmarkStart w:colFirst="0" w:colLast="0" w:name="_1pdqi4dyje9t" w:id="11"/>
      <w:bookmarkEnd w:id="11"/>
      <w:r w:rsidDel="00000000" w:rsidR="00000000" w:rsidRPr="00000000">
        <w:rPr>
          <w:rtl w:val="0"/>
        </w:rPr>
        <w:t xml:space="preserve">Studying Age-Related Changes:</w:t>
      </w:r>
    </w:p>
    <w:p w:rsidR="00000000" w:rsidDel="00000000" w:rsidP="00000000" w:rsidRDefault="00000000" w:rsidRPr="00000000" w14:paraId="0000002C">
      <w:pPr>
        <w:jc w:val="both"/>
        <w:rPr/>
      </w:pPr>
      <w:r w:rsidDel="00000000" w:rsidR="00000000" w:rsidRPr="00000000">
        <w:rPr>
          <w:rtl w:val="0"/>
        </w:rPr>
        <w:br w:type="textWrapping"/>
        <w:t xml:space="preserve">The transplantation of tissues between young and old individuals allows researchers to explore how aging influences tissue regeneration, the integration of transplanted grafts, and overall cellular functionality. For example, it has been noted that aged Drosophila exhibit a marked reduction in the activity of signaling pathways (such as Hippo and DPP), which adversely affects the successful engraftment of tissues (Pandey &amp; Jafar-Nejad, 2022). This method also enables the modeling of age-associated pathologies, including the accumulation of oxidative stress and mitochondrial dysfunction, through tissue grafting experiments (Thorpe et al., 2024).</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5"/>
        <w:jc w:val="both"/>
        <w:rPr/>
      </w:pPr>
      <w:bookmarkStart w:colFirst="0" w:colLast="0" w:name="_loq3g2u504a2" w:id="12"/>
      <w:bookmarkEnd w:id="12"/>
      <w:r w:rsidDel="00000000" w:rsidR="00000000" w:rsidRPr="00000000">
        <w:rPr>
          <w:rtl w:val="0"/>
        </w:rPr>
        <w:t xml:space="preserve">Analysis of Sexual Dimorphism:</w:t>
      </w:r>
    </w:p>
    <w:p w:rsidR="00000000" w:rsidDel="00000000" w:rsidP="00000000" w:rsidRDefault="00000000" w:rsidRPr="00000000" w14:paraId="0000002F">
      <w:pPr>
        <w:jc w:val="both"/>
        <w:rPr/>
      </w:pPr>
      <w:r w:rsidDel="00000000" w:rsidR="00000000" w:rsidRPr="00000000">
        <w:rPr>
          <w:rtl w:val="0"/>
        </w:rPr>
        <w:br w:type="textWrapping"/>
        <w:t xml:space="preserve">Transplanting tissues between male and female flies provides valuable insights into the sex-based differences that govern immune responses and regenerative processes. For instance, female Drosophila demonstrate a significantly higher activation of the Toll pathway, which leads to more pronounced rejection of transplants (Álvarez-Abril et al., 2023). Moreover, the investigation into the roles of sex-specific genes (such as LamCa and βTub97EF) in the integration and survival of donor tissues has further illuminated these differences (Mandik et al., 2022).</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5"/>
        <w:jc w:val="both"/>
        <w:rPr/>
      </w:pPr>
      <w:bookmarkStart w:colFirst="0" w:colLast="0" w:name="_dz61logrc816" w:id="13"/>
      <w:bookmarkEnd w:id="13"/>
      <w:r w:rsidDel="00000000" w:rsidR="00000000" w:rsidRPr="00000000">
        <w:rPr>
          <w:rtl w:val="0"/>
        </w:rPr>
        <w:t xml:space="preserve">Immunological Studies:</w:t>
      </w:r>
    </w:p>
    <w:p w:rsidR="00000000" w:rsidDel="00000000" w:rsidP="00000000" w:rsidRDefault="00000000" w:rsidRPr="00000000" w14:paraId="00000032">
      <w:pPr>
        <w:jc w:val="both"/>
        <w:rPr/>
      </w:pPr>
      <w:r w:rsidDel="00000000" w:rsidR="00000000" w:rsidRPr="00000000">
        <w:rPr>
          <w:rtl w:val="0"/>
        </w:rPr>
        <w:br w:type="textWrapping"/>
        <w:t xml:space="preserve">Although Drosophila lack an adaptive immune system, their innate immune responses remain robust and can be effectively studied in the context of tissue transplantation. Key innate mechanisms, including the activation of hemocytes and the JNK/Toll signaling pathways, have been implicated in the rejection or acceptance of allografts (Pan et al., 2023).</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5"/>
        <w:jc w:val="both"/>
        <w:rPr/>
      </w:pPr>
      <w:bookmarkStart w:colFirst="0" w:colLast="0" w:name="_vpvjwqerzgyv" w:id="14"/>
      <w:bookmarkEnd w:id="14"/>
      <w:r w:rsidDel="00000000" w:rsidR="00000000" w:rsidRPr="00000000">
        <w:rPr>
          <w:rtl w:val="0"/>
        </w:rPr>
        <w:t xml:space="preserve">Genetic Manipulations:</w:t>
      </w:r>
    </w:p>
    <w:p w:rsidR="00000000" w:rsidDel="00000000" w:rsidP="00000000" w:rsidRDefault="00000000" w:rsidRPr="00000000" w14:paraId="00000035">
      <w:pPr>
        <w:jc w:val="both"/>
        <w:rPr/>
      </w:pPr>
      <w:r w:rsidDel="00000000" w:rsidR="00000000" w:rsidRPr="00000000">
        <w:rPr>
          <w:rtl w:val="0"/>
        </w:rPr>
        <w:br w:type="textWrapping"/>
        <w:t xml:space="preserve">The use of transgenic lines that express fluorescent proteins (for example, GFP-tagged tissues) facilitates the precise tracking and monitoring of donor tissue engraftment within the recipient organism (García-Alcover et al., 2014).</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3"/>
        <w:jc w:val="both"/>
        <w:rPr/>
      </w:pPr>
      <w:bookmarkStart w:colFirst="0" w:colLast="0" w:name="_a8dmn0to1kvl" w:id="15"/>
      <w:bookmarkEnd w:id="15"/>
      <w:r w:rsidDel="00000000" w:rsidR="00000000" w:rsidRPr="00000000">
        <w:rPr>
          <w:rtl w:val="0"/>
        </w:rPr>
        <w:t xml:space="preserve">Advantages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4"/>
        <w:jc w:val="both"/>
        <w:rPr/>
      </w:pPr>
      <w:bookmarkStart w:colFirst="0" w:colLast="0" w:name="_yykclpi8blmi" w:id="16"/>
      <w:bookmarkEnd w:id="16"/>
      <w:r w:rsidDel="00000000" w:rsidR="00000000" w:rsidRPr="00000000">
        <w:rPr>
          <w:rtl w:val="0"/>
        </w:rPr>
        <w:t xml:space="preserve">Genetic Controllability:</w:t>
      </w:r>
    </w:p>
    <w:p w:rsidR="00000000" w:rsidDel="00000000" w:rsidP="00000000" w:rsidRDefault="00000000" w:rsidRPr="00000000" w14:paraId="0000003A">
      <w:pPr>
        <w:jc w:val="both"/>
        <w:rPr/>
      </w:pPr>
      <w:r w:rsidDel="00000000" w:rsidR="00000000" w:rsidRPr="00000000">
        <w:rPr>
          <w:rtl w:val="0"/>
        </w:rPr>
        <w:br w:type="textWrapping"/>
        <w:t xml:space="preserve">The availability of advanced genetic modification techniques, such as CRISPR/Cas9, enables researchers to selectively alter gene expression and to study the roles of specific genes in tissue engraftment and regeneration (Thorpe et al., 2024). In addition, the extensive repertoire of transgenic markers (using systems like UAS/GAL4) allows for high-resolution visualization of transplanted tissues.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4"/>
        <w:jc w:val="both"/>
        <w:rPr/>
      </w:pPr>
      <w:bookmarkStart w:colFirst="0" w:colLast="0" w:name="_8m7db1e4of9k" w:id="17"/>
      <w:bookmarkEnd w:id="17"/>
      <w:r w:rsidDel="00000000" w:rsidR="00000000" w:rsidRPr="00000000">
        <w:rPr>
          <w:rtl w:val="0"/>
        </w:rPr>
        <w:t xml:space="preserve">Short Life Cycle:</w:t>
      </w:r>
    </w:p>
    <w:p w:rsidR="00000000" w:rsidDel="00000000" w:rsidP="00000000" w:rsidRDefault="00000000" w:rsidRPr="00000000" w14:paraId="0000003D">
      <w:pPr>
        <w:jc w:val="both"/>
        <w:rPr/>
      </w:pPr>
      <w:r w:rsidDel="00000000" w:rsidR="00000000" w:rsidRPr="00000000">
        <w:rPr>
          <w:rtl w:val="0"/>
        </w:rPr>
        <w:br w:type="textWrapping"/>
        <w:t xml:space="preserve">Due to the rapid generation time of Drosophila, it is possible to quickly assess the long-term effects of tissue transplantation. Age-related changes can be monitored over a span of merely two to three weeks, which is far more rapid than in vertebrate systems.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4"/>
        <w:jc w:val="both"/>
        <w:rPr/>
      </w:pPr>
      <w:bookmarkStart w:colFirst="0" w:colLast="0" w:name="_m7ceuz9o7w68" w:id="18"/>
      <w:bookmarkEnd w:id="18"/>
      <w:r w:rsidDel="00000000" w:rsidR="00000000" w:rsidRPr="00000000">
        <w:rPr>
          <w:rtl w:val="0"/>
        </w:rPr>
        <w:t xml:space="preserve">Low Cost and Ethical Acceptability:</w:t>
      </w:r>
    </w:p>
    <w:p w:rsidR="00000000" w:rsidDel="00000000" w:rsidP="00000000" w:rsidRDefault="00000000" w:rsidRPr="00000000" w14:paraId="00000040">
      <w:pPr>
        <w:jc w:val="both"/>
        <w:rPr/>
      </w:pPr>
      <w:r w:rsidDel="00000000" w:rsidR="00000000" w:rsidRPr="00000000">
        <w:rPr>
          <w:rtl w:val="0"/>
        </w:rPr>
        <w:br w:type="textWrapping"/>
        <w:t xml:space="preserve">Experiments utilizing Drosophila are generally inexpensive to conduct and do not involve significant ethical complications. This makes them highly attractive for large-scale preclinical research.</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4"/>
        <w:jc w:val="both"/>
        <w:rPr/>
      </w:pPr>
      <w:bookmarkStart w:colFirst="0" w:colLast="0" w:name="_n0d0hgr8xy40" w:id="19"/>
      <w:bookmarkEnd w:id="19"/>
      <w:r w:rsidDel="00000000" w:rsidR="00000000" w:rsidRPr="00000000">
        <w:rPr>
          <w:rtl w:val="0"/>
        </w:rPr>
        <w:t xml:space="preserve">Standardization of Conditions:</w:t>
      </w:r>
    </w:p>
    <w:p w:rsidR="00000000" w:rsidDel="00000000" w:rsidP="00000000" w:rsidRDefault="00000000" w:rsidRPr="00000000" w14:paraId="00000043">
      <w:pPr>
        <w:jc w:val="both"/>
        <w:rPr/>
      </w:pPr>
      <w:r w:rsidDel="00000000" w:rsidR="00000000" w:rsidRPr="00000000">
        <w:rPr>
          <w:rtl w:val="0"/>
        </w:rPr>
        <w:br w:type="textWrapping"/>
        <w:t xml:space="preserve">The ability to control variables such as age, sex, and genetic background of the individuals involved minimizes experimental variability and ensures that the results are highly reproducible and standardized.</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3"/>
        <w:jc w:val="both"/>
        <w:rPr/>
      </w:pPr>
      <w:bookmarkStart w:colFirst="0" w:colLast="0" w:name="_31oa9z3ej0qn" w:id="20"/>
      <w:bookmarkEnd w:id="20"/>
      <w:r w:rsidDel="00000000" w:rsidR="00000000" w:rsidRPr="00000000">
        <w:rPr>
          <w:rtl w:val="0"/>
        </w:rPr>
        <w:t xml:space="preserve">Limitations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4"/>
        <w:jc w:val="both"/>
        <w:rPr/>
      </w:pPr>
      <w:bookmarkStart w:colFirst="0" w:colLast="0" w:name="_9yohf9uw71if" w:id="21"/>
      <w:bookmarkEnd w:id="21"/>
      <w:r w:rsidDel="00000000" w:rsidR="00000000" w:rsidRPr="00000000">
        <w:rPr>
          <w:rtl w:val="0"/>
        </w:rPr>
        <w:t xml:space="preserve">Simplified Immune System:</w:t>
      </w:r>
    </w:p>
    <w:p w:rsidR="00000000" w:rsidDel="00000000" w:rsidP="00000000" w:rsidRDefault="00000000" w:rsidRPr="00000000" w14:paraId="00000048">
      <w:pPr>
        <w:jc w:val="both"/>
        <w:rPr/>
      </w:pPr>
      <w:r w:rsidDel="00000000" w:rsidR="00000000" w:rsidRPr="00000000">
        <w:rPr>
          <w:rtl w:val="0"/>
        </w:rPr>
        <w:br w:type="textWrapping"/>
        <w:t xml:space="preserve">One of the principal limitations of using Drosophila is the absence of an adaptive immune system (i.e., T- and B-cells). This restricts the study of immune mechanisms that are of critical importance in mammalian allotransplantation (Pan et al., 2023).</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4"/>
        <w:jc w:val="both"/>
        <w:rPr/>
      </w:pPr>
      <w:bookmarkStart w:colFirst="0" w:colLast="0" w:name="_hy20zm9zy0p1" w:id="22"/>
      <w:bookmarkEnd w:id="22"/>
      <w:r w:rsidDel="00000000" w:rsidR="00000000" w:rsidRPr="00000000">
        <w:rPr>
          <w:rtl w:val="0"/>
        </w:rPr>
        <w:t xml:space="preserve">Physiological Differences with Vertebrates:</w:t>
      </w:r>
    </w:p>
    <w:p w:rsidR="00000000" w:rsidDel="00000000" w:rsidP="00000000" w:rsidRDefault="00000000" w:rsidRPr="00000000" w14:paraId="0000004B">
      <w:pPr>
        <w:jc w:val="both"/>
        <w:rPr/>
      </w:pPr>
      <w:r w:rsidDel="00000000" w:rsidR="00000000" w:rsidRPr="00000000">
        <w:rPr>
          <w:rtl w:val="0"/>
        </w:rPr>
        <w:br w:type="textWrapping"/>
        <w:t xml:space="preserve">The tissues of Drosophila, such as the imaginal discs, differ significantly in both structure and function from those of humans. Such differences may reduce the translational applicability of the findings to clinical settings.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4"/>
        <w:jc w:val="both"/>
        <w:rPr/>
      </w:pPr>
      <w:bookmarkStart w:colFirst="0" w:colLast="0" w:name="_rytqqb97i52w" w:id="23"/>
      <w:bookmarkEnd w:id="23"/>
      <w:r w:rsidDel="00000000" w:rsidR="00000000" w:rsidRPr="00000000">
        <w:rPr>
          <w:rtl w:val="0"/>
        </w:rPr>
        <w:t xml:space="preserve">Technical Complexity:</w:t>
      </w:r>
    </w:p>
    <w:p w:rsidR="00000000" w:rsidDel="00000000" w:rsidP="00000000" w:rsidRDefault="00000000" w:rsidRPr="00000000" w14:paraId="0000004E">
      <w:pPr>
        <w:jc w:val="both"/>
        <w:rPr/>
      </w:pPr>
      <w:r w:rsidDel="00000000" w:rsidR="00000000" w:rsidRPr="00000000">
        <w:rPr>
          <w:rtl w:val="0"/>
        </w:rPr>
        <w:br w:type="textWrapping"/>
        <w:t xml:space="preserve">The extremely small size of Drosophila tissues poses significant technical challenges during microsurgical manipulations. This can complicate the transplantation procedures and affect the precision of the experiments (Gong et al., 2021).</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4"/>
        <w:jc w:val="both"/>
        <w:rPr/>
      </w:pPr>
      <w:bookmarkStart w:colFirst="0" w:colLast="0" w:name="_w33oadb9ylfz" w:id="24"/>
      <w:bookmarkEnd w:id="24"/>
      <w:r w:rsidDel="00000000" w:rsidR="00000000" w:rsidRPr="00000000">
        <w:rPr>
          <w:rtl w:val="0"/>
        </w:rPr>
        <w:t xml:space="preserve">Limited Transferability of Results:</w:t>
      </w:r>
    </w:p>
    <w:p w:rsidR="00000000" w:rsidDel="00000000" w:rsidP="00000000" w:rsidRDefault="00000000" w:rsidRPr="00000000" w14:paraId="00000051">
      <w:pPr>
        <w:jc w:val="both"/>
        <w:rPr/>
      </w:pPr>
      <w:r w:rsidDel="00000000" w:rsidR="00000000" w:rsidRPr="00000000">
        <w:rPr>
          <w:rtl w:val="0"/>
        </w:rPr>
        <w:br w:type="textWrapping"/>
        <w:t xml:space="preserve">Sexual differences in Drosophila are regulated by mechanisms that are distinct from those in mammals (for example, the absence of a complex hormonal system akin to that of vertebrates). As a result, extrapolating these findings to human allotransplantation models can be problematic (Álvarez-Abril et al., 2023).</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Style w:val="Heading4"/>
        <w:jc w:val="both"/>
        <w:rPr/>
      </w:pPr>
      <w:bookmarkStart w:colFirst="0" w:colLast="0" w:name="_ak7s1eugygc2" w:id="25"/>
      <w:bookmarkEnd w:id="25"/>
      <w:r w:rsidDel="00000000" w:rsidR="00000000" w:rsidRPr="00000000">
        <w:rPr>
          <w:rtl w:val="0"/>
        </w:rPr>
        <w:t xml:space="preserve">Absence of Chronic Rejection Models:</w:t>
      </w:r>
    </w:p>
    <w:p w:rsidR="00000000" w:rsidDel="00000000" w:rsidP="00000000" w:rsidRDefault="00000000" w:rsidRPr="00000000" w14:paraId="00000054">
      <w:pPr>
        <w:jc w:val="both"/>
        <w:rPr/>
      </w:pPr>
      <w:r w:rsidDel="00000000" w:rsidR="00000000" w:rsidRPr="00000000">
        <w:rPr>
          <w:rtl w:val="0"/>
        </w:rPr>
        <w:br w:type="textWrapping"/>
        <w:t xml:space="preserve">Due to the relatively short lifespan of Drosophila, it is challenging to study the long-term effects and chronic rejection processes that occur in tissue transplantation, which are critical aspects when considering translational research to mammalian systems.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pStyle w:val="Heading3"/>
        <w:jc w:val="both"/>
        <w:rPr/>
      </w:pPr>
      <w:bookmarkStart w:colFirst="0" w:colLast="0" w:name="_3j6j4vvtrp2h" w:id="26"/>
      <w:bookmarkEnd w:id="26"/>
      <w:r w:rsidDel="00000000" w:rsidR="00000000" w:rsidRPr="00000000">
        <w:rPr>
          <w:rtl w:val="0"/>
        </w:rPr>
        <w:t xml:space="preserve">Preparation and Equipment</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process of dissection and monitoring necessitates the utilization of a standard microscope. Needles are meticulously prepared using a micropuller and microforge. To ensure sterility, ethanol treatment and medium filtration are rigorously implemented. Proper calibration of instruments and adherence to standardized procedures are critical to maintaining experimental accuracy and reproducibility.</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4"/>
        <w:jc w:val="both"/>
        <w:rPr/>
      </w:pPr>
      <w:bookmarkStart w:colFirst="0" w:colLast="0" w:name="_dnb718ssufxz" w:id="27"/>
      <w:bookmarkEnd w:id="27"/>
      <w:r w:rsidDel="00000000" w:rsidR="00000000" w:rsidRPr="00000000">
        <w:rPr>
          <w:rtl w:val="0"/>
        </w:rPr>
        <w:t xml:space="preserve">Materials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5"/>
        <w:jc w:val="both"/>
        <w:rPr/>
      </w:pPr>
      <w:bookmarkStart w:colFirst="0" w:colLast="0" w:name="_7y6y1lr3cupi" w:id="28"/>
      <w:bookmarkEnd w:id="28"/>
      <w:r w:rsidDel="00000000" w:rsidR="00000000" w:rsidRPr="00000000">
        <w:rPr>
          <w:rtl w:val="0"/>
        </w:rPr>
        <w:t xml:space="preserve">Reagents: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numPr>
          <w:ilvl w:val="0"/>
          <w:numId w:val="5"/>
        </w:numPr>
        <w:ind w:left="720" w:hanging="360"/>
        <w:jc w:val="both"/>
      </w:pPr>
      <w:r w:rsidDel="00000000" w:rsidR="00000000" w:rsidRPr="00000000">
        <w:rPr>
          <w:rtl w:val="0"/>
        </w:rPr>
        <w:t xml:space="preserve">Drosophila strains (wild-type strain and genetically modified lines, if applicable).</w:t>
      </w:r>
    </w:p>
    <w:p w:rsidR="00000000" w:rsidDel="00000000" w:rsidP="00000000" w:rsidRDefault="00000000" w:rsidRPr="00000000" w14:paraId="0000005F">
      <w:pPr>
        <w:numPr>
          <w:ilvl w:val="0"/>
          <w:numId w:val="5"/>
        </w:numPr>
        <w:ind w:left="720" w:hanging="360"/>
        <w:jc w:val="both"/>
      </w:pPr>
      <w:r w:rsidDel="00000000" w:rsidR="00000000" w:rsidRPr="00000000">
        <w:rPr>
          <w:rtl w:val="0"/>
        </w:rPr>
        <w:t xml:space="preserve">Chemical reagents (NaCl, KCl, MgCl2, CaCl2, and appropriate buffer solutions).</w:t>
      </w:r>
    </w:p>
    <w:p w:rsidR="00000000" w:rsidDel="00000000" w:rsidP="00000000" w:rsidRDefault="00000000" w:rsidRPr="00000000" w14:paraId="00000060">
      <w:pPr>
        <w:numPr>
          <w:ilvl w:val="0"/>
          <w:numId w:val="5"/>
        </w:numPr>
        <w:ind w:left="720" w:hanging="360"/>
        <w:jc w:val="both"/>
      </w:pPr>
      <w:r w:rsidDel="00000000" w:rsidR="00000000" w:rsidRPr="00000000">
        <w:rPr>
          <w:rtl w:val="0"/>
        </w:rPr>
        <w:t xml:space="preserve">Nutrient medium for flies (standard cornmeal-agar medium or specialized formulations).</w:t>
      </w:r>
    </w:p>
    <w:p w:rsidR="00000000" w:rsidDel="00000000" w:rsidP="00000000" w:rsidRDefault="00000000" w:rsidRPr="00000000" w14:paraId="00000061">
      <w:pPr>
        <w:numPr>
          <w:ilvl w:val="0"/>
          <w:numId w:val="5"/>
        </w:numPr>
        <w:ind w:left="720" w:hanging="360"/>
        <w:jc w:val="both"/>
      </w:pPr>
      <w:r w:rsidDel="00000000" w:rsidR="00000000" w:rsidRPr="00000000">
        <w:rPr>
          <w:rtl w:val="0"/>
        </w:rPr>
        <w:t xml:space="preserve">Enzymatic solutions for tissue dissociation (e.g., collagenase, dispase, trypsin, or papain).</w:t>
      </w:r>
    </w:p>
    <w:p w:rsidR="00000000" w:rsidDel="00000000" w:rsidP="00000000" w:rsidRDefault="00000000" w:rsidRPr="00000000" w14:paraId="00000062">
      <w:pPr>
        <w:numPr>
          <w:ilvl w:val="0"/>
          <w:numId w:val="5"/>
        </w:numPr>
        <w:ind w:left="720" w:hanging="360"/>
        <w:jc w:val="both"/>
      </w:pPr>
      <w:r w:rsidDel="00000000" w:rsidR="00000000" w:rsidRPr="00000000">
        <w:rPr>
          <w:rtl w:val="0"/>
        </w:rPr>
        <w:t xml:space="preserve">Fluorescent dyes or antibodies for cell sorting (if applicable).</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5"/>
        <w:jc w:val="both"/>
        <w:rPr/>
      </w:pPr>
      <w:bookmarkStart w:colFirst="0" w:colLast="0" w:name="_2gn0qzp85spd" w:id="29"/>
      <w:bookmarkEnd w:id="29"/>
      <w:r w:rsidDel="00000000" w:rsidR="00000000" w:rsidRPr="00000000">
        <w:rPr>
          <w:rtl w:val="0"/>
        </w:rPr>
        <w:t xml:space="preserve">Generation of Isogenic Drosophila Lines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Isogenic lines of Drosophila represent genetically identical populations engineered for the specific purpose of investigating the effects of individual genes or chromosomes on phenotypic expression. The primary methodologies employed in their development encompass selection, backcrossing, and the utilization of genetic markers. The following section outlines a generalized protocol derived from various sources: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5"/>
        <w:jc w:val="both"/>
        <w:rPr/>
      </w:pPr>
      <w:bookmarkStart w:colFirst="0" w:colLast="0" w:name="_frxbcst7ojvr" w:id="30"/>
      <w:bookmarkEnd w:id="30"/>
      <w:r w:rsidDel="00000000" w:rsidR="00000000" w:rsidRPr="00000000">
        <w:rPr>
          <w:rtl w:val="0"/>
        </w:rPr>
        <w:t xml:space="preserve">Selection of Parental Lines and Genetic Markers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11"/>
        </w:numPr>
        <w:ind w:left="720" w:hanging="360"/>
        <w:jc w:val="both"/>
      </w:pPr>
      <w:r w:rsidDel="00000000" w:rsidR="00000000" w:rsidRPr="00000000">
        <w:rPr>
          <w:rtl w:val="0"/>
        </w:rPr>
        <w:t xml:space="preserve">Donor and recipient: Two lines are carefully chosen—a donor line carrying the target trait (such as a mutation) and a recipient line serving as the genetic background for integration.</w:t>
      </w:r>
    </w:p>
    <w:p w:rsidR="00000000" w:rsidDel="00000000" w:rsidP="00000000" w:rsidRDefault="00000000" w:rsidRPr="00000000" w14:paraId="0000006B">
      <w:pPr>
        <w:numPr>
          <w:ilvl w:val="0"/>
          <w:numId w:val="11"/>
        </w:numPr>
        <w:ind w:left="720" w:hanging="360"/>
        <w:jc w:val="both"/>
      </w:pPr>
      <w:r w:rsidDel="00000000" w:rsidR="00000000" w:rsidRPr="00000000">
        <w:rPr>
          <w:rtl w:val="0"/>
        </w:rPr>
        <w:t xml:space="preserve">Genetic markers: Marker genes (e.g., white for white eyes or vestigial for underdeveloped wings) are employed to track chromosomal transmission.</w:t>
      </w:r>
    </w:p>
    <w:p w:rsidR="00000000" w:rsidDel="00000000" w:rsidP="00000000" w:rsidRDefault="00000000" w:rsidRPr="00000000" w14:paraId="0000006C">
      <w:pPr>
        <w:numPr>
          <w:ilvl w:val="0"/>
          <w:numId w:val="11"/>
        </w:numPr>
        <w:ind w:left="720" w:hanging="360"/>
        <w:jc w:val="both"/>
      </w:pPr>
      <w:r w:rsidDel="00000000" w:rsidR="00000000" w:rsidRPr="00000000">
        <w:rPr>
          <w:rtl w:val="0"/>
        </w:rPr>
        <w:t xml:space="preserve">Inversions: To mitigate crossover events in target chromosomes, inversion-bearing chromosomes (such as balancer chromosomes) are utilized.</w:t>
      </w:r>
    </w:p>
    <w:p w:rsidR="00000000" w:rsidDel="00000000" w:rsidP="00000000" w:rsidRDefault="00000000" w:rsidRPr="00000000" w14:paraId="0000006D">
      <w:pPr>
        <w:pStyle w:val="Heading5"/>
        <w:jc w:val="both"/>
        <w:rPr/>
      </w:pPr>
      <w:bookmarkStart w:colFirst="0" w:colLast="0" w:name="_2upk7w2tndib" w:id="31"/>
      <w:bookmarkEnd w:id="31"/>
      <w:r w:rsidDel="00000000" w:rsidR="00000000" w:rsidRPr="00000000">
        <w:rPr>
          <w:rtl w:val="0"/>
        </w:rPr>
        <w:t xml:space="preserve">Backcrossing Scheme</w:t>
      </w:r>
    </w:p>
    <w:p w:rsidR="00000000" w:rsidDel="00000000" w:rsidP="00000000" w:rsidRDefault="00000000" w:rsidRPr="00000000" w14:paraId="0000006E">
      <w:pPr>
        <w:jc w:val="both"/>
        <w:rPr/>
      </w:pPr>
      <w:r w:rsidDel="00000000" w:rsidR="00000000" w:rsidRPr="00000000">
        <w:rPr>
          <w:rtl w:val="0"/>
        </w:rPr>
        <w:t xml:space="preserve">Stages:</w:t>
      </w:r>
    </w:p>
    <w:p w:rsidR="00000000" w:rsidDel="00000000" w:rsidP="00000000" w:rsidRDefault="00000000" w:rsidRPr="00000000" w14:paraId="0000006F">
      <w:pPr>
        <w:numPr>
          <w:ilvl w:val="0"/>
          <w:numId w:val="2"/>
        </w:numPr>
        <w:ind w:left="720" w:hanging="360"/>
        <w:jc w:val="both"/>
      </w:pPr>
      <w:r w:rsidDel="00000000" w:rsidR="00000000" w:rsidRPr="00000000">
        <w:rPr>
          <w:rtl w:val="0"/>
        </w:rPr>
        <w:t xml:space="preserve">F1 Generation: Cross the donor with the recipient to generate first-generation hybrids.</w:t>
      </w:r>
    </w:p>
    <w:p w:rsidR="00000000" w:rsidDel="00000000" w:rsidP="00000000" w:rsidRDefault="00000000" w:rsidRPr="00000000" w14:paraId="00000070">
      <w:pPr>
        <w:numPr>
          <w:ilvl w:val="0"/>
          <w:numId w:val="2"/>
        </w:numPr>
        <w:ind w:left="720" w:hanging="360"/>
        <w:jc w:val="both"/>
      </w:pPr>
      <w:r w:rsidDel="00000000" w:rsidR="00000000" w:rsidRPr="00000000">
        <w:rPr>
          <w:rtl w:val="0"/>
        </w:rPr>
        <w:t xml:space="preserve">Backcrossing: Hybrid F1 individuals are crossed back with the recipient strain.</w:t>
      </w:r>
    </w:p>
    <w:p w:rsidR="00000000" w:rsidDel="00000000" w:rsidP="00000000" w:rsidRDefault="00000000" w:rsidRPr="00000000" w14:paraId="00000071">
      <w:pPr>
        <w:numPr>
          <w:ilvl w:val="0"/>
          <w:numId w:val="2"/>
        </w:numPr>
        <w:ind w:left="720" w:hanging="360"/>
        <w:jc w:val="both"/>
      </w:pPr>
      <w:r w:rsidDel="00000000" w:rsidR="00000000" w:rsidRPr="00000000">
        <w:rPr>
          <w:rtl w:val="0"/>
        </w:rPr>
        <w:t xml:space="preserve">Repetition: The process is reiterated over 5–7 generations to replace the recipient’s genetic background by 98–99%.</w:t>
      </w:r>
    </w:p>
    <w:p w:rsidR="00000000" w:rsidDel="00000000" w:rsidP="00000000" w:rsidRDefault="00000000" w:rsidRPr="00000000" w14:paraId="00000072">
      <w:pPr>
        <w:numPr>
          <w:ilvl w:val="0"/>
          <w:numId w:val="2"/>
        </w:numPr>
        <w:ind w:left="720" w:hanging="360"/>
        <w:jc w:val="both"/>
      </w:pPr>
      <w:r w:rsidDel="00000000" w:rsidR="00000000" w:rsidRPr="00000000">
        <w:rPr>
          <w:rtl w:val="0"/>
        </w:rPr>
        <w:t xml:space="preserve">Selection of heterozygotes: At each stage, genetic analysis (such as phenotypic markers or biochemical assays) is conducted to isolate individuals harboring the target gene.</w:t>
      </w:r>
    </w:p>
    <w:p w:rsidR="00000000" w:rsidDel="00000000" w:rsidP="00000000" w:rsidRDefault="00000000" w:rsidRPr="00000000" w14:paraId="00000073">
      <w:pPr>
        <w:pStyle w:val="Heading5"/>
        <w:jc w:val="both"/>
        <w:rPr/>
      </w:pPr>
      <w:bookmarkStart w:colFirst="0" w:colLast="0" w:name="_sz8rev6vlhwx" w:id="32"/>
      <w:bookmarkEnd w:id="32"/>
      <w:r w:rsidDel="00000000" w:rsidR="00000000" w:rsidRPr="00000000">
        <w:rPr>
          <w:rtl w:val="0"/>
        </w:rPr>
        <w:t xml:space="preserve">Utilization of Genetic Tools</w:t>
      </w:r>
    </w:p>
    <w:p w:rsidR="00000000" w:rsidDel="00000000" w:rsidP="00000000" w:rsidRDefault="00000000" w:rsidRPr="00000000" w14:paraId="00000074">
      <w:pPr>
        <w:numPr>
          <w:ilvl w:val="0"/>
          <w:numId w:val="16"/>
        </w:numPr>
        <w:ind w:left="720" w:hanging="360"/>
        <w:jc w:val="both"/>
      </w:pPr>
      <w:r w:rsidDel="00000000" w:rsidR="00000000" w:rsidRPr="00000000">
        <w:rPr>
          <w:rtl w:val="0"/>
        </w:rPr>
        <w:t xml:space="preserve">Balancer chromosomes: Chromosomes containing inversions (e.g., Muller-5) are instrumental in preventing recombination, thereby preserving the integrity of the target gene.</w:t>
      </w:r>
    </w:p>
    <w:p w:rsidR="00000000" w:rsidDel="00000000" w:rsidP="00000000" w:rsidRDefault="00000000" w:rsidRPr="00000000" w14:paraId="00000075">
      <w:pPr>
        <w:numPr>
          <w:ilvl w:val="0"/>
          <w:numId w:val="16"/>
        </w:numPr>
        <w:ind w:left="720" w:hanging="360"/>
        <w:jc w:val="both"/>
      </w:pPr>
      <w:r w:rsidDel="00000000" w:rsidR="00000000" w:rsidRPr="00000000">
        <w:rPr>
          <w:rtl w:val="0"/>
        </w:rPr>
        <w:t xml:space="preserve">Polytene chromosomes: Analysis of larval chromosomes allows for visual confirmation of the absence of crossover events.</w:t>
      </w:r>
    </w:p>
    <w:p w:rsidR="00000000" w:rsidDel="00000000" w:rsidP="00000000" w:rsidRDefault="00000000" w:rsidRPr="00000000" w14:paraId="00000076">
      <w:pPr>
        <w:pStyle w:val="Heading5"/>
        <w:jc w:val="both"/>
        <w:rPr/>
      </w:pPr>
      <w:bookmarkStart w:colFirst="0" w:colLast="0" w:name="_jd93wk4zgzcw" w:id="33"/>
      <w:bookmarkEnd w:id="33"/>
      <w:r w:rsidDel="00000000" w:rsidR="00000000" w:rsidRPr="00000000">
        <w:rPr>
          <w:rtl w:val="0"/>
        </w:rPr>
        <w:t xml:space="preserve">1.4.6.1.6 Establishment of Homozygous Lines</w:t>
      </w:r>
    </w:p>
    <w:p w:rsidR="00000000" w:rsidDel="00000000" w:rsidP="00000000" w:rsidRDefault="00000000" w:rsidRPr="00000000" w14:paraId="00000077">
      <w:pPr>
        <w:numPr>
          <w:ilvl w:val="0"/>
          <w:numId w:val="21"/>
        </w:numPr>
        <w:ind w:left="720" w:hanging="360"/>
        <w:jc w:val="both"/>
      </w:pPr>
      <w:r w:rsidDel="00000000" w:rsidR="00000000" w:rsidRPr="00000000">
        <w:rPr>
          <w:rtl w:val="0"/>
        </w:rPr>
        <w:t xml:space="preserve">Self-crossing: Upon completion of backcrossing, self-crossing is performed over 2–3 generations to establish homozygous individuals.</w:t>
      </w:r>
    </w:p>
    <w:p w:rsidR="00000000" w:rsidDel="00000000" w:rsidP="00000000" w:rsidRDefault="00000000" w:rsidRPr="00000000" w14:paraId="00000078">
      <w:pPr>
        <w:numPr>
          <w:ilvl w:val="0"/>
          <w:numId w:val="21"/>
        </w:numPr>
        <w:ind w:left="720" w:hanging="360"/>
        <w:jc w:val="both"/>
      </w:pPr>
      <w:r w:rsidDel="00000000" w:rsidR="00000000" w:rsidRPr="00000000">
        <w:rPr>
          <w:rtl w:val="0"/>
        </w:rPr>
        <w:t xml:space="preserve">Homozygosity verification: Genetic testing (such as crosses with marker lines) or microscopic examination of polytene chromosomes is conducted.</w:t>
      </w:r>
    </w:p>
    <w:p w:rsidR="00000000" w:rsidDel="00000000" w:rsidP="00000000" w:rsidRDefault="00000000" w:rsidRPr="00000000" w14:paraId="00000079">
      <w:pPr>
        <w:pStyle w:val="Heading5"/>
        <w:jc w:val="both"/>
        <w:rPr/>
      </w:pPr>
      <w:bookmarkStart w:colFirst="0" w:colLast="0" w:name="_3w9prul12qfk" w:id="34"/>
      <w:bookmarkEnd w:id="34"/>
      <w:r w:rsidDel="00000000" w:rsidR="00000000" w:rsidRPr="00000000">
        <w:rPr>
          <w:rtl w:val="0"/>
        </w:rPr>
        <w:t xml:space="preserve">1.4.6.1.7 Optimization of Timeframe</w:t>
      </w:r>
    </w:p>
    <w:p w:rsidR="00000000" w:rsidDel="00000000" w:rsidP="00000000" w:rsidRDefault="00000000" w:rsidRPr="00000000" w14:paraId="0000007A">
      <w:pPr>
        <w:numPr>
          <w:ilvl w:val="0"/>
          <w:numId w:val="9"/>
        </w:numPr>
        <w:ind w:left="720" w:hanging="360"/>
        <w:jc w:val="both"/>
      </w:pPr>
      <w:r w:rsidDel="00000000" w:rsidR="00000000" w:rsidRPr="00000000">
        <w:rPr>
          <w:rtl w:val="0"/>
        </w:rPr>
        <w:t xml:space="preserve">Acceleration of cycles: The short lifecycle of Drosophila (10–14 days) enables up to five generations per year under controlled conditions (temperature: 25°C, humidity maintained).</w:t>
      </w:r>
    </w:p>
    <w:p w:rsidR="00000000" w:rsidDel="00000000" w:rsidP="00000000" w:rsidRDefault="00000000" w:rsidRPr="00000000" w14:paraId="0000007B">
      <w:pPr>
        <w:numPr>
          <w:ilvl w:val="0"/>
          <w:numId w:val="9"/>
        </w:numPr>
        <w:ind w:left="720" w:hanging="360"/>
        <w:jc w:val="both"/>
      </w:pPr>
      <w:r w:rsidDel="00000000" w:rsidR="00000000" w:rsidRPr="00000000">
        <w:rPr>
          <w:rtl w:val="0"/>
        </w:rPr>
        <w:t xml:space="preserve">Early selection: Genotypic analysis at the embryonic or larval stage reduces the overall duration of experiments.</w:t>
      </w:r>
    </w:p>
    <w:p w:rsidR="00000000" w:rsidDel="00000000" w:rsidP="00000000" w:rsidRDefault="00000000" w:rsidRPr="00000000" w14:paraId="0000007C">
      <w:pPr>
        <w:pStyle w:val="Heading4"/>
        <w:jc w:val="both"/>
        <w:rPr/>
      </w:pPr>
      <w:bookmarkStart w:colFirst="0" w:colLast="0" w:name="_uh1b9a20cp2b" w:id="35"/>
      <w:bookmarkEnd w:id="35"/>
      <w:r w:rsidDel="00000000" w:rsidR="00000000" w:rsidRPr="00000000">
        <w:rPr>
          <w:rtl w:val="0"/>
        </w:rPr>
        <w:t xml:space="preserve">1.4.6.2 Case Study: Application</w:t>
      </w:r>
    </w:p>
    <w:p w:rsidR="00000000" w:rsidDel="00000000" w:rsidP="00000000" w:rsidRDefault="00000000" w:rsidRPr="00000000" w14:paraId="0000007D">
      <w:pPr>
        <w:jc w:val="both"/>
        <w:rPr/>
      </w:pPr>
      <w:r w:rsidDel="00000000" w:rsidR="00000000" w:rsidRPr="00000000">
        <w:rPr>
          <w:rtl w:val="0"/>
        </w:rPr>
        <w:t xml:space="preserve">In Hirsch’s studies, isogenic lines were employed to investigate geotaxis. Tester lines with inversions and dominant markers (such as Curly for wing morphology) were used to isolate chromosomes carrying the desired genes. A similar methodology was applied in studies examining sexual activity, where genes on the second chromosome and sex chromosomes played a pivotal role.</w:t>
      </w:r>
    </w:p>
    <w:p w:rsidR="00000000" w:rsidDel="00000000" w:rsidP="00000000" w:rsidRDefault="00000000" w:rsidRPr="00000000" w14:paraId="0000007E">
      <w:pPr>
        <w:pStyle w:val="Heading4"/>
        <w:jc w:val="both"/>
        <w:rPr/>
      </w:pPr>
      <w:bookmarkStart w:colFirst="0" w:colLast="0" w:name="_g8r1ehikuq0x" w:id="36"/>
      <w:bookmarkEnd w:id="36"/>
      <w:r w:rsidDel="00000000" w:rsidR="00000000" w:rsidRPr="00000000">
        <w:rPr>
          <w:rtl w:val="0"/>
        </w:rPr>
        <w:t xml:space="preserve">1.4.6.3 Key Requirements for Protocol Success</w:t>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Sterility: Essential for preventing unintended crossings.</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Environmental control: A stable temperature of 25°C and regulated humidity for synchronized development.</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Documentation: Detailed records of generational progress, markers, and experimental outcomes.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4"/>
        <w:jc w:val="both"/>
        <w:rPr/>
      </w:pPr>
      <w:bookmarkStart w:colFirst="0" w:colLast="0" w:name="_48fdz9avqerr" w:id="37"/>
      <w:bookmarkEnd w:id="37"/>
      <w:r w:rsidDel="00000000" w:rsidR="00000000" w:rsidRPr="00000000">
        <w:rPr>
          <w:rtl w:val="0"/>
        </w:rPr>
        <w:t xml:space="preserve">1.4.6.4 Equipment</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Microscopes, micropuller, microforge, needles, syringes, filters, and additional specialized tools.</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pStyle w:val="Heading3"/>
        <w:jc w:val="both"/>
        <w:rPr/>
      </w:pPr>
      <w:bookmarkStart w:colFirst="0" w:colLast="0" w:name="_vc01sqdyqlii" w:id="38"/>
      <w:bookmarkEnd w:id="38"/>
      <w:r w:rsidDel="00000000" w:rsidR="00000000" w:rsidRPr="00000000">
        <w:rPr>
          <w:rtl w:val="0"/>
        </w:rPr>
        <w:t xml:space="preserve">1.4.7 Procedures</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4"/>
        <w:jc w:val="both"/>
        <w:rPr/>
      </w:pPr>
      <w:bookmarkStart w:colFirst="0" w:colLast="0" w:name="_k17n8861s42y" w:id="39"/>
      <w:bookmarkEnd w:id="39"/>
      <w:r w:rsidDel="00000000" w:rsidR="00000000" w:rsidRPr="00000000">
        <w:rPr>
          <w:rtl w:val="0"/>
        </w:rPr>
        <w:t xml:space="preserve">1.4.7.1 Adult Donors (96 Hours – 60 Days)</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Heading5"/>
        <w:jc w:val="both"/>
        <w:rPr/>
      </w:pPr>
      <w:bookmarkStart w:colFirst="0" w:colLast="0" w:name="_l45eubd95slw" w:id="40"/>
      <w:bookmarkEnd w:id="40"/>
      <w:r w:rsidDel="00000000" w:rsidR="00000000" w:rsidRPr="00000000">
        <w:rPr>
          <w:rtl w:val="0"/>
        </w:rPr>
        <w:t xml:space="preserve">1.4.7.1.1 Dissection of the Midgut</w:t>
      </w:r>
    </w:p>
    <w:p w:rsidR="00000000" w:rsidDel="00000000" w:rsidP="00000000" w:rsidRDefault="00000000" w:rsidRPr="00000000" w14:paraId="0000008C">
      <w:pPr>
        <w:numPr>
          <w:ilvl w:val="0"/>
          <w:numId w:val="3"/>
        </w:numPr>
        <w:ind w:left="720" w:hanging="360"/>
        <w:jc w:val="both"/>
      </w:pPr>
      <w:r w:rsidDel="00000000" w:rsidR="00000000" w:rsidRPr="00000000">
        <w:rPr>
          <w:rtl w:val="0"/>
        </w:rPr>
        <w:t xml:space="preserve">Estimated time: ~30 min</w:t>
      </w:r>
    </w:p>
    <w:p w:rsidR="00000000" w:rsidDel="00000000" w:rsidP="00000000" w:rsidRDefault="00000000" w:rsidRPr="00000000" w14:paraId="0000008D">
      <w:pPr>
        <w:jc w:val="both"/>
        <w:rPr/>
      </w:pPr>
      <w:r w:rsidDel="00000000" w:rsidR="00000000" w:rsidRPr="00000000">
        <w:rPr>
          <w:rtl w:val="0"/>
        </w:rPr>
        <w:t xml:space="preserve">Preparation:</w:t>
      </w:r>
    </w:p>
    <w:p w:rsidR="00000000" w:rsidDel="00000000" w:rsidP="00000000" w:rsidRDefault="00000000" w:rsidRPr="00000000" w14:paraId="0000008E">
      <w:pPr>
        <w:numPr>
          <w:ilvl w:val="0"/>
          <w:numId w:val="22"/>
        </w:numPr>
        <w:ind w:left="720" w:hanging="360"/>
        <w:jc w:val="both"/>
      </w:pPr>
      <w:r w:rsidDel="00000000" w:rsidR="00000000" w:rsidRPr="00000000">
        <w:rPr>
          <w:rtl w:val="0"/>
        </w:rPr>
        <w:t xml:space="preserve">Anesthetize adult flies (3–5 days old) and operate under a dissecting microscope. Dissection:</w:t>
      </w:r>
    </w:p>
    <w:p w:rsidR="00000000" w:rsidDel="00000000" w:rsidP="00000000" w:rsidRDefault="00000000" w:rsidRPr="00000000" w14:paraId="0000008F">
      <w:pPr>
        <w:numPr>
          <w:ilvl w:val="0"/>
          <w:numId w:val="22"/>
        </w:numPr>
        <w:ind w:left="720" w:hanging="360"/>
        <w:jc w:val="both"/>
      </w:pPr>
      <w:r w:rsidDel="00000000" w:rsidR="00000000" w:rsidRPr="00000000">
        <w:rPr>
          <w:rtl w:val="0"/>
        </w:rPr>
        <w:t xml:space="preserve">Perform the dissection in chilled PBS. Carefully isolate the entire midgut (the section between the crop and hindgut), ensuring the exclusion of fat tissue and other contaminants.</w:t>
      </w:r>
    </w:p>
    <w:p w:rsidR="00000000" w:rsidDel="00000000" w:rsidP="00000000" w:rsidRDefault="00000000" w:rsidRPr="00000000" w14:paraId="00000090">
      <w:pPr>
        <w:pStyle w:val="Heading5"/>
        <w:jc w:val="both"/>
        <w:rPr/>
      </w:pPr>
      <w:bookmarkStart w:colFirst="0" w:colLast="0" w:name="_mg68d4bp9eio" w:id="41"/>
      <w:bookmarkEnd w:id="41"/>
      <w:r w:rsidDel="00000000" w:rsidR="00000000" w:rsidRPr="00000000">
        <w:rPr>
          <w:rtl w:val="0"/>
        </w:rPr>
        <w:t xml:space="preserve">1.4.7.1.2 Tissue Dissociation</w:t>
      </w:r>
    </w:p>
    <w:p w:rsidR="00000000" w:rsidDel="00000000" w:rsidP="00000000" w:rsidRDefault="00000000" w:rsidRPr="00000000" w14:paraId="00000091">
      <w:pPr>
        <w:jc w:val="both"/>
        <w:rPr/>
      </w:pPr>
      <w:r w:rsidDel="00000000" w:rsidR="00000000" w:rsidRPr="00000000">
        <w:rPr>
          <w:rtl w:val="0"/>
        </w:rPr>
        <w:t xml:space="preserve">Enzymatic Digestion:</w:t>
      </w:r>
    </w:p>
    <w:p w:rsidR="00000000" w:rsidDel="00000000" w:rsidP="00000000" w:rsidRDefault="00000000" w:rsidRPr="00000000" w14:paraId="00000092">
      <w:pPr>
        <w:numPr>
          <w:ilvl w:val="0"/>
          <w:numId w:val="8"/>
        </w:numPr>
        <w:ind w:left="720" w:hanging="360"/>
        <w:jc w:val="both"/>
      </w:pPr>
      <w:r w:rsidDel="00000000" w:rsidR="00000000" w:rsidRPr="00000000">
        <w:rPr>
          <w:rtl w:val="0"/>
        </w:rPr>
        <w:t xml:space="preserve">Transfer dissected midguts into a microcentrifuge tube containing digestion solution (e.g., PBS supplemented with 2% FBS and collagenase/dispase at an optimized concentration).</w:t>
      </w:r>
    </w:p>
    <w:p w:rsidR="00000000" w:rsidDel="00000000" w:rsidP="00000000" w:rsidRDefault="00000000" w:rsidRPr="00000000" w14:paraId="00000093">
      <w:pPr>
        <w:jc w:val="both"/>
        <w:rPr/>
      </w:pPr>
      <w:r w:rsidDel="00000000" w:rsidR="00000000" w:rsidRPr="00000000">
        <w:rPr>
          <w:rtl w:val="0"/>
        </w:rPr>
        <w:t xml:space="preserve">Incubation:</w:t>
      </w:r>
    </w:p>
    <w:p w:rsidR="00000000" w:rsidDel="00000000" w:rsidP="00000000" w:rsidRDefault="00000000" w:rsidRPr="00000000" w14:paraId="00000094">
      <w:pPr>
        <w:numPr>
          <w:ilvl w:val="0"/>
          <w:numId w:val="14"/>
        </w:numPr>
        <w:ind w:left="720" w:hanging="360"/>
        <w:jc w:val="both"/>
      </w:pPr>
      <w:r w:rsidDel="00000000" w:rsidR="00000000" w:rsidRPr="00000000">
        <w:rPr>
          <w:rtl w:val="0"/>
        </w:rPr>
        <w:t xml:space="preserve">Incubate at 25°C for 20–30 minutes with gentle agitation to facilitate tissue breakdown into single-cell suspensions.</w:t>
      </w:r>
    </w:p>
    <w:p w:rsidR="00000000" w:rsidDel="00000000" w:rsidP="00000000" w:rsidRDefault="00000000" w:rsidRPr="00000000" w14:paraId="00000095">
      <w:pPr>
        <w:jc w:val="both"/>
        <w:rPr/>
      </w:pPr>
      <w:r w:rsidDel="00000000" w:rsidR="00000000" w:rsidRPr="00000000">
        <w:rPr>
          <w:rtl w:val="0"/>
        </w:rPr>
        <w:t xml:space="preserve">Mechanical Dissociation:</w:t>
      </w:r>
    </w:p>
    <w:p w:rsidR="00000000" w:rsidDel="00000000" w:rsidP="00000000" w:rsidRDefault="00000000" w:rsidRPr="00000000" w14:paraId="00000096">
      <w:pPr>
        <w:numPr>
          <w:ilvl w:val="0"/>
          <w:numId w:val="4"/>
        </w:numPr>
        <w:ind w:left="720" w:hanging="360"/>
        <w:jc w:val="both"/>
      </w:pPr>
      <w:r w:rsidDel="00000000" w:rsidR="00000000" w:rsidRPr="00000000">
        <w:rPr>
          <w:rtl w:val="0"/>
        </w:rPr>
        <w:t xml:space="preserve">Gently pipette the cell suspension to further disaggregate the cells.</w:t>
      </w:r>
    </w:p>
    <w:p w:rsidR="00000000" w:rsidDel="00000000" w:rsidP="00000000" w:rsidRDefault="00000000" w:rsidRPr="00000000" w14:paraId="00000097">
      <w:pPr>
        <w:pStyle w:val="Heading5"/>
        <w:jc w:val="both"/>
        <w:rPr/>
      </w:pPr>
      <w:bookmarkStart w:colFirst="0" w:colLast="0" w:name="_si005wscebnc" w:id="42"/>
      <w:bookmarkEnd w:id="42"/>
      <w:r w:rsidDel="00000000" w:rsidR="00000000" w:rsidRPr="00000000">
        <w:rPr>
          <w:rtl w:val="0"/>
        </w:rPr>
        <w:t xml:space="preserve">1.4.7.1.3 Filtration and Washing</w:t>
      </w:r>
    </w:p>
    <w:p w:rsidR="00000000" w:rsidDel="00000000" w:rsidP="00000000" w:rsidRDefault="00000000" w:rsidRPr="00000000" w14:paraId="00000098">
      <w:pPr>
        <w:numPr>
          <w:ilvl w:val="0"/>
          <w:numId w:val="19"/>
        </w:numPr>
        <w:ind w:left="720" w:hanging="360"/>
        <w:jc w:val="both"/>
      </w:pPr>
      <w:r w:rsidDel="00000000" w:rsidR="00000000" w:rsidRPr="00000000">
        <w:rPr>
          <w:rtl w:val="0"/>
        </w:rPr>
        <w:t xml:space="preserve">Filtration: Pass the cell suspension through a 40 μm filter to eliminate tissue debris and cell aggregates.</w:t>
      </w:r>
    </w:p>
    <w:p w:rsidR="00000000" w:rsidDel="00000000" w:rsidP="00000000" w:rsidRDefault="00000000" w:rsidRPr="00000000" w14:paraId="00000099">
      <w:pPr>
        <w:numPr>
          <w:ilvl w:val="0"/>
          <w:numId w:val="19"/>
        </w:numPr>
        <w:ind w:left="720" w:hanging="360"/>
        <w:jc w:val="both"/>
      </w:pPr>
      <w:r w:rsidDel="00000000" w:rsidR="00000000" w:rsidRPr="00000000">
        <w:rPr>
          <w:rtl w:val="0"/>
        </w:rPr>
        <w:t xml:space="preserve">Centrifugation: Spin the filtered suspension at ~300×g for 5 minutes at 4°C.</w:t>
      </w:r>
    </w:p>
    <w:p w:rsidR="00000000" w:rsidDel="00000000" w:rsidP="00000000" w:rsidRDefault="00000000" w:rsidRPr="00000000" w14:paraId="0000009A">
      <w:pPr>
        <w:numPr>
          <w:ilvl w:val="0"/>
          <w:numId w:val="19"/>
        </w:numPr>
        <w:ind w:left="720" w:hanging="360"/>
        <w:jc w:val="both"/>
      </w:pPr>
      <w:r w:rsidDel="00000000" w:rsidR="00000000" w:rsidRPr="00000000">
        <w:rPr>
          <w:rtl w:val="0"/>
        </w:rPr>
        <w:t xml:space="preserve">Resuspension: Carefully resuspend the pellet in FACS buffer (PBS with 2% FBS and 1 mM EDTA) to prevent cell aggregation.</w:t>
      </w:r>
    </w:p>
    <w:p w:rsidR="00000000" w:rsidDel="00000000" w:rsidP="00000000" w:rsidRDefault="00000000" w:rsidRPr="00000000" w14:paraId="0000009B">
      <w:pPr>
        <w:pStyle w:val="Heading5"/>
        <w:jc w:val="both"/>
        <w:rPr/>
      </w:pPr>
      <w:bookmarkStart w:colFirst="0" w:colLast="0" w:name="_x4n6c0d4px28" w:id="43"/>
      <w:bookmarkEnd w:id="43"/>
      <w:r w:rsidDel="00000000" w:rsidR="00000000" w:rsidRPr="00000000">
        <w:rPr>
          <w:rtl w:val="0"/>
        </w:rPr>
        <w:t xml:space="preserve">1.4.7.1.4 Fluorescence-Activated Cell Sorting (FACS)</w:t>
      </w:r>
    </w:p>
    <w:p w:rsidR="00000000" w:rsidDel="00000000" w:rsidP="00000000" w:rsidRDefault="00000000" w:rsidRPr="00000000" w14:paraId="0000009C">
      <w:pPr>
        <w:jc w:val="both"/>
        <w:rPr/>
      </w:pPr>
      <w:r w:rsidDel="00000000" w:rsidR="00000000" w:rsidRPr="00000000">
        <w:rPr>
          <w:rtl w:val="0"/>
        </w:rPr>
        <w:t xml:space="preserve">Labeling (if necessary):</w:t>
      </w:r>
    </w:p>
    <w:p w:rsidR="00000000" w:rsidDel="00000000" w:rsidP="00000000" w:rsidRDefault="00000000" w:rsidRPr="00000000" w14:paraId="0000009D">
      <w:pPr>
        <w:numPr>
          <w:ilvl w:val="0"/>
          <w:numId w:val="6"/>
        </w:numPr>
        <w:ind w:left="720" w:hanging="360"/>
        <w:jc w:val="both"/>
      </w:pPr>
      <w:r w:rsidDel="00000000" w:rsidR="00000000" w:rsidRPr="00000000">
        <w:rPr>
          <w:rtl w:val="0"/>
        </w:rPr>
        <w:t xml:space="preserve">If no transgenic reporter is utilized, perform immunostaining with antibodies targeting ISC markers (e.g., Delta for ISC identification).</w:t>
      </w:r>
    </w:p>
    <w:p w:rsidR="00000000" w:rsidDel="00000000" w:rsidP="00000000" w:rsidRDefault="00000000" w:rsidRPr="00000000" w14:paraId="0000009E">
      <w:pPr>
        <w:jc w:val="both"/>
        <w:rPr/>
      </w:pPr>
      <w:r w:rsidDel="00000000" w:rsidR="00000000" w:rsidRPr="00000000">
        <w:rPr>
          <w:rtl w:val="0"/>
        </w:rPr>
        <w:t xml:space="preserve">Sorting:</w:t>
      </w:r>
    </w:p>
    <w:p w:rsidR="00000000" w:rsidDel="00000000" w:rsidP="00000000" w:rsidRDefault="00000000" w:rsidRPr="00000000" w14:paraId="0000009F">
      <w:pPr>
        <w:numPr>
          <w:ilvl w:val="0"/>
          <w:numId w:val="17"/>
        </w:numPr>
        <w:ind w:left="720" w:hanging="360"/>
        <w:jc w:val="both"/>
      </w:pPr>
      <w:r w:rsidDel="00000000" w:rsidR="00000000" w:rsidRPr="00000000">
        <w:rPr>
          <w:rtl w:val="0"/>
        </w:rPr>
        <w:t xml:space="preserve">Configure cytometer settings based on forward and side scatter parameters to isolate viable single cells. If utilizing the esg-Gal4 &gt; UAS-GFP system, sort GFP-positive cells to enrich for ISCs and early progenitors.</w:t>
      </w:r>
    </w:p>
    <w:p w:rsidR="00000000" w:rsidDel="00000000" w:rsidP="00000000" w:rsidRDefault="00000000" w:rsidRPr="00000000" w14:paraId="000000A0">
      <w:pPr>
        <w:jc w:val="both"/>
        <w:rPr/>
      </w:pPr>
      <w:r w:rsidDel="00000000" w:rsidR="00000000" w:rsidRPr="00000000">
        <w:rPr>
          <w:rtl w:val="0"/>
        </w:rPr>
        <w:t xml:space="preserve">Collection:</w:t>
      </w:r>
    </w:p>
    <w:p w:rsidR="00000000" w:rsidDel="00000000" w:rsidP="00000000" w:rsidRDefault="00000000" w:rsidRPr="00000000" w14:paraId="000000A1">
      <w:pPr>
        <w:numPr>
          <w:ilvl w:val="0"/>
          <w:numId w:val="20"/>
        </w:numPr>
        <w:ind w:left="720" w:hanging="360"/>
        <w:jc w:val="both"/>
      </w:pPr>
      <w:r w:rsidDel="00000000" w:rsidR="00000000" w:rsidRPr="00000000">
        <w:rPr>
          <w:rtl w:val="0"/>
        </w:rPr>
        <w:t xml:space="preserve">Gather sorted cells into tubes containing FACS buffer or an appropriate medium for downstream applications.</w:t>
      </w:r>
    </w:p>
    <w:p w:rsidR="00000000" w:rsidDel="00000000" w:rsidP="00000000" w:rsidRDefault="00000000" w:rsidRPr="00000000" w14:paraId="000000A2">
      <w:pPr>
        <w:pStyle w:val="Heading5"/>
        <w:jc w:val="both"/>
        <w:rPr/>
      </w:pPr>
      <w:bookmarkStart w:colFirst="0" w:colLast="0" w:name="_eg91m8gj2t9w" w:id="44"/>
      <w:bookmarkEnd w:id="44"/>
      <w:r w:rsidDel="00000000" w:rsidR="00000000" w:rsidRPr="00000000">
        <w:rPr>
          <w:rtl w:val="0"/>
        </w:rPr>
        <w:t xml:space="preserve">1.4.7.1.5 Subsequent Applications</w:t>
      </w:r>
    </w:p>
    <w:p w:rsidR="00000000" w:rsidDel="00000000" w:rsidP="00000000" w:rsidRDefault="00000000" w:rsidRPr="00000000" w14:paraId="000000A3">
      <w:pPr>
        <w:jc w:val="both"/>
        <w:rPr/>
      </w:pPr>
      <w:r w:rsidDel="00000000" w:rsidR="00000000" w:rsidRPr="00000000">
        <w:rPr>
          <w:rtl w:val="0"/>
        </w:rPr>
        <w:t xml:space="preserve">RNA Extraction/Culture:</w:t>
      </w:r>
    </w:p>
    <w:p w:rsidR="00000000" w:rsidDel="00000000" w:rsidP="00000000" w:rsidRDefault="00000000" w:rsidRPr="00000000" w14:paraId="000000A4">
      <w:pPr>
        <w:numPr>
          <w:ilvl w:val="0"/>
          <w:numId w:val="13"/>
        </w:numPr>
        <w:ind w:left="720" w:hanging="360"/>
        <w:jc w:val="both"/>
      </w:pPr>
      <w:r w:rsidDel="00000000" w:rsidR="00000000" w:rsidRPr="00000000">
        <w:rPr>
          <w:rtl w:val="0"/>
        </w:rPr>
        <w:t xml:space="preserve">Isolated ISCs can be employed for RNA extraction, transcriptomic analysis, in vitro culture, or other molecular assays.</w:t>
      </w:r>
    </w:p>
    <w:p w:rsidR="00000000" w:rsidDel="00000000" w:rsidP="00000000" w:rsidRDefault="00000000" w:rsidRPr="00000000" w14:paraId="000000A5">
      <w:pPr>
        <w:pStyle w:val="Heading5"/>
        <w:jc w:val="both"/>
        <w:rPr/>
      </w:pPr>
      <w:bookmarkStart w:colFirst="0" w:colLast="0" w:name="_objz74g1q2c3" w:id="45"/>
      <w:bookmarkEnd w:id="45"/>
      <w:r w:rsidDel="00000000" w:rsidR="00000000" w:rsidRPr="00000000">
        <w:rPr>
          <w:rtl w:val="0"/>
        </w:rPr>
        <w:t xml:space="preserve">1.4.7.1.6 Notes</w:t>
      </w:r>
    </w:p>
    <w:p w:rsidR="00000000" w:rsidDel="00000000" w:rsidP="00000000" w:rsidRDefault="00000000" w:rsidRPr="00000000" w14:paraId="000000A6">
      <w:pPr>
        <w:jc w:val="both"/>
        <w:rPr/>
      </w:pPr>
      <w:r w:rsidDel="00000000" w:rsidR="00000000" w:rsidRPr="00000000">
        <w:rPr>
          <w:rtl w:val="0"/>
        </w:rPr>
        <w:t xml:space="preserve">Optimization:</w:t>
      </w:r>
    </w:p>
    <w:p w:rsidR="00000000" w:rsidDel="00000000" w:rsidP="00000000" w:rsidRDefault="00000000" w:rsidRPr="00000000" w14:paraId="000000A7">
      <w:pPr>
        <w:numPr>
          <w:ilvl w:val="0"/>
          <w:numId w:val="15"/>
        </w:numPr>
        <w:ind w:left="720" w:hanging="360"/>
        <w:jc w:val="both"/>
      </w:pPr>
      <w:r w:rsidDel="00000000" w:rsidR="00000000" w:rsidRPr="00000000">
        <w:rPr>
          <w:rtl w:val="0"/>
        </w:rPr>
        <w:t xml:space="preserve">Adjust enzyme type, concentration, and incubation time based on cell yield and quality.</w:t>
      </w:r>
    </w:p>
    <w:p w:rsidR="00000000" w:rsidDel="00000000" w:rsidP="00000000" w:rsidRDefault="00000000" w:rsidRPr="00000000" w14:paraId="000000A8">
      <w:pPr>
        <w:jc w:val="both"/>
        <w:rPr/>
      </w:pPr>
      <w:r w:rsidDel="00000000" w:rsidR="00000000" w:rsidRPr="00000000">
        <w:rPr>
          <w:rtl w:val="0"/>
        </w:rPr>
        <w:t xml:space="preserve">Purity Verification:</w:t>
      </w:r>
    </w:p>
    <w:p w:rsidR="00000000" w:rsidDel="00000000" w:rsidP="00000000" w:rsidRDefault="00000000" w:rsidRPr="00000000" w14:paraId="000000A9">
      <w:pPr>
        <w:numPr>
          <w:ilvl w:val="0"/>
          <w:numId w:val="10"/>
        </w:numPr>
        <w:ind w:left="720" w:hanging="360"/>
        <w:jc w:val="both"/>
      </w:pPr>
      <w:r w:rsidDel="00000000" w:rsidR="00000000" w:rsidRPr="00000000">
        <w:rPr>
          <w:rtl w:val="0"/>
        </w:rPr>
        <w:t xml:space="preserve">Post-sorting analysis of a fraction of cells ensures the purity of the ISC population.</w:t>
      </w:r>
    </w:p>
    <w:p w:rsidR="00000000" w:rsidDel="00000000" w:rsidP="00000000" w:rsidRDefault="00000000" w:rsidRPr="00000000" w14:paraId="000000AA">
      <w:pPr>
        <w:jc w:val="both"/>
        <w:rPr/>
      </w:pPr>
      <w:r w:rsidDel="00000000" w:rsidR="00000000" w:rsidRPr="00000000">
        <w:rPr>
          <w:rtl w:val="0"/>
        </w:rPr>
        <w:t xml:space="preserve">References:</w:t>
      </w:r>
    </w:p>
    <w:p w:rsidR="00000000" w:rsidDel="00000000" w:rsidP="00000000" w:rsidRDefault="00000000" w:rsidRPr="00000000" w14:paraId="000000AB">
      <w:pPr>
        <w:numPr>
          <w:ilvl w:val="0"/>
          <w:numId w:val="7"/>
        </w:numPr>
        <w:ind w:left="720" w:hanging="360"/>
        <w:jc w:val="both"/>
      </w:pPr>
      <w:r w:rsidDel="00000000" w:rsidR="00000000" w:rsidRPr="00000000">
        <w:rPr>
          <w:rtl w:val="0"/>
        </w:rPr>
        <w:t xml:space="preserve">For detailed protocols, refer to publications such as Dutta et al. (2015) and associated JoVE and eLife videos.</w:t>
      </w:r>
    </w:p>
    <w:p w:rsidR="00000000" w:rsidDel="00000000" w:rsidP="00000000" w:rsidRDefault="00000000" w:rsidRPr="00000000" w14:paraId="000000AC">
      <w:pPr>
        <w:pStyle w:val="Heading5"/>
        <w:jc w:val="both"/>
        <w:rPr/>
      </w:pPr>
      <w:bookmarkStart w:colFirst="0" w:colLast="0" w:name="_72w9oql0p34i" w:id="46"/>
      <w:bookmarkEnd w:id="46"/>
      <w:r w:rsidDel="00000000" w:rsidR="00000000" w:rsidRPr="00000000">
        <w:rPr>
          <w:rtl w:val="0"/>
        </w:rPr>
        <w:t xml:space="preserve">1.4.7.3.2 Troubleshooting</w:t>
      </w:r>
    </w:p>
    <w:p w:rsidR="00000000" w:rsidDel="00000000" w:rsidP="00000000" w:rsidRDefault="00000000" w:rsidRPr="00000000" w14:paraId="000000AD">
      <w:pPr>
        <w:jc w:val="both"/>
        <w:rPr/>
      </w:pPr>
      <w:r w:rsidDel="00000000" w:rsidR="00000000" w:rsidRPr="00000000">
        <w:rPr>
          <w:rtl w:val="0"/>
        </w:rPr>
        <w:t xml:space="preserve">To ensure a smooth transplantation process, carefully secure the host's terminalia using fine forceps. While maintaining a steady grip, gently press the tip of the needle holding the donor tissue against the ventral cuticle of the host. The optimal injection site is typically located between the fourth and sixth sternites. Due to the needle’s sharpness, it will effortlessly penetrate the cuticle with minimal resistance. Once the puncture is made, slightly retract the needle to alleviate internal pressure and carefully introduce the transplant into the abdominal cavity with controlled motion.</w:t>
      </w:r>
    </w:p>
    <w:p w:rsidR="00000000" w:rsidDel="00000000" w:rsidP="00000000" w:rsidRDefault="00000000" w:rsidRPr="00000000" w14:paraId="000000AE">
      <w:pPr>
        <w:jc w:val="both"/>
        <w:rPr/>
      </w:pPr>
      <w:r w:rsidDel="00000000" w:rsidR="00000000" w:rsidRPr="00000000">
        <w:rPr>
          <w:rtl w:val="0"/>
        </w:rPr>
        <w:t xml:space="preserve">▲ Critical Step: Avoid unnecessary needle movement after penetration, as excessive motion can cause additional mechanical damage to the internal structures of the host.</w:t>
      </w:r>
    </w:p>
    <w:p w:rsidR="00000000" w:rsidDel="00000000" w:rsidP="00000000" w:rsidRDefault="00000000" w:rsidRPr="00000000" w14:paraId="000000AF">
      <w:pPr>
        <w:jc w:val="both"/>
        <w:rPr/>
      </w:pPr>
      <w:r w:rsidDel="00000000" w:rsidR="00000000" w:rsidRPr="00000000">
        <w:rPr>
          <w:rtl w:val="0"/>
        </w:rPr>
        <w:t xml:space="preserve">Once the transplant is securely placed, withdraw the needle with precision to minimize trauma. Following injection, keep the host flies under CO₂ anesthesia for approximately one minute before allowing them to recover for an additional minute in a CO₂-free environment. At this stage, host individuals should exhibit no visible damage to the sternites, nor should there be any leakage of hemolymph from the injection site.</w:t>
      </w:r>
    </w:p>
    <w:p w:rsidR="00000000" w:rsidDel="00000000" w:rsidP="00000000" w:rsidRDefault="00000000" w:rsidRPr="00000000" w14:paraId="000000B0">
      <w:pPr>
        <w:jc w:val="both"/>
        <w:rPr/>
      </w:pPr>
      <w:r w:rsidDel="00000000" w:rsidR="00000000" w:rsidRPr="00000000">
        <w:rPr>
          <w:rtl w:val="0"/>
        </w:rPr>
        <w:t xml:space="preserve">To maintain sterility, immediately rinse the needle with PBS1X to remove any residual biological material and prevent cross-contamination.</w:t>
      </w:r>
    </w:p>
    <w:p w:rsidR="00000000" w:rsidDel="00000000" w:rsidP="00000000" w:rsidRDefault="00000000" w:rsidRPr="00000000" w14:paraId="000000B1">
      <w:pPr>
        <w:jc w:val="both"/>
        <w:rPr/>
      </w:pPr>
      <w:r w:rsidDel="00000000" w:rsidR="00000000" w:rsidRPr="00000000">
        <w:rPr>
          <w:rtl w:val="0"/>
        </w:rPr>
        <w:t xml:space="preserve">After transplantation, transfer the flies into fresh vials containing nutrient media. To facilitate recovery, ensure that vials are kept in a horizontal position, preventing unnecessary stress or additional fluid leakage from the host.</w:t>
      </w:r>
    </w:p>
    <w:p w:rsidR="00000000" w:rsidDel="00000000" w:rsidP="00000000" w:rsidRDefault="00000000" w:rsidRPr="00000000" w14:paraId="000000B2">
      <w:pPr>
        <w:jc w:val="both"/>
        <w:rPr/>
      </w:pPr>
      <w:r w:rsidDel="00000000" w:rsidR="00000000" w:rsidRPr="00000000">
        <w:rPr>
          <w:rtl w:val="0"/>
        </w:rPr>
        <w:t xml:space="preserve">▲ Critical Step: As the abdominal muscles regain motility, slight fluid leakage may occur. If observed, gently absorb excess liquid with sterile tissue paper to prevent complications.</w:t>
      </w:r>
    </w:p>
    <w:p w:rsidR="00000000" w:rsidDel="00000000" w:rsidP="00000000" w:rsidRDefault="00000000" w:rsidRPr="00000000" w14:paraId="000000B3">
      <w:pPr>
        <w:pStyle w:val="Heading5"/>
        <w:jc w:val="both"/>
        <w:rPr/>
      </w:pPr>
      <w:bookmarkStart w:colFirst="0" w:colLast="0" w:name="_2qu0t6xloo02" w:id="47"/>
      <w:bookmarkEnd w:id="47"/>
      <w:r w:rsidDel="00000000" w:rsidR="00000000" w:rsidRPr="00000000">
        <w:rPr>
          <w:rtl w:val="0"/>
        </w:rPr>
        <w:t xml:space="preserve">1.4.7.3.3 Cultivation of Allotransplanted Hosts</w:t>
      </w:r>
    </w:p>
    <w:p w:rsidR="00000000" w:rsidDel="00000000" w:rsidP="00000000" w:rsidRDefault="00000000" w:rsidRPr="00000000" w14:paraId="000000B4">
      <w:pPr>
        <w:jc w:val="both"/>
        <w:rPr/>
      </w:pPr>
      <w:r w:rsidDel="00000000" w:rsidR="00000000" w:rsidRPr="00000000">
        <w:rPr>
          <w:rtl w:val="0"/>
        </w:rPr>
        <w:t xml:space="preserve">To maximize survival rates and ensure optimal conditions for transplanted tissues, follow a precise maintenance regimen. Transfer the flies to fresh vials daily for the first three days post-transplantation. After this critical period, subsequent transfers should occur biweekly to maintain optimal conditions for host survival.</w:t>
      </w:r>
    </w:p>
    <w:p w:rsidR="00000000" w:rsidDel="00000000" w:rsidP="00000000" w:rsidRDefault="00000000" w:rsidRPr="00000000" w14:paraId="000000B5">
      <w:pPr>
        <w:jc w:val="both"/>
        <w:rPr/>
      </w:pPr>
      <w:r w:rsidDel="00000000" w:rsidR="00000000" w:rsidRPr="00000000">
        <w:rPr>
          <w:rtl w:val="0"/>
        </w:rPr>
        <w:t xml:space="preserve">▲ Critical Step: The initial post-transplantation period is crucial, as it determines the long-term viability of the host. Close monitoring during the first few days is imperative.</w:t>
      </w:r>
    </w:p>
    <w:p w:rsidR="00000000" w:rsidDel="00000000" w:rsidP="00000000" w:rsidRDefault="00000000" w:rsidRPr="00000000" w14:paraId="000000B6">
      <w:pPr>
        <w:jc w:val="both"/>
        <w:rPr/>
      </w:pPr>
      <w:r w:rsidDel="00000000" w:rsidR="00000000" w:rsidRPr="00000000">
        <w:rPr>
          <w:rtl w:val="0"/>
        </w:rPr>
        <w:t xml:space="preserve">Throughout the experiment, observe the hosts for any signs of terminal conditions, such as impaired movement or distress, which may indicate transplant rejection or systemic physiological failure.</w:t>
      </w:r>
    </w:p>
    <w:p w:rsidR="00000000" w:rsidDel="00000000" w:rsidP="00000000" w:rsidRDefault="00000000" w:rsidRPr="00000000" w14:paraId="000000B7">
      <w:pPr>
        <w:jc w:val="both"/>
        <w:rPr/>
      </w:pPr>
      <w:r w:rsidDel="00000000" w:rsidR="00000000" w:rsidRPr="00000000">
        <w:rPr>
          <w:rtl w:val="0"/>
        </w:rPr>
        <w:t xml:space="preserve">Isolation of Transplants from Hosts</w:t>
        <w:br w:type="textWrapping"/>
        <w:t xml:space="preserve"> ● Estimated time: ~5–10 minutes per fly</w:t>
      </w:r>
    </w:p>
    <w:p w:rsidR="00000000" w:rsidDel="00000000" w:rsidP="00000000" w:rsidRDefault="00000000" w:rsidRPr="00000000" w14:paraId="000000B8">
      <w:pPr>
        <w:jc w:val="both"/>
        <w:rPr/>
      </w:pPr>
      <w:r w:rsidDel="00000000" w:rsidR="00000000" w:rsidRPr="00000000">
        <w:rPr>
          <w:rtl w:val="0"/>
        </w:rPr>
        <w:t xml:space="preserve">To extract transplanted tissues for analysis, anesthetize the flies and carefully separate the abdomen from the rest of the body. Transfer the excised abdominal section into a PBS1X solution for further processing.</w:t>
      </w:r>
    </w:p>
    <w:p w:rsidR="00000000" w:rsidDel="00000000" w:rsidP="00000000" w:rsidRDefault="00000000" w:rsidRPr="00000000" w14:paraId="000000B9">
      <w:pPr>
        <w:jc w:val="both"/>
        <w:rPr/>
      </w:pPr>
      <w:r w:rsidDel="00000000" w:rsidR="00000000" w:rsidRPr="00000000">
        <w:rPr>
          <w:rtl w:val="0"/>
        </w:rPr>
        <w:t xml:space="preserve">Using precise dissection techniques, carefully open the abdomen and gently extract the encapsulated transplant using fine forceps. If the transplantation procedure was performed between individuals of different sexes, assess the proportion of host and donor cells based on X chromosome counts.</w:t>
      </w:r>
    </w:p>
    <w:p w:rsidR="00000000" w:rsidDel="00000000" w:rsidP="00000000" w:rsidRDefault="00000000" w:rsidRPr="00000000" w14:paraId="000000BA">
      <w:pPr>
        <w:jc w:val="both"/>
        <w:rPr/>
      </w:pPr>
      <w:r w:rsidDel="00000000" w:rsidR="00000000" w:rsidRPr="00000000">
        <w:rPr>
          <w:rtl w:val="0"/>
        </w:rPr>
        <w:t xml:space="preserve">For downstream applications such as genetic, histological, or molecular analyses, freeze the extracted samples immediately to preserve cellular integrity.</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pStyle w:val="Heading3"/>
        <w:jc w:val="both"/>
        <w:rPr/>
      </w:pPr>
      <w:bookmarkStart w:colFirst="0" w:colLast="0" w:name="_bhizdqsokq6t" w:id="48"/>
      <w:bookmarkEnd w:id="48"/>
      <w:r w:rsidDel="00000000" w:rsidR="00000000" w:rsidRPr="00000000">
        <w:rPr>
          <w:rtl w:val="0"/>
        </w:rPr>
        <w:t xml:space="preserve">1.4.8 Expected Results</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Based on the described protocol and previous research findings, the following outcomes are anticipated:</w:t>
      </w:r>
    </w:p>
    <w:p w:rsidR="00000000" w:rsidDel="00000000" w:rsidP="00000000" w:rsidRDefault="00000000" w:rsidRPr="00000000" w14:paraId="000000BF">
      <w:pPr>
        <w:pStyle w:val="Heading4"/>
        <w:jc w:val="both"/>
        <w:rPr/>
      </w:pPr>
      <w:bookmarkStart w:colFirst="0" w:colLast="0" w:name="_ojqtc1m1zztp" w:id="49"/>
      <w:bookmarkEnd w:id="49"/>
      <w:r w:rsidDel="00000000" w:rsidR="00000000" w:rsidRPr="00000000">
        <w:rPr>
          <w:rtl w:val="0"/>
        </w:rPr>
        <w:t xml:space="preserve">1.4.8.1 Host and Transplant Survival</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High short-term survival rates of host flies:</w:t>
        <w:br w:type="textWrapping"/>
        <w:t xml:space="preserve"> If sterile conditions and precise procedural execution are maintained, the survival rate of recipient flies is expected to exceed 80% within the first 3–5 days post-transplantation.</w:t>
      </w:r>
    </w:p>
    <w:p w:rsidR="00000000" w:rsidDel="00000000" w:rsidP="00000000" w:rsidRDefault="00000000" w:rsidRPr="00000000" w14:paraId="000000C2">
      <w:pPr>
        <w:jc w:val="both"/>
        <w:rPr/>
      </w:pPr>
      <w:r w:rsidDel="00000000" w:rsidR="00000000" w:rsidRPr="00000000">
        <w:rPr>
          <w:rtl w:val="0"/>
        </w:rPr>
        <w:t xml:space="preserve">Encapsulation of the transplant:</w:t>
        <w:br w:type="textWrapping"/>
        <w:t xml:space="preserve"> Following transplantation, host hemocytes gradually encapsulate the transplanted tissue, forming a compact structure without excessive overgrowth beyond physiological limits.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4"/>
        <w:jc w:val="both"/>
        <w:rPr/>
      </w:pPr>
      <w:bookmarkStart w:colFirst="0" w:colLast="0" w:name="_njaega2t71nn" w:id="50"/>
      <w:bookmarkEnd w:id="50"/>
      <w:r w:rsidDel="00000000" w:rsidR="00000000" w:rsidRPr="00000000">
        <w:rPr>
          <w:rtl w:val="0"/>
        </w:rPr>
        <w:t xml:space="preserve">1.4.8.2 Influence of Donor and Recipient Age</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Diminished regenerative potential in aged donors:</w:t>
        <w:br w:type="textWrapping"/>
        <w:t xml:space="preserve"> Transplants derived from older donors are expected to exhibit:</w:t>
      </w:r>
    </w:p>
    <w:p w:rsidR="00000000" w:rsidDel="00000000" w:rsidP="00000000" w:rsidRDefault="00000000" w:rsidRPr="00000000" w14:paraId="000000C7">
      <w:pPr>
        <w:numPr>
          <w:ilvl w:val="0"/>
          <w:numId w:val="18"/>
        </w:numPr>
        <w:ind w:left="720" w:hanging="360"/>
        <w:jc w:val="both"/>
      </w:pPr>
      <w:r w:rsidDel="00000000" w:rsidR="00000000" w:rsidRPr="00000000">
        <w:rPr>
          <w:rtl w:val="0"/>
        </w:rPr>
        <w:t xml:space="preserve">Reduced activation of key signaling pathways, including Hippo and DPP (Decapentaplegic).</w:t>
      </w:r>
    </w:p>
    <w:p w:rsidR="00000000" w:rsidDel="00000000" w:rsidP="00000000" w:rsidRDefault="00000000" w:rsidRPr="00000000" w14:paraId="000000C8">
      <w:pPr>
        <w:numPr>
          <w:ilvl w:val="0"/>
          <w:numId w:val="18"/>
        </w:numPr>
        <w:ind w:left="720" w:hanging="360"/>
        <w:jc w:val="both"/>
      </w:pPr>
      <w:r w:rsidDel="00000000" w:rsidR="00000000" w:rsidRPr="00000000">
        <w:rPr>
          <w:rtl w:val="0"/>
        </w:rPr>
        <w:t xml:space="preserve">Increased accumulation of oxidative stress markers within cells.</w:t>
      </w:r>
    </w:p>
    <w:p w:rsidR="00000000" w:rsidDel="00000000" w:rsidP="00000000" w:rsidRDefault="00000000" w:rsidRPr="00000000" w14:paraId="000000C9">
      <w:pPr>
        <w:jc w:val="both"/>
        <w:rPr/>
      </w:pPr>
      <w:r w:rsidDel="00000000" w:rsidR="00000000" w:rsidRPr="00000000">
        <w:rPr>
          <w:rtl w:val="0"/>
        </w:rPr>
        <w:t xml:space="preserve">Age-related differences in tissue integration:</w:t>
        <w:br w:type="textWrapping"/>
        <w:t xml:space="preserve"> Transplants introduced into young recipients are anticipated to integrate more efficiently due to the preserved activity of stem cell populations within the host.</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pStyle w:val="Heading4"/>
        <w:jc w:val="both"/>
        <w:rPr/>
      </w:pPr>
      <w:bookmarkStart w:colFirst="0" w:colLast="0" w:name="_6i8zai5kxjgj" w:id="51"/>
      <w:bookmarkEnd w:id="51"/>
      <w:r w:rsidDel="00000000" w:rsidR="00000000" w:rsidRPr="00000000">
        <w:rPr>
          <w:rtl w:val="0"/>
        </w:rPr>
        <w:t xml:space="preserve">1.4.8.3 Sexual Dimorphism</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Enhanced immune response in female hosts:</w:t>
        <w:br w:type="textWrapping"/>
        <w:t xml:space="preserve"> Transplants within female Drosophila are more likely to be rejected due to heightened activation of the Toll signaling pathway and increased expression of immune response genes (LamCa, βTub97EF).</w:t>
      </w:r>
    </w:p>
    <w:p w:rsidR="00000000" w:rsidDel="00000000" w:rsidP="00000000" w:rsidRDefault="00000000" w:rsidRPr="00000000" w14:paraId="000000CE">
      <w:pPr>
        <w:jc w:val="both"/>
        <w:rPr/>
      </w:pPr>
      <w:r w:rsidDel="00000000" w:rsidR="00000000" w:rsidRPr="00000000">
        <w:rPr>
          <w:rtl w:val="0"/>
        </w:rPr>
        <w:t xml:space="preserve">Differences in regenerative capacity:</w:t>
        <w:br w:type="textWrapping"/>
        <w:t xml:space="preserve"> Male hosts may exhibit a higher survival rate of intestinal transplants, potentially linked to lower phagocytic activity compared to female counterparts.</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4"/>
        <w:jc w:val="both"/>
        <w:rPr/>
      </w:pPr>
      <w:bookmarkStart w:colFirst="0" w:colLast="0" w:name="_h6l7pska7op2" w:id="52"/>
      <w:bookmarkEnd w:id="52"/>
      <w:r w:rsidDel="00000000" w:rsidR="00000000" w:rsidRPr="00000000">
        <w:rPr>
          <w:rtl w:val="0"/>
        </w:rPr>
        <w:t xml:space="preserve">1.4.8.4 Genetic and Immunological Considerations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Role of genetic markers:</w:t>
        <w:br w:type="textWrapping"/>
        <w:t xml:space="preserve"> GFP/YFP-labeled tissues will allow visualization of transplant integration within the recipient’s body over a period of 7–14 days.</w:t>
      </w:r>
    </w:p>
    <w:p w:rsidR="00000000" w:rsidDel="00000000" w:rsidP="00000000" w:rsidRDefault="00000000" w:rsidRPr="00000000" w14:paraId="000000D3">
      <w:pPr>
        <w:jc w:val="both"/>
        <w:rPr/>
      </w:pPr>
      <w:r w:rsidDel="00000000" w:rsidR="00000000" w:rsidRPr="00000000">
        <w:rPr>
          <w:rtl w:val="0"/>
        </w:rPr>
        <w:t xml:space="preserve">Suppression of innate immunity:</w:t>
        <w:br w:type="textWrapping"/>
        <w:t xml:space="preserve"> Mutations in Toll/JNK pathway genes or the application of immunosuppressive techniques will enhance tolerance to allogeneic transplants, increasing their persistence in the host.</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4"/>
        <w:jc w:val="both"/>
        <w:rPr/>
      </w:pPr>
      <w:bookmarkStart w:colFirst="0" w:colLast="0" w:name="_ig4j7kbwanuy" w:id="53"/>
      <w:bookmarkEnd w:id="53"/>
      <w:r w:rsidDel="00000000" w:rsidR="00000000" w:rsidRPr="00000000">
        <w:rPr>
          <w:rtl w:val="0"/>
        </w:rPr>
        <w:t xml:space="preserve">1.4.8.5 Practical Applications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Modeling age-related pathologies:</w:t>
        <w:br w:type="textWrapping"/>
        <w:t xml:space="preserve"> Tissue transplantation from mutant Drosophila strains (e.g., NGLY1-deficient) can replicate phenotypes resembling human diseases, such as protein aggregation disorders.</w:t>
      </w:r>
    </w:p>
    <w:p w:rsidR="00000000" w:rsidDel="00000000" w:rsidP="00000000" w:rsidRDefault="00000000" w:rsidRPr="00000000" w14:paraId="000000D8">
      <w:pPr>
        <w:jc w:val="both"/>
        <w:rPr/>
      </w:pPr>
      <w:r w:rsidDel="00000000" w:rsidR="00000000" w:rsidRPr="00000000">
        <w:rPr>
          <w:rtl w:val="0"/>
        </w:rPr>
        <w:t xml:space="preserve">Regeneration studies:</w:t>
        <w:br w:type="textWrapping"/>
        <w:t xml:space="preserve"> Imaginal discs and midgut stem cells (ISCs) will demonstrate their proliferation and differentiation potential within the host environment, providing insights into regenerative processes.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pStyle w:val="Heading4"/>
        <w:jc w:val="both"/>
        <w:rPr/>
      </w:pPr>
      <w:bookmarkStart w:colFirst="0" w:colLast="0" w:name="_4jcvz0pfpbkb" w:id="54"/>
      <w:bookmarkEnd w:id="54"/>
      <w:r w:rsidDel="00000000" w:rsidR="00000000" w:rsidRPr="00000000">
        <w:rPr>
          <w:rtl w:val="0"/>
        </w:rPr>
        <w:t xml:space="preserve">1.4.8.6 Limitations and Artifacts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Technical challenges:</w:t>
      </w:r>
    </w:p>
    <w:p w:rsidR="00000000" w:rsidDel="00000000" w:rsidP="00000000" w:rsidRDefault="00000000" w:rsidRPr="00000000" w14:paraId="000000DD">
      <w:pPr>
        <w:numPr>
          <w:ilvl w:val="0"/>
          <w:numId w:val="12"/>
        </w:numPr>
        <w:ind w:left="720" w:hanging="360"/>
        <w:jc w:val="both"/>
      </w:pPr>
      <w:r w:rsidDel="00000000" w:rsidR="00000000" w:rsidRPr="00000000">
        <w:rPr>
          <w:rtl w:val="0"/>
        </w:rPr>
        <w:t xml:space="preserve">High variability due to the miniature size of tissues, increasing the risk of damage during dissection.</w:t>
      </w:r>
    </w:p>
    <w:p w:rsidR="00000000" w:rsidDel="00000000" w:rsidP="00000000" w:rsidRDefault="00000000" w:rsidRPr="00000000" w14:paraId="000000DE">
      <w:pPr>
        <w:numPr>
          <w:ilvl w:val="0"/>
          <w:numId w:val="12"/>
        </w:numPr>
        <w:ind w:left="720" w:hanging="360"/>
        <w:jc w:val="both"/>
      </w:pPr>
      <w:r w:rsidDel="00000000" w:rsidR="00000000" w:rsidRPr="00000000">
        <w:rPr>
          <w:rtl w:val="0"/>
        </w:rPr>
        <w:t xml:space="preserve">Spontaneous gene deletions (e.g., lgl) may introduce confounding effects.</w:t>
      </w:r>
    </w:p>
    <w:p w:rsidR="00000000" w:rsidDel="00000000" w:rsidP="00000000" w:rsidRDefault="00000000" w:rsidRPr="00000000" w14:paraId="000000DF">
      <w:pPr>
        <w:jc w:val="both"/>
        <w:rPr/>
      </w:pPr>
      <w:r w:rsidDel="00000000" w:rsidR="00000000" w:rsidRPr="00000000">
        <w:rPr>
          <w:rtl w:val="0"/>
        </w:rPr>
        <w:t xml:space="preserve">Short observation window:</w:t>
        <w:br w:type="textWrapping"/>
        <w:t xml:space="preserve"> The limited lifespan of Drosophila (up to 60 days) constrains the study of chronic rejection mechanisms over extended periods.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pStyle w:val="Heading4"/>
        <w:jc w:val="both"/>
        <w:rPr/>
      </w:pPr>
      <w:bookmarkStart w:colFirst="0" w:colLast="0" w:name="_tlv0579p88am" w:id="55"/>
      <w:bookmarkEnd w:id="55"/>
      <w:r w:rsidDel="00000000" w:rsidR="00000000" w:rsidRPr="00000000">
        <w:rPr>
          <w:rtl w:val="0"/>
        </w:rPr>
        <w:t xml:space="preserve">1.4.8.7 Recommendations for Data Interpretation</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Control of genetic background:</w:t>
        <w:br w:type="textWrapping"/>
        <w:t xml:space="preserve"> Utilizing isogenic lines is recommended to minimize experimental variability.</w:t>
      </w:r>
    </w:p>
    <w:p w:rsidR="00000000" w:rsidDel="00000000" w:rsidP="00000000" w:rsidRDefault="00000000" w:rsidRPr="00000000" w14:paraId="000000E4">
      <w:pPr>
        <w:jc w:val="both"/>
        <w:rPr/>
      </w:pPr>
      <w:r w:rsidDel="00000000" w:rsidR="00000000" w:rsidRPr="00000000">
        <w:rPr>
          <w:rtl w:val="0"/>
        </w:rPr>
        <w:t xml:space="preserve">Early monitoring:</w:t>
        <w:br w:type="textWrapping"/>
        <w:t xml:space="preserve"> Fluorescent marker expression (e.g., GFP) should be analyzed between days 3 and 7 post-transplantation to track tissue integration dynamics.</w:t>
      </w:r>
    </w:p>
    <w:p w:rsidR="00000000" w:rsidDel="00000000" w:rsidP="00000000" w:rsidRDefault="00000000" w:rsidRPr="00000000" w14:paraId="000000E5">
      <w:pPr>
        <w:jc w:val="both"/>
        <w:rPr/>
      </w:pPr>
      <w:r w:rsidDel="00000000" w:rsidR="00000000" w:rsidRPr="00000000">
        <w:rPr>
          <w:rtl w:val="0"/>
        </w:rPr>
        <w:t xml:space="preserve">Consideration of sex and age variables:</w:t>
        <w:br w:type="textWrapping"/>
        <w:t xml:space="preserve"> Experimental data should be stratified based on sex and age groups to ensure accurate statistical comparisons and interpretations.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These anticipated results contribute to a deeper understanding of aging mechanisms, immune responses, and tissue regeneration using the Drosophila melanogaster model. For further validation, histological analysis and RNA sequencing (RNA-seq) of transplanted tissues are recommended.</w:t>
      </w:r>
    </w:p>
    <w:p w:rsidR="00000000" w:rsidDel="00000000" w:rsidP="00000000" w:rsidRDefault="00000000" w:rsidRPr="00000000" w14:paraId="000000E8">
      <w:pPr>
        <w:pStyle w:val="Heading1"/>
        <w:jc w:val="both"/>
        <w:rPr/>
      </w:pPr>
      <w:bookmarkStart w:colFirst="0" w:colLast="0" w:name="_g9h7z05df20n" w:id="56"/>
      <w:bookmarkEnd w:id="56"/>
      <w:r w:rsidDel="00000000" w:rsidR="00000000" w:rsidRPr="00000000">
        <w:rPr>
          <w:rtl w:val="0"/>
        </w:rPr>
        <w:t xml:space="preserve">References:</w:t>
      </w:r>
    </w:p>
    <w:p w:rsidR="00000000" w:rsidDel="00000000" w:rsidP="00000000" w:rsidRDefault="00000000" w:rsidRPr="00000000" w14:paraId="000000E9">
      <w:pPr>
        <w:numPr>
          <w:ilvl w:val="0"/>
          <w:numId w:val="23"/>
        </w:numPr>
        <w:ind w:left="720" w:hanging="360"/>
        <w:jc w:val="both"/>
      </w:pPr>
      <w:r w:rsidDel="00000000" w:rsidR="00000000" w:rsidRPr="00000000">
        <w:rPr>
          <w:rtl w:val="0"/>
        </w:rPr>
        <w:t xml:space="preserve">Álvarez-Abril, M. C., García-Alcover, I., Colonques-Bellmunt, J., Garijo, R., Pérez-Alonso, M., Artero, R., &amp; López-Castel, A. (2023). Natural compound boldine lessens myotonic dystrophy type 1 phenotypes in DM1 Drosophila models, patient-derived cell lines, and HSALR mice. International Journal of Molecular Sciences, 24(10), 9820. </w:t>
      </w:r>
      <w:hyperlink r:id="rId8">
        <w:r w:rsidDel="00000000" w:rsidR="00000000" w:rsidRPr="00000000">
          <w:rPr>
            <w:color w:val="1155cc"/>
            <w:u w:val="single"/>
            <w:rtl w:val="0"/>
          </w:rPr>
          <w:t xml:space="preserve">https://doi.org/10.3390/ijms24109820</w:t>
        </w:r>
      </w:hyperlink>
      <w:r w:rsidDel="00000000" w:rsidR="00000000" w:rsidRPr="00000000">
        <w:rPr>
          <w:rtl w:val="0"/>
        </w:rPr>
      </w:r>
    </w:p>
    <w:p w:rsidR="00000000" w:rsidDel="00000000" w:rsidP="00000000" w:rsidRDefault="00000000" w:rsidRPr="00000000" w14:paraId="000000EA">
      <w:pPr>
        <w:numPr>
          <w:ilvl w:val="0"/>
          <w:numId w:val="23"/>
        </w:numPr>
        <w:ind w:left="720" w:hanging="360"/>
        <w:jc w:val="both"/>
      </w:pPr>
      <w:r w:rsidDel="00000000" w:rsidR="00000000" w:rsidRPr="00000000">
        <w:rPr>
          <w:rtl w:val="0"/>
        </w:rPr>
        <w:t xml:space="preserve">Beadle, G. W., &amp; Ephrussi, B. (1935). Transplantation in Drosophila. Proceedings of the National Academy of Sciences, 21(11), 642–646.</w:t>
      </w:r>
    </w:p>
    <w:p w:rsidR="00000000" w:rsidDel="00000000" w:rsidP="00000000" w:rsidRDefault="00000000" w:rsidRPr="00000000" w14:paraId="000000EB">
      <w:pPr>
        <w:numPr>
          <w:ilvl w:val="0"/>
          <w:numId w:val="23"/>
        </w:numPr>
        <w:ind w:left="720" w:hanging="360"/>
        <w:jc w:val="both"/>
      </w:pPr>
      <w:r w:rsidDel="00000000" w:rsidR="00000000" w:rsidRPr="00000000">
        <w:rPr>
          <w:rtl w:val="0"/>
        </w:rPr>
        <w:t xml:space="preserve">Beaucher, M., Hersperger, E., Page-McCaw, A., &amp; Shearn, A. (2007). Metastatic ability of Drosophila tumors depends on MMP activity. Developmental Biology, 303(2), 625–634.</w:t>
      </w:r>
    </w:p>
    <w:p w:rsidR="00000000" w:rsidDel="00000000" w:rsidP="00000000" w:rsidRDefault="00000000" w:rsidRPr="00000000" w14:paraId="000000EC">
      <w:pPr>
        <w:numPr>
          <w:ilvl w:val="0"/>
          <w:numId w:val="23"/>
        </w:numPr>
        <w:ind w:left="720" w:hanging="360"/>
        <w:jc w:val="both"/>
      </w:pPr>
      <w:r w:rsidDel="00000000" w:rsidR="00000000" w:rsidRPr="00000000">
        <w:rPr>
          <w:rtl w:val="0"/>
        </w:rPr>
        <w:t xml:space="preserve">Bodenstein, D. (1950). The postembryonic development of Drosophila. In Biology of Drosophila (pp. 275–367). Wiley.</w:t>
      </w:r>
    </w:p>
    <w:p w:rsidR="00000000" w:rsidDel="00000000" w:rsidP="00000000" w:rsidRDefault="00000000" w:rsidRPr="00000000" w14:paraId="000000ED">
      <w:pPr>
        <w:numPr>
          <w:ilvl w:val="0"/>
          <w:numId w:val="23"/>
        </w:numPr>
        <w:ind w:left="720" w:hanging="360"/>
        <w:jc w:val="both"/>
      </w:pPr>
      <w:r w:rsidDel="00000000" w:rsidR="00000000" w:rsidRPr="00000000">
        <w:rPr>
          <w:rtl w:val="0"/>
        </w:rPr>
        <w:t xml:space="preserve">Chambers, R. (1921). A simple micro-injection apparatus made of steel. Science, 54(1403), 552–553.</w:t>
      </w:r>
    </w:p>
    <w:p w:rsidR="00000000" w:rsidDel="00000000" w:rsidP="00000000" w:rsidRDefault="00000000" w:rsidRPr="00000000" w14:paraId="000000EE">
      <w:pPr>
        <w:numPr>
          <w:ilvl w:val="0"/>
          <w:numId w:val="23"/>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EF">
      <w:pPr>
        <w:numPr>
          <w:ilvl w:val="0"/>
          <w:numId w:val="23"/>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F0">
      <w:pPr>
        <w:numPr>
          <w:ilvl w:val="0"/>
          <w:numId w:val="23"/>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F1">
      <w:pPr>
        <w:numPr>
          <w:ilvl w:val="0"/>
          <w:numId w:val="23"/>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F2">
      <w:pPr>
        <w:numPr>
          <w:ilvl w:val="0"/>
          <w:numId w:val="23"/>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F3">
      <w:pPr>
        <w:numPr>
          <w:ilvl w:val="0"/>
          <w:numId w:val="23"/>
        </w:numPr>
        <w:ind w:left="720" w:hanging="360"/>
        <w:jc w:val="both"/>
      </w:pPr>
      <w:r w:rsidDel="00000000" w:rsidR="00000000" w:rsidRPr="00000000">
        <w:rPr>
          <w:rtl w:val="0"/>
        </w:rPr>
        <w:t xml:space="preserve">Dar, A. C., Das, T. K., Shokat, K. M., &amp; Cagan, R. L. (2012). Chemical genetic discovery of targets and anti-targets for cancer polypharmacology. Nature, 486(7401), 80–84.</w:t>
      </w:r>
    </w:p>
    <w:p w:rsidR="00000000" w:rsidDel="00000000" w:rsidP="00000000" w:rsidRDefault="00000000" w:rsidRPr="00000000" w14:paraId="000000F4">
      <w:pPr>
        <w:numPr>
          <w:ilvl w:val="0"/>
          <w:numId w:val="23"/>
        </w:numPr>
        <w:ind w:left="720" w:hanging="360"/>
        <w:jc w:val="both"/>
      </w:pPr>
      <w:r w:rsidDel="00000000" w:rsidR="00000000" w:rsidRPr="00000000">
        <w:rPr>
          <w:rtl w:val="0"/>
        </w:rPr>
        <w:t xml:space="preserve">Dekanty, A., Barrio, L., Muzzopappa, M., Auer, H., &amp; Milan, M. (2012). Aneuploidy-induced delaminating cells drive tumorigenesis in Drosophila epithelia. Proceedings of the National Academy of Sciences, 109(51), 20549–20554.</w:t>
      </w:r>
    </w:p>
    <w:p w:rsidR="00000000" w:rsidDel="00000000" w:rsidP="00000000" w:rsidRDefault="00000000" w:rsidRPr="00000000" w14:paraId="000000F5">
      <w:pPr>
        <w:numPr>
          <w:ilvl w:val="0"/>
          <w:numId w:val="23"/>
        </w:numPr>
        <w:ind w:left="720" w:hanging="360"/>
        <w:jc w:val="both"/>
      </w:pPr>
      <w:r w:rsidDel="00000000" w:rsidR="00000000" w:rsidRPr="00000000">
        <w:rPr>
          <w:rtl w:val="0"/>
        </w:rPr>
        <w:t xml:space="preserve">Dutta, D., Buchon, N., Xiang, J., &amp; Edgar, B. A. (2015). Regional Cell Specific RNA Expression Profiling of FACS Isolated Drosophila Intestinal Cell Populations. Current protocols in stem cell biology, 34, 2F.2.1–2F.2.14. </w:t>
      </w:r>
      <w:hyperlink r:id="rId9">
        <w:r w:rsidDel="00000000" w:rsidR="00000000" w:rsidRPr="00000000">
          <w:rPr>
            <w:color w:val="1155cc"/>
            <w:u w:val="single"/>
            <w:rtl w:val="0"/>
          </w:rPr>
          <w:t xml:space="preserve">https://doi.org/10.1002/9780470151808.sc02f02s34</w:t>
        </w:r>
      </w:hyperlink>
      <w:r w:rsidDel="00000000" w:rsidR="00000000" w:rsidRPr="00000000">
        <w:rPr>
          <w:rtl w:val="0"/>
        </w:rPr>
      </w:r>
    </w:p>
    <w:p w:rsidR="00000000" w:rsidDel="00000000" w:rsidP="00000000" w:rsidRDefault="00000000" w:rsidRPr="00000000" w14:paraId="000000F6">
      <w:pPr>
        <w:numPr>
          <w:ilvl w:val="0"/>
          <w:numId w:val="23"/>
        </w:numPr>
        <w:ind w:left="720" w:hanging="360"/>
        <w:jc w:val="both"/>
      </w:pPr>
      <w:r w:rsidDel="00000000" w:rsidR="00000000" w:rsidRPr="00000000">
        <w:rPr>
          <w:rtl w:val="0"/>
        </w:rPr>
        <w:t xml:space="preserve">Ephrussi, B., &amp; Beadle, G. W. (1936). A technique for transplantation of Drosophila. The American Naturalist, 70(729), 218–225.</w:t>
      </w:r>
    </w:p>
    <w:p w:rsidR="00000000" w:rsidDel="00000000" w:rsidP="00000000" w:rsidRDefault="00000000" w:rsidRPr="00000000" w14:paraId="000000F7">
      <w:pPr>
        <w:numPr>
          <w:ilvl w:val="0"/>
          <w:numId w:val="23"/>
        </w:numPr>
        <w:ind w:left="720" w:hanging="360"/>
        <w:jc w:val="both"/>
      </w:pPr>
      <w:r w:rsidDel="00000000" w:rsidR="00000000" w:rsidRPr="00000000">
        <w:rPr>
          <w:rtl w:val="0"/>
        </w:rPr>
        <w:t xml:space="preserve">Eroglu, E., Burkard, T. R., Jiang, Y., Saini, N., Homem, C. C. F., Reichert, H., ... &amp; Knoblich, J. A. (2014). SWI/SNF complex prevents lineage reversion and induces temporal patterning in neural stem cells. Cell, 156(6), 1259–1273.</w:t>
      </w:r>
    </w:p>
    <w:p w:rsidR="00000000" w:rsidDel="00000000" w:rsidP="00000000" w:rsidRDefault="00000000" w:rsidRPr="00000000" w14:paraId="000000F8">
      <w:pPr>
        <w:numPr>
          <w:ilvl w:val="0"/>
          <w:numId w:val="23"/>
        </w:numPr>
        <w:ind w:left="720" w:hanging="360"/>
        <w:jc w:val="both"/>
      </w:pPr>
      <w:r w:rsidDel="00000000" w:rsidR="00000000" w:rsidRPr="00000000">
        <w:rPr>
          <w:rtl w:val="0"/>
        </w:rPr>
        <w:t xml:space="preserve">Figueroa-Clarevega, A., &amp; Bilder, D. (2015). Malignant Drosophila tumors interrupt insulin signaling to induce cachexia-like wasting. Developmental Cell, 33(1), 47–55.</w:t>
      </w:r>
    </w:p>
    <w:p w:rsidR="00000000" w:rsidDel="00000000" w:rsidP="00000000" w:rsidRDefault="00000000" w:rsidRPr="00000000" w14:paraId="000000F9">
      <w:pPr>
        <w:numPr>
          <w:ilvl w:val="0"/>
          <w:numId w:val="23"/>
        </w:numPr>
        <w:ind w:left="720" w:hanging="360"/>
        <w:jc w:val="both"/>
      </w:pPr>
      <w:r w:rsidDel="00000000" w:rsidR="00000000" w:rsidRPr="00000000">
        <w:rPr>
          <w:rtl w:val="0"/>
        </w:rPr>
        <w:t xml:space="preserve">García-Alcover, I., Colonques-Bellmunt, J., Garijo, R., Tormo, J. R., Artero, R., Álvarez-Abril, M. C., López Castel, A., &amp; Pérez-Alonso, M. (2014). Development of a Drosophila melanogaster spliceosensor system for in vivo high-throughput screening in myotonic dystrophy type 1. Disease Models &amp; Mechanisms, 7(12), 1297–1306. </w:t>
      </w:r>
      <w:hyperlink r:id="rId10">
        <w:r w:rsidDel="00000000" w:rsidR="00000000" w:rsidRPr="00000000">
          <w:rPr>
            <w:color w:val="1155cc"/>
            <w:u w:val="single"/>
            <w:rtl w:val="0"/>
          </w:rPr>
          <w:t xml:space="preserve">https://doi.org/10.1242/dmm.017228</w:t>
        </w:r>
      </w:hyperlink>
      <w:r w:rsidDel="00000000" w:rsidR="00000000" w:rsidRPr="00000000">
        <w:rPr>
          <w:rtl w:val="0"/>
        </w:rPr>
      </w:r>
    </w:p>
    <w:p w:rsidR="00000000" w:rsidDel="00000000" w:rsidP="00000000" w:rsidRDefault="00000000" w:rsidRPr="00000000" w14:paraId="000000FA">
      <w:pPr>
        <w:numPr>
          <w:ilvl w:val="0"/>
          <w:numId w:val="23"/>
        </w:numPr>
        <w:ind w:left="720" w:hanging="360"/>
        <w:jc w:val="both"/>
      </w:pPr>
      <w:r w:rsidDel="00000000" w:rsidR="00000000" w:rsidRPr="00000000">
        <w:rPr>
          <w:rtl w:val="0"/>
        </w:rPr>
        <w:t xml:space="preserve">García-Alcover, I., et al. (2014). Development of a Drosophila melanogaster spliceosensor system for in vivo screening. Disease Models &amp; Mechanisms, 7(12), 1297–1306. </w:t>
      </w:r>
      <w:hyperlink r:id="rId11">
        <w:r w:rsidDel="00000000" w:rsidR="00000000" w:rsidRPr="00000000">
          <w:rPr>
            <w:color w:val="1155cc"/>
            <w:u w:val="single"/>
            <w:rtl w:val="0"/>
          </w:rPr>
          <w:t xml:space="preserve">https://doi.org/10.1242/dmm.017228</w:t>
        </w:r>
      </w:hyperlink>
      <w:r w:rsidDel="00000000" w:rsidR="00000000" w:rsidRPr="00000000">
        <w:rPr>
          <w:rtl w:val="0"/>
        </w:rPr>
      </w:r>
    </w:p>
    <w:p w:rsidR="00000000" w:rsidDel="00000000" w:rsidP="00000000" w:rsidRDefault="00000000" w:rsidRPr="00000000" w14:paraId="000000FB">
      <w:pPr>
        <w:numPr>
          <w:ilvl w:val="0"/>
          <w:numId w:val="23"/>
        </w:numPr>
        <w:ind w:left="720" w:hanging="360"/>
        <w:jc w:val="both"/>
      </w:pPr>
      <w:r w:rsidDel="00000000" w:rsidR="00000000" w:rsidRPr="00000000">
        <w:rPr>
          <w:rtl w:val="0"/>
        </w:rPr>
        <w:t xml:space="preserve">Gladstone, M., &amp; Su, T. T. (2011). Chemical genetics and drug screening in Drosophila cancer models. Journal of Genetics and Genomics, 38(10), 497–504.</w:t>
      </w:r>
    </w:p>
    <w:p w:rsidR="00000000" w:rsidDel="00000000" w:rsidP="00000000" w:rsidRDefault="00000000" w:rsidRPr="00000000" w14:paraId="000000FC">
      <w:pPr>
        <w:numPr>
          <w:ilvl w:val="0"/>
          <w:numId w:val="23"/>
        </w:numPr>
        <w:ind w:left="720" w:hanging="360"/>
        <w:jc w:val="both"/>
      </w:pPr>
      <w:r w:rsidDel="00000000" w:rsidR="00000000" w:rsidRPr="00000000">
        <w:rPr>
          <w:rtl w:val="0"/>
        </w:rPr>
        <w:t xml:space="preserve">Golubovsky, M. D., Weisman, N. Y., Arbeev, K. G., Ukraintseva, S. V., &amp; Yashin, A. I. (2006). Decrease in the lgl tumor suppressor dose in Drosophila increases survival and longevity in stress conditions. Experimental Gerontology, 41(8), 819–827.</w:t>
      </w:r>
    </w:p>
    <w:p w:rsidR="00000000" w:rsidDel="00000000" w:rsidP="00000000" w:rsidRDefault="00000000" w:rsidRPr="00000000" w14:paraId="000000FD">
      <w:pPr>
        <w:numPr>
          <w:ilvl w:val="0"/>
          <w:numId w:val="23"/>
        </w:numPr>
        <w:ind w:left="720" w:hanging="360"/>
        <w:jc w:val="both"/>
      </w:pPr>
      <w:r w:rsidDel="00000000" w:rsidR="00000000" w:rsidRPr="00000000">
        <w:rPr>
          <w:rtl w:val="0"/>
        </w:rPr>
        <w:t xml:space="preserve">Gong, S., Zhang, Y., Bao, H., Wang, X., Chang, C. H., Huang, Y. C., &amp; Deng, W. M. (2021). Tumor Allotransplantation in Drosophila melanogaster with a Programmable Auto-Nanoliter Injector. Journal of visualized experiments : JoVE, (168), 10.3791/62229. </w:t>
      </w:r>
      <w:hyperlink r:id="rId12">
        <w:r w:rsidDel="00000000" w:rsidR="00000000" w:rsidRPr="00000000">
          <w:rPr>
            <w:color w:val="1155cc"/>
            <w:u w:val="single"/>
            <w:rtl w:val="0"/>
          </w:rPr>
          <w:t xml:space="preserve">https://doi.org/10.3791/62229</w:t>
        </w:r>
      </w:hyperlink>
      <w:r w:rsidDel="00000000" w:rsidR="00000000" w:rsidRPr="00000000">
        <w:rPr>
          <w:rtl w:val="0"/>
        </w:rPr>
      </w:r>
    </w:p>
    <w:p w:rsidR="00000000" w:rsidDel="00000000" w:rsidP="00000000" w:rsidRDefault="00000000" w:rsidRPr="00000000" w14:paraId="000000FE">
      <w:pPr>
        <w:numPr>
          <w:ilvl w:val="0"/>
          <w:numId w:val="23"/>
        </w:numPr>
        <w:ind w:left="720" w:hanging="360"/>
        <w:jc w:val="both"/>
      </w:pPr>
      <w:r w:rsidDel="00000000" w:rsidR="00000000" w:rsidRPr="00000000">
        <w:rPr>
          <w:rtl w:val="0"/>
        </w:rPr>
        <w:t xml:space="preserve">Hadorn, E. (1968). Transdetermination in cells. Scientific American, 219(5), 110–114.</w:t>
      </w:r>
    </w:p>
    <w:p w:rsidR="00000000" w:rsidDel="00000000" w:rsidP="00000000" w:rsidRDefault="00000000" w:rsidRPr="00000000" w14:paraId="000000FF">
      <w:pPr>
        <w:numPr>
          <w:ilvl w:val="0"/>
          <w:numId w:val="23"/>
        </w:numPr>
        <w:ind w:left="720" w:hanging="360"/>
        <w:jc w:val="both"/>
      </w:pPr>
      <w:r w:rsidDel="00000000" w:rsidR="00000000" w:rsidRPr="00000000">
        <w:rPr>
          <w:rtl w:val="0"/>
        </w:rPr>
        <w:t xml:space="preserve">Herranz, H., Hong, X., Hung, N. T., Voorhoeve, P. M., &amp; Cohen, S. M. (2012). Oncogenic cooperation between SOCS family proteins and EGFR identified using a Drosophila epithelial transformation model. Genes &amp; Development, 26(14), 1602–1611.</w:t>
      </w:r>
    </w:p>
    <w:p w:rsidR="00000000" w:rsidDel="00000000" w:rsidP="00000000" w:rsidRDefault="00000000" w:rsidRPr="00000000" w14:paraId="00000100">
      <w:pPr>
        <w:numPr>
          <w:ilvl w:val="0"/>
          <w:numId w:val="23"/>
        </w:numPr>
        <w:ind w:left="720" w:hanging="360"/>
        <w:jc w:val="both"/>
      </w:pPr>
      <w:r w:rsidDel="00000000" w:rsidR="00000000" w:rsidRPr="00000000">
        <w:rPr>
          <w:rtl w:val="0"/>
        </w:rPr>
        <w:t xml:space="preserve">Hirabayashi, S., Baranski, T. J., &amp; Cagan, R. L. (2013). Transformed Drosophila cells evade diet-mediated insulin resistance through whipless signaling. Cell, 154(3), 664–675.</w:t>
      </w:r>
    </w:p>
    <w:p w:rsidR="00000000" w:rsidDel="00000000" w:rsidP="00000000" w:rsidRDefault="00000000" w:rsidRPr="00000000" w14:paraId="00000101">
      <w:pPr>
        <w:numPr>
          <w:ilvl w:val="0"/>
          <w:numId w:val="23"/>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02">
      <w:pPr>
        <w:numPr>
          <w:ilvl w:val="0"/>
          <w:numId w:val="23"/>
        </w:numPr>
        <w:ind w:left="720" w:hanging="360"/>
        <w:jc w:val="both"/>
      </w:pPr>
      <w:r w:rsidDel="00000000" w:rsidR="00000000" w:rsidRPr="00000000">
        <w:rPr>
          <w:rtl w:val="0"/>
        </w:rPr>
        <w:t xml:space="preserve">Katsuyama, T., &amp; Paro, R. (2013). Innate immune cells are dispensable for regenerative growth of imaginal discs. Mechanisms of Development, 130(2-3), 112–121.</w:t>
      </w:r>
    </w:p>
    <w:p w:rsidR="00000000" w:rsidDel="00000000" w:rsidP="00000000" w:rsidRDefault="00000000" w:rsidRPr="00000000" w14:paraId="00000103">
      <w:pPr>
        <w:numPr>
          <w:ilvl w:val="0"/>
          <w:numId w:val="23"/>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3">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04">
      <w:pPr>
        <w:numPr>
          <w:ilvl w:val="0"/>
          <w:numId w:val="23"/>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4">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05">
      <w:pPr>
        <w:numPr>
          <w:ilvl w:val="0"/>
          <w:numId w:val="23"/>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06">
      <w:pPr>
        <w:numPr>
          <w:ilvl w:val="0"/>
          <w:numId w:val="23"/>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07">
      <w:pPr>
        <w:numPr>
          <w:ilvl w:val="0"/>
          <w:numId w:val="23"/>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08">
      <w:pPr>
        <w:numPr>
          <w:ilvl w:val="0"/>
          <w:numId w:val="23"/>
        </w:numPr>
        <w:ind w:left="720" w:hanging="360"/>
        <w:jc w:val="both"/>
      </w:pPr>
      <w:r w:rsidDel="00000000" w:rsidR="00000000" w:rsidRPr="00000000">
        <w:rPr>
          <w:rtl w:val="0"/>
        </w:rPr>
        <w:t xml:space="preserve">Kwon, Y., Song, W., Droujinine, I. A., Hu, Y., Asara, J. M., &amp; Perrimon, N. (2015). Systemic organ wasting induced by localized expression of the secreted insulin/IGF antagonist Impl2. Developmental Cell, 33(1), 36–46.</w:t>
      </w:r>
    </w:p>
    <w:p w:rsidR="00000000" w:rsidDel="00000000" w:rsidP="00000000" w:rsidRDefault="00000000" w:rsidRPr="00000000" w14:paraId="00000109">
      <w:pPr>
        <w:numPr>
          <w:ilvl w:val="0"/>
          <w:numId w:val="23"/>
        </w:numPr>
        <w:ind w:left="720" w:hanging="360"/>
        <w:jc w:val="both"/>
      </w:pPr>
      <w:r w:rsidDel="00000000" w:rsidR="00000000" w:rsidRPr="00000000">
        <w:rPr>
          <w:rtl w:val="0"/>
        </w:rPr>
        <w:t xml:space="preserve">Lee, T., &amp; Luo, L. (1999). Mosaic analysis with a repressible cell marker for studies of gene function in neuronal morphogenesis. Neuron, 22(3), 451–461.</w:t>
      </w:r>
    </w:p>
    <w:p w:rsidR="00000000" w:rsidDel="00000000" w:rsidP="00000000" w:rsidRDefault="00000000" w:rsidRPr="00000000" w14:paraId="0000010A">
      <w:pPr>
        <w:numPr>
          <w:ilvl w:val="0"/>
          <w:numId w:val="23"/>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0B">
      <w:pPr>
        <w:numPr>
          <w:ilvl w:val="0"/>
          <w:numId w:val="23"/>
        </w:numPr>
        <w:ind w:left="720" w:hanging="360"/>
        <w:jc w:val="both"/>
      </w:pPr>
      <w:r w:rsidDel="00000000" w:rsidR="00000000" w:rsidRPr="00000000">
        <w:rPr>
          <w:rtl w:val="0"/>
        </w:rPr>
        <w:t xml:space="preserve">Lin, H., &amp; Spradling, A. C. (1993). Germline stem cell division and egg chamber development in transplanted Drosophila germaria. Developmental Biology, 159(1), 140–152.</w:t>
      </w:r>
    </w:p>
    <w:p w:rsidR="00000000" w:rsidDel="00000000" w:rsidP="00000000" w:rsidRDefault="00000000" w:rsidRPr="00000000" w14:paraId="0000010C">
      <w:pPr>
        <w:numPr>
          <w:ilvl w:val="0"/>
          <w:numId w:val="23"/>
        </w:numPr>
        <w:ind w:left="720" w:hanging="360"/>
        <w:jc w:val="both"/>
      </w:pPr>
      <w:r w:rsidDel="00000000" w:rsidR="00000000" w:rsidRPr="00000000">
        <w:rPr>
          <w:rtl w:val="0"/>
        </w:rPr>
        <w:t xml:space="preserve">Marchetti, M., Aparicio, R., &amp; Cordero, J. B. (2022). Ex vivo culture of Drosophila midgut for stem cell analysis. eLife, 11, e76010. </w:t>
      </w:r>
      <w:hyperlink r:id="rId15">
        <w:r w:rsidDel="00000000" w:rsidR="00000000" w:rsidRPr="00000000">
          <w:rPr>
            <w:color w:val="1155cc"/>
            <w:u w:val="single"/>
            <w:rtl w:val="0"/>
          </w:rPr>
          <w:t xml:space="preserve">https://doi.org/10.7554/eLife.76010</w:t>
        </w:r>
      </w:hyperlink>
      <w:r w:rsidDel="00000000" w:rsidR="00000000" w:rsidRPr="00000000">
        <w:rPr>
          <w:rtl w:val="0"/>
        </w:rPr>
      </w:r>
    </w:p>
    <w:p w:rsidR="00000000" w:rsidDel="00000000" w:rsidP="00000000" w:rsidRDefault="00000000" w:rsidRPr="00000000" w14:paraId="0000010D">
      <w:pPr>
        <w:numPr>
          <w:ilvl w:val="0"/>
          <w:numId w:val="23"/>
        </w:numPr>
        <w:ind w:left="720" w:hanging="360"/>
        <w:jc w:val="both"/>
      </w:pPr>
      <w:r w:rsidDel="00000000" w:rsidR="00000000" w:rsidRPr="00000000">
        <w:rPr>
          <w:rtl w:val="0"/>
        </w:rPr>
        <w:t xml:space="preserve">Markstein, M., Dettorre, S., Cho, J., Neumüller, R. A., Craig-Müller, S., &amp; Perrimon, N. (2014). Systematic screen of chemotherapeutics in Drosophila stem cell tumors. Proceedings of the National Academy of Sciences, 111(12), 4530–4535.</w:t>
      </w:r>
    </w:p>
    <w:p w:rsidR="00000000" w:rsidDel="00000000" w:rsidP="00000000" w:rsidRDefault="00000000" w:rsidRPr="00000000" w14:paraId="0000010E">
      <w:pPr>
        <w:numPr>
          <w:ilvl w:val="0"/>
          <w:numId w:val="23"/>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0F">
      <w:pPr>
        <w:numPr>
          <w:ilvl w:val="0"/>
          <w:numId w:val="23"/>
        </w:numPr>
        <w:ind w:left="720" w:hanging="360"/>
        <w:jc w:val="both"/>
      </w:pPr>
      <w:r w:rsidDel="00000000" w:rsidR="00000000" w:rsidRPr="00000000">
        <w:rPr>
          <w:rtl w:val="0"/>
        </w:rPr>
        <w:t xml:space="preserve">Micchelli, C. A., &amp; Perrimon, N. (2006). Evidence that stem cells reside in the adult Drosophila midgut epithelium. Nature, 439(7075), 475–479. </w:t>
      </w:r>
      <w:hyperlink r:id="rId16">
        <w:r w:rsidDel="00000000" w:rsidR="00000000" w:rsidRPr="00000000">
          <w:rPr>
            <w:color w:val="1155cc"/>
            <w:u w:val="single"/>
            <w:rtl w:val="0"/>
          </w:rPr>
          <w:t xml:space="preserve">https://doi.org/10.1038/nature04371</w:t>
        </w:r>
      </w:hyperlink>
      <w:r w:rsidDel="00000000" w:rsidR="00000000" w:rsidRPr="00000000">
        <w:rPr>
          <w:rtl w:val="0"/>
        </w:rPr>
      </w:r>
    </w:p>
    <w:p w:rsidR="00000000" w:rsidDel="00000000" w:rsidP="00000000" w:rsidRDefault="00000000" w:rsidRPr="00000000" w14:paraId="00000110">
      <w:pPr>
        <w:numPr>
          <w:ilvl w:val="0"/>
          <w:numId w:val="23"/>
        </w:numPr>
        <w:ind w:left="720" w:hanging="360"/>
        <w:jc w:val="both"/>
      </w:pPr>
      <w:r w:rsidDel="00000000" w:rsidR="00000000" w:rsidRPr="00000000">
        <w:rPr>
          <w:rtl w:val="0"/>
        </w:rPr>
        <w:t xml:space="preserve">Morais da Silva, S., Moutinho-Santos, T., &amp; Sunkel, C. E. (2013). A tumor suppressor role of the Bub3 spindle checkpoint protein after apoptosis inhibition. Journal of Cell Biology, 201(3), 385–393.</w:t>
      </w:r>
    </w:p>
    <w:p w:rsidR="00000000" w:rsidDel="00000000" w:rsidP="00000000" w:rsidRDefault="00000000" w:rsidRPr="00000000" w14:paraId="00000111">
      <w:pPr>
        <w:numPr>
          <w:ilvl w:val="0"/>
          <w:numId w:val="23"/>
        </w:numPr>
        <w:ind w:left="720" w:hanging="360"/>
        <w:jc w:val="both"/>
      </w:pPr>
      <w:r w:rsidDel="00000000" w:rsidR="00000000" w:rsidRPr="00000000">
        <w:rPr>
          <w:rtl w:val="0"/>
        </w:rPr>
        <w:t xml:space="preserve">Pan, X., Alvarez, A. N., Ma, M., Lu, S., Crawford, M. W., Briere, L. C., Kanca, O., Yamamoto, S., Sweetser, D. A., &amp; Wilson, J. L. (2023). Allelic strengths of encephalopathy-associated UBA5 variants correlate between in vivo and in vitro assays. eLife, 12, RP89891. </w:t>
      </w:r>
      <w:hyperlink r:id="rId17">
        <w:r w:rsidDel="00000000" w:rsidR="00000000" w:rsidRPr="00000000">
          <w:rPr>
            <w:color w:val="1155cc"/>
            <w:u w:val="single"/>
            <w:rtl w:val="0"/>
          </w:rPr>
          <w:t xml:space="preserve">https://doi.org/10.7554/eLife.RP89891</w:t>
        </w:r>
      </w:hyperlink>
      <w:r w:rsidDel="00000000" w:rsidR="00000000" w:rsidRPr="00000000">
        <w:rPr>
          <w:rtl w:val="0"/>
        </w:rPr>
      </w:r>
    </w:p>
    <w:p w:rsidR="00000000" w:rsidDel="00000000" w:rsidP="00000000" w:rsidRDefault="00000000" w:rsidRPr="00000000" w14:paraId="00000112">
      <w:pPr>
        <w:numPr>
          <w:ilvl w:val="0"/>
          <w:numId w:val="23"/>
        </w:numPr>
        <w:ind w:left="720" w:hanging="360"/>
        <w:jc w:val="both"/>
      </w:pPr>
      <w:r w:rsidDel="00000000" w:rsidR="00000000" w:rsidRPr="00000000">
        <w:rPr>
          <w:rtl w:val="0"/>
        </w:rPr>
        <w:t xml:space="preserve">Pandey, A., &amp; Jafar-Nejad, H. (2022). Tracing the NGLY1 footprints: Insights from Drosophila. Journal of Biochemistry, 171(2), 153–160. </w:t>
      </w:r>
      <w:hyperlink r:id="rId18">
        <w:r w:rsidDel="00000000" w:rsidR="00000000" w:rsidRPr="00000000">
          <w:rPr>
            <w:color w:val="1155cc"/>
            <w:u w:val="single"/>
            <w:rtl w:val="0"/>
          </w:rPr>
          <w:t xml:space="preserve">https://doi.org/10.1093/jb/mvab128</w:t>
        </w:r>
      </w:hyperlink>
      <w:r w:rsidDel="00000000" w:rsidR="00000000" w:rsidRPr="00000000">
        <w:rPr>
          <w:rtl w:val="0"/>
        </w:rPr>
      </w:r>
    </w:p>
    <w:p w:rsidR="00000000" w:rsidDel="00000000" w:rsidP="00000000" w:rsidRDefault="00000000" w:rsidRPr="00000000" w14:paraId="00000113">
      <w:pPr>
        <w:numPr>
          <w:ilvl w:val="0"/>
          <w:numId w:val="23"/>
        </w:numPr>
        <w:ind w:left="720" w:hanging="360"/>
        <w:jc w:val="both"/>
      </w:pPr>
      <w:r w:rsidDel="00000000" w:rsidR="00000000" w:rsidRPr="00000000">
        <w:rPr>
          <w:rtl w:val="0"/>
        </w:rPr>
        <w:t xml:space="preserve">Pandey, U. B., &amp; Nichols, C. D. (2011). Human disease models in Drosophila melanogaster and the role of the fly in therapeutic drug discovery. Pharmacological Reviews, 63(2), 411–436.</w:t>
      </w:r>
    </w:p>
    <w:p w:rsidR="00000000" w:rsidDel="00000000" w:rsidP="00000000" w:rsidRDefault="00000000" w:rsidRPr="00000000" w14:paraId="00000114">
      <w:pPr>
        <w:numPr>
          <w:ilvl w:val="0"/>
          <w:numId w:val="23"/>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15">
      <w:pPr>
        <w:numPr>
          <w:ilvl w:val="0"/>
          <w:numId w:val="23"/>
        </w:numPr>
        <w:ind w:left="720" w:hanging="360"/>
        <w:jc w:val="both"/>
      </w:pPr>
      <w:r w:rsidDel="00000000" w:rsidR="00000000" w:rsidRPr="00000000">
        <w:rPr>
          <w:rtl w:val="0"/>
        </w:rPr>
        <w:t xml:space="preserve">Rebollo, E., Llamazares, S., Reina, J., &amp; Gonzalez, C. (2004). Contribution of noncentrosomal microtubules to spindle assembly in Drosophila spermatocytes. PLoS Biology, 2(1), e8.</w:t>
      </w:r>
    </w:p>
    <w:p w:rsidR="00000000" w:rsidDel="00000000" w:rsidP="00000000" w:rsidRDefault="00000000" w:rsidRPr="00000000" w14:paraId="00000116">
      <w:pPr>
        <w:numPr>
          <w:ilvl w:val="0"/>
          <w:numId w:val="23"/>
        </w:numPr>
        <w:ind w:left="720" w:hanging="360"/>
        <w:jc w:val="both"/>
      </w:pPr>
      <w:r w:rsidDel="00000000" w:rsidR="00000000" w:rsidRPr="00000000">
        <w:rPr>
          <w:rtl w:val="0"/>
        </w:rPr>
        <w:t xml:space="preserve">Roberts, P. A., Tredale, R. B., &amp; Buckley, P. M. (1986). The consequences of fat body transplantation into young and old Drosophila. Experimental Gerontology, 20(2), 123–130.</w:t>
      </w:r>
    </w:p>
    <w:p w:rsidR="00000000" w:rsidDel="00000000" w:rsidP="00000000" w:rsidRDefault="00000000" w:rsidRPr="00000000" w14:paraId="00000117">
      <w:pPr>
        <w:numPr>
          <w:ilvl w:val="0"/>
          <w:numId w:val="23"/>
        </w:numPr>
        <w:ind w:left="720" w:hanging="360"/>
        <w:jc w:val="both"/>
      </w:pPr>
      <w:r w:rsidDel="00000000" w:rsidR="00000000" w:rsidRPr="00000000">
        <w:rPr>
          <w:rtl w:val="0"/>
        </w:rPr>
        <w:t xml:space="preserve">Roegiers, F., Kavaler, J., Tolwinski, N., Chou, Y. T., Duan, H., Bejarano, F., ... &amp; Lai, E. C. (2009). Frequent unanticipated alleles of lethal giant larvae in Drosophila second chromosome stocks. Genetics, 182(2), 407–410.</w:t>
      </w:r>
    </w:p>
    <w:p w:rsidR="00000000" w:rsidDel="00000000" w:rsidP="00000000" w:rsidRDefault="00000000" w:rsidRPr="00000000" w14:paraId="00000118">
      <w:pPr>
        <w:numPr>
          <w:ilvl w:val="0"/>
          <w:numId w:val="23"/>
        </w:numPr>
        <w:ind w:left="720" w:hanging="360"/>
        <w:jc w:val="both"/>
      </w:pPr>
      <w:r w:rsidDel="00000000" w:rsidR="00000000" w:rsidRPr="00000000">
        <w:rPr>
          <w:rtl w:val="0"/>
        </w:rPr>
        <w:t xml:space="preserve">Rossi, F., &amp; Gonzalez, C. (2012). Synergism between altered cortical polarity and the PI3K/TOR pathway in the suppression of tumour growth. EMBO Reports, 13(2), 157–162.</w:t>
      </w:r>
    </w:p>
    <w:p w:rsidR="00000000" w:rsidDel="00000000" w:rsidP="00000000" w:rsidRDefault="00000000" w:rsidRPr="00000000" w14:paraId="00000119">
      <w:pPr>
        <w:numPr>
          <w:ilvl w:val="0"/>
          <w:numId w:val="23"/>
        </w:numPr>
        <w:ind w:left="720" w:hanging="360"/>
        <w:jc w:val="both"/>
      </w:pPr>
      <w:r w:rsidDel="00000000" w:rsidR="00000000" w:rsidRPr="00000000">
        <w:rPr>
          <w:rtl w:val="0"/>
        </w:rPr>
        <w:t xml:space="preserve">Schubiger, G. (1971). Regeneration, duplication and transdetermination in fragments of the leg disc of Drosophila melanogaster. Developmental Biology, 26(2), 277–295.</w:t>
      </w:r>
    </w:p>
    <w:p w:rsidR="00000000" w:rsidDel="00000000" w:rsidP="00000000" w:rsidRDefault="00000000" w:rsidRPr="00000000" w14:paraId="0000011A">
      <w:pPr>
        <w:numPr>
          <w:ilvl w:val="0"/>
          <w:numId w:val="23"/>
        </w:numPr>
        <w:ind w:left="720" w:hanging="360"/>
        <w:jc w:val="both"/>
      </w:pPr>
      <w:r w:rsidDel="00000000" w:rsidR="00000000" w:rsidRPr="00000000">
        <w:rPr>
          <w:rtl w:val="0"/>
        </w:rPr>
        <w:t xml:space="preserve">Schubiger, G., &amp; Hadorn, E. (1968). Auto- and allotypic differentiation in Drosophila blastemas cultured in vivo. Developmental Biology, 17(5), 584–602.</w:t>
      </w:r>
    </w:p>
    <w:p w:rsidR="00000000" w:rsidDel="00000000" w:rsidP="00000000" w:rsidRDefault="00000000" w:rsidRPr="00000000" w14:paraId="0000011B">
      <w:pPr>
        <w:numPr>
          <w:ilvl w:val="0"/>
          <w:numId w:val="23"/>
        </w:numPr>
        <w:ind w:left="720" w:hanging="360"/>
        <w:jc w:val="both"/>
      </w:pPr>
      <w:r w:rsidDel="00000000" w:rsidR="00000000" w:rsidRPr="00000000">
        <w:rPr>
          <w:rtl w:val="0"/>
        </w:rPr>
        <w:t xml:space="preserve">Shearn, A., &amp; Garen, A. (1974). Genetic control of imaginal disc development in Drosophila. Proceedings of the National Academy of Sciences, 71(4), 1393–1397.</w:t>
      </w:r>
    </w:p>
    <w:p w:rsidR="00000000" w:rsidDel="00000000" w:rsidP="00000000" w:rsidRDefault="00000000" w:rsidRPr="00000000" w14:paraId="0000011C">
      <w:pPr>
        <w:numPr>
          <w:ilvl w:val="0"/>
          <w:numId w:val="23"/>
        </w:numPr>
        <w:ind w:left="720" w:hanging="360"/>
        <w:jc w:val="both"/>
      </w:pPr>
      <w:r w:rsidDel="00000000" w:rsidR="00000000" w:rsidRPr="00000000">
        <w:rPr>
          <w:rtl w:val="0"/>
        </w:rPr>
        <w:t xml:space="preserve">Sievers, C., Comoglio, F., Seimiya, M., Merdes, G., &amp; Paro, R. (2014). A deterministic analysis of genome integrity during neoplastic growth in Drosophila. PLoS ONE, 9(1), e87090.</w:t>
      </w:r>
    </w:p>
    <w:p w:rsidR="00000000" w:rsidDel="00000000" w:rsidP="00000000" w:rsidRDefault="00000000" w:rsidRPr="00000000" w14:paraId="0000011D">
      <w:pPr>
        <w:numPr>
          <w:ilvl w:val="0"/>
          <w:numId w:val="23"/>
        </w:numPr>
        <w:ind w:left="720" w:hanging="360"/>
        <w:jc w:val="both"/>
      </w:pPr>
      <w:r w:rsidDel="00000000" w:rsidR="00000000" w:rsidRPr="00000000">
        <w:rPr>
          <w:rtl w:val="0"/>
        </w:rPr>
        <w:t xml:space="preserve">St Johnston, D. (2002). The art and design of genetic screens: Drosophila melanogaster. Nature Reviews Genetics, 3(3), 176–188.</w:t>
      </w:r>
    </w:p>
    <w:p w:rsidR="00000000" w:rsidDel="00000000" w:rsidP="00000000" w:rsidRDefault="00000000" w:rsidRPr="00000000" w14:paraId="0000011E">
      <w:pPr>
        <w:numPr>
          <w:ilvl w:val="0"/>
          <w:numId w:val="23"/>
        </w:numPr>
        <w:ind w:left="720" w:hanging="360"/>
        <w:jc w:val="both"/>
      </w:pPr>
      <w:r w:rsidDel="00000000" w:rsidR="00000000" w:rsidRPr="00000000">
        <w:rPr>
          <w:rtl w:val="0"/>
        </w:rPr>
        <w:t xml:space="preserve">Sullivan, W., Ashburner, M., &amp; Hawley, R. S. (2000). Drosophila protocols. Cold Spring Harbor Laboratory Press.syndromes and papillary thyroid carcinoma. Cancer Research, 65(9), 3538–3541.</w:t>
      </w:r>
    </w:p>
    <w:p w:rsidR="00000000" w:rsidDel="00000000" w:rsidP="00000000" w:rsidRDefault="00000000" w:rsidRPr="00000000" w14:paraId="0000011F">
      <w:pPr>
        <w:numPr>
          <w:ilvl w:val="0"/>
          <w:numId w:val="23"/>
        </w:numPr>
        <w:ind w:left="720" w:hanging="360"/>
        <w:jc w:val="both"/>
      </w:pPr>
      <w:r w:rsidDel="00000000" w:rsidR="00000000" w:rsidRPr="00000000">
        <w:rPr>
          <w:rtl w:val="0"/>
        </w:rPr>
        <w:t xml:space="preserve">Tauc, H. M., Mannervik, M., &amp; Jasper, H. (2014). Isolation of intestinal stem cells in Drosophila melanogaster. Methods in Molecular Biology, 1212, 337–348. </w:t>
      </w:r>
      <w:hyperlink r:id="rId19">
        <w:r w:rsidDel="00000000" w:rsidR="00000000" w:rsidRPr="00000000">
          <w:rPr>
            <w:color w:val="1155cc"/>
            <w:u w:val="single"/>
            <w:rtl w:val="0"/>
          </w:rPr>
          <w:t xml:space="preserve">https://doi.org/10.1007/7651_2014_79</w:t>
        </w:r>
      </w:hyperlink>
      <w:r w:rsidDel="00000000" w:rsidR="00000000" w:rsidRPr="00000000">
        <w:rPr>
          <w:rtl w:val="0"/>
        </w:rPr>
      </w:r>
    </w:p>
    <w:p w:rsidR="00000000" w:rsidDel="00000000" w:rsidP="00000000" w:rsidRDefault="00000000" w:rsidRPr="00000000" w14:paraId="00000120">
      <w:pPr>
        <w:numPr>
          <w:ilvl w:val="0"/>
          <w:numId w:val="23"/>
        </w:numPr>
        <w:ind w:left="720" w:hanging="360"/>
        <w:jc w:val="both"/>
      </w:pPr>
      <w:r w:rsidDel="00000000" w:rsidR="00000000" w:rsidRPr="00000000">
        <w:rPr>
          <w:rtl w:val="0"/>
        </w:rPr>
        <w:t xml:space="preserve">Thorpe, H. J., Owings, K. G., Aziz, M. C., Haller, M., Coelho, E., &amp; Chow, C. Y. (2024). Drosophila models of phosphatidylinositol glycan biosynthesis class A congenital disorder of glycosylation (PIGA-CDG) mirror patient phenotypes. G3: Genes, Genomes, Genetics, 14, jkad291. </w:t>
      </w:r>
      <w:hyperlink r:id="rId20">
        <w:r w:rsidDel="00000000" w:rsidR="00000000" w:rsidRPr="00000000">
          <w:rPr>
            <w:color w:val="1155cc"/>
            <w:u w:val="single"/>
            <w:rtl w:val="0"/>
          </w:rPr>
          <w:t xml:space="preserve">https://doi.org/10.1093/g3journal/jkad291</w:t>
        </w:r>
      </w:hyperlink>
      <w:r w:rsidDel="00000000" w:rsidR="00000000" w:rsidRPr="00000000">
        <w:rPr>
          <w:rtl w:val="0"/>
        </w:rPr>
      </w:r>
    </w:p>
    <w:p w:rsidR="00000000" w:rsidDel="00000000" w:rsidP="00000000" w:rsidRDefault="00000000" w:rsidRPr="00000000" w14:paraId="00000121">
      <w:pPr>
        <w:numPr>
          <w:ilvl w:val="0"/>
          <w:numId w:val="23"/>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22">
      <w:pPr>
        <w:numPr>
          <w:ilvl w:val="0"/>
          <w:numId w:val="23"/>
        </w:numPr>
        <w:ind w:left="720" w:hanging="360"/>
        <w:jc w:val="both"/>
      </w:pPr>
      <w:r w:rsidDel="00000000" w:rsidR="00000000" w:rsidRPr="00000000">
        <w:rPr>
          <w:rtl w:val="0"/>
        </w:rPr>
        <w:t xml:space="preserve">Tkemaladze, J. (2023). Cross-senolytic effects of dasatinib and quercetin in humans. Georgian Scientists, 5(3), 138–152. doi: </w:t>
      </w:r>
      <w:hyperlink r:id="rId21">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23">
      <w:pPr>
        <w:numPr>
          <w:ilvl w:val="0"/>
          <w:numId w:val="23"/>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22">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24">
      <w:pPr>
        <w:numPr>
          <w:ilvl w:val="0"/>
          <w:numId w:val="23"/>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25">
      <w:pPr>
        <w:numPr>
          <w:ilvl w:val="0"/>
          <w:numId w:val="23"/>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26">
      <w:pPr>
        <w:numPr>
          <w:ilvl w:val="0"/>
          <w:numId w:val="23"/>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23">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27">
      <w:pPr>
        <w:numPr>
          <w:ilvl w:val="0"/>
          <w:numId w:val="23"/>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24">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28">
      <w:pPr>
        <w:numPr>
          <w:ilvl w:val="0"/>
          <w:numId w:val="23"/>
        </w:numPr>
        <w:ind w:left="720" w:hanging="360"/>
        <w:jc w:val="both"/>
      </w:pPr>
      <w:r w:rsidDel="00000000" w:rsidR="00000000" w:rsidRPr="00000000">
        <w:rPr>
          <w:rtl w:val="0"/>
        </w:rPr>
        <w:t xml:space="preserve">Tkemaladze, J. (2024). Absence of centrioles and regenerative potential of planaria. Georgian Scientists, 6(4), 59–75. doi: </w:t>
      </w:r>
      <w:hyperlink r:id="rId25">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29">
      <w:pPr>
        <w:numPr>
          <w:ilvl w:val="0"/>
          <w:numId w:val="23"/>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26">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2A">
      <w:pPr>
        <w:numPr>
          <w:ilvl w:val="0"/>
          <w:numId w:val="23"/>
        </w:numPr>
        <w:ind w:left="720" w:hanging="360"/>
        <w:jc w:val="both"/>
      </w:pPr>
      <w:r w:rsidDel="00000000" w:rsidR="00000000" w:rsidRPr="00000000">
        <w:rPr>
          <w:rtl w:val="0"/>
        </w:rPr>
        <w:t xml:space="preserve">Tkemaladze, J. (2024). Elimination of centrioles. Georgian Scientists, 6(4), 291–307. doi: </w:t>
      </w:r>
      <w:hyperlink r:id="rId27">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2B">
      <w:pPr>
        <w:numPr>
          <w:ilvl w:val="0"/>
          <w:numId w:val="23"/>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28">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2C">
      <w:pPr>
        <w:numPr>
          <w:ilvl w:val="0"/>
          <w:numId w:val="23"/>
        </w:numPr>
        <w:ind w:left="720" w:hanging="360"/>
        <w:jc w:val="both"/>
      </w:pPr>
      <w:r w:rsidDel="00000000" w:rsidR="00000000" w:rsidRPr="00000000">
        <w:rPr>
          <w:rtl w:val="0"/>
        </w:rPr>
        <w:t xml:space="preserve">Tkemaladze, J. (2024). The rate of stem cell division decreases with age. Georgian Scientists, 6(4), 228–242. doi: </w:t>
      </w:r>
      <w:hyperlink r:id="rId29">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2D">
      <w:pPr>
        <w:numPr>
          <w:ilvl w:val="0"/>
          <w:numId w:val="23"/>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30">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2E">
      <w:pPr>
        <w:numPr>
          <w:ilvl w:val="0"/>
          <w:numId w:val="23"/>
        </w:numPr>
        <w:ind w:left="720" w:hanging="360"/>
        <w:jc w:val="both"/>
      </w:pPr>
      <w:r w:rsidDel="00000000" w:rsidR="00000000" w:rsidRPr="00000000">
        <w:rPr>
          <w:rtl w:val="0"/>
        </w:rPr>
        <w:t xml:space="preserve">Tkemaladze, J. (2025).  Strategic Importance of the Caucasian Bridge and Global Power Rivalries. doi:  </w:t>
      </w:r>
      <w:hyperlink r:id="rId31">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2F">
      <w:pPr>
        <w:numPr>
          <w:ilvl w:val="0"/>
          <w:numId w:val="23"/>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32">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130">
      <w:pPr>
        <w:numPr>
          <w:ilvl w:val="0"/>
          <w:numId w:val="23"/>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33">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31">
      <w:pPr>
        <w:numPr>
          <w:ilvl w:val="0"/>
          <w:numId w:val="23"/>
        </w:numPr>
        <w:ind w:left="720" w:hanging="360"/>
        <w:jc w:val="both"/>
      </w:pPr>
      <w:r w:rsidDel="00000000" w:rsidR="00000000" w:rsidRPr="00000000">
        <w:rPr>
          <w:rtl w:val="0"/>
        </w:rPr>
        <w:t xml:space="preserve">Tkemaladze, J. (2025). Anatomy, Biogenesis, and Role in Cell Biology of Centrioles. Longevity Horizons, 1(2).  doi: </w:t>
      </w:r>
      <w:hyperlink r:id="rId34">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32">
      <w:pPr>
        <w:numPr>
          <w:ilvl w:val="0"/>
          <w:numId w:val="23"/>
        </w:numPr>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35">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33">
      <w:pPr>
        <w:numPr>
          <w:ilvl w:val="0"/>
          <w:numId w:val="23"/>
        </w:numPr>
        <w:ind w:left="720" w:hanging="360"/>
        <w:jc w:val="both"/>
      </w:pPr>
      <w:r w:rsidDel="00000000" w:rsidR="00000000" w:rsidRPr="00000000">
        <w:rPr>
          <w:rtl w:val="0"/>
        </w:rPr>
        <w:t xml:space="preserve">Tkemaladze, J. (2025). Centriole Elimination: A Mechanism for Resetting Entropy in the Cell. Longevity Horizons, 1(2). DOI:</w:t>
      </w:r>
      <w:hyperlink r:id="rId36">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34">
      <w:pPr>
        <w:numPr>
          <w:ilvl w:val="0"/>
          <w:numId w:val="23"/>
        </w:numPr>
        <w:ind w:left="720" w:hanging="360"/>
        <w:jc w:val="both"/>
      </w:pPr>
      <w:r w:rsidDel="00000000" w:rsidR="00000000" w:rsidRPr="00000000">
        <w:rPr>
          <w:rtl w:val="0"/>
        </w:rPr>
        <w:t xml:space="preserve">Tkemaladze, J. (2025). Concept to The Alive Language. Longevity Horizons, 1(1). doi: </w:t>
      </w:r>
      <w:hyperlink r:id="rId37">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35">
      <w:pPr>
        <w:numPr>
          <w:ilvl w:val="0"/>
          <w:numId w:val="23"/>
        </w:numPr>
        <w:ind w:left="720" w:hanging="360"/>
        <w:jc w:val="both"/>
      </w:pPr>
      <w:r w:rsidDel="00000000" w:rsidR="00000000" w:rsidRPr="00000000">
        <w:rPr>
          <w:rtl w:val="0"/>
        </w:rPr>
        <w:t xml:space="preserve">Tkemaladze, J. (2025). Concept to The Caucasian Bridge. Longevity Horizons, 1(1). doi: </w:t>
      </w:r>
      <w:hyperlink r:id="rId38">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36">
      <w:pPr>
        <w:numPr>
          <w:ilvl w:val="0"/>
          <w:numId w:val="23"/>
        </w:numPr>
        <w:ind w:left="720" w:hanging="360"/>
        <w:jc w:val="both"/>
      </w:pPr>
      <w:r w:rsidDel="00000000" w:rsidR="00000000" w:rsidRPr="00000000">
        <w:rPr>
          <w:rtl w:val="0"/>
        </w:rPr>
        <w:t xml:space="preserve">Tkemaladze, J. (2025). Concept to The Curing All Diseases. Longevity Horizons, 1(1). doi: </w:t>
      </w:r>
      <w:hyperlink r:id="rId39">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37">
      <w:pPr>
        <w:numPr>
          <w:ilvl w:val="0"/>
          <w:numId w:val="23"/>
        </w:numPr>
        <w:ind w:left="720" w:hanging="360"/>
        <w:jc w:val="both"/>
      </w:pPr>
      <w:r w:rsidDel="00000000" w:rsidR="00000000" w:rsidRPr="00000000">
        <w:rPr>
          <w:rtl w:val="0"/>
        </w:rPr>
        <w:t xml:space="preserve">Tkemaladze, J. (2025). Concept to The Eternal Youth. Longevity Horizons, 1(1). doi:  </w:t>
      </w:r>
      <w:hyperlink r:id="rId40">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38">
      <w:pPr>
        <w:numPr>
          <w:ilvl w:val="0"/>
          <w:numId w:val="23"/>
        </w:numPr>
        <w:ind w:left="720" w:hanging="360"/>
        <w:jc w:val="both"/>
      </w:pPr>
      <w:r w:rsidDel="00000000" w:rsidR="00000000" w:rsidRPr="00000000">
        <w:rPr>
          <w:rtl w:val="0"/>
        </w:rPr>
        <w:t xml:space="preserve">Tkemaladze, J. (2025). Concept to The Food Security. Longevity Horizons, 1(1). doi:  </w:t>
      </w:r>
      <w:hyperlink r:id="rId41">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39">
      <w:pPr>
        <w:numPr>
          <w:ilvl w:val="0"/>
          <w:numId w:val="23"/>
        </w:numPr>
        <w:ind w:left="720" w:hanging="360"/>
        <w:jc w:val="both"/>
      </w:pPr>
      <w:r w:rsidDel="00000000" w:rsidR="00000000" w:rsidRPr="00000000">
        <w:rPr>
          <w:rtl w:val="0"/>
        </w:rPr>
        <w:t xml:space="preserve">Tkemaladze, J. (2025). Concept to the Living Space. Longevity Horizons, 1(1). doi: </w:t>
      </w:r>
      <w:hyperlink r:id="rId42">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3A">
      <w:pPr>
        <w:numPr>
          <w:ilvl w:val="0"/>
          <w:numId w:val="23"/>
        </w:numPr>
        <w:ind w:left="720" w:hanging="360"/>
        <w:jc w:val="both"/>
      </w:pPr>
      <w:r w:rsidDel="00000000" w:rsidR="00000000" w:rsidRPr="00000000">
        <w:rPr>
          <w:rtl w:val="0"/>
        </w:rPr>
        <w:t xml:space="preserve">Tkemaladze, J. (2025). Concept to The Restoring Dogmas. Longevity Horizons, 1(1).  doi: </w:t>
      </w:r>
      <w:hyperlink r:id="rId43">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3B">
      <w:pPr>
        <w:numPr>
          <w:ilvl w:val="0"/>
          <w:numId w:val="23"/>
        </w:numPr>
        <w:ind w:left="720" w:hanging="360"/>
        <w:jc w:val="both"/>
      </w:pPr>
      <w:r w:rsidDel="00000000" w:rsidR="00000000" w:rsidRPr="00000000">
        <w:rPr>
          <w:rtl w:val="0"/>
        </w:rPr>
        <w:t xml:space="preserve">Tkemaladze, J. (2025). Differentiation of Somatic Cells in Multicellular Organisms. Longevity Horizons, 1(2). doi: </w:t>
      </w:r>
      <w:hyperlink r:id="rId44">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3C">
      <w:pPr>
        <w:numPr>
          <w:ilvl w:val="0"/>
          <w:numId w:val="23"/>
        </w:numPr>
        <w:ind w:left="720" w:hanging="360"/>
        <w:jc w:val="both"/>
      </w:pPr>
      <w:r w:rsidDel="00000000" w:rsidR="00000000" w:rsidRPr="00000000">
        <w:rPr>
          <w:rtl w:val="0"/>
        </w:rPr>
        <w:t xml:space="preserve">Tkemaladze, J. (2025). Replicative Hayflick Limit. Longevity Horizons, 1(2).  doi: </w:t>
      </w:r>
      <w:hyperlink r:id="rId45">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3D">
      <w:pPr>
        <w:numPr>
          <w:ilvl w:val="0"/>
          <w:numId w:val="23"/>
        </w:numPr>
        <w:ind w:left="720" w:hanging="360"/>
        <w:jc w:val="both"/>
      </w:pPr>
      <w:r w:rsidDel="00000000" w:rsidR="00000000" w:rsidRPr="00000000">
        <w:rPr>
          <w:rtl w:val="0"/>
        </w:rPr>
        <w:t xml:space="preserve">Tkemaladze, J. (2025). Solutions to the Living Space Problem to Overcome the Fear of Resurrection from the Dead. doi: </w:t>
      </w:r>
      <w:hyperlink r:id="rId46">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3E">
      <w:pPr>
        <w:numPr>
          <w:ilvl w:val="0"/>
          <w:numId w:val="23"/>
        </w:numPr>
        <w:ind w:left="720" w:hanging="360"/>
        <w:jc w:val="both"/>
      </w:pPr>
      <w:r w:rsidDel="00000000" w:rsidR="00000000" w:rsidRPr="00000000">
        <w:rPr>
          <w:rtl w:val="0"/>
        </w:rPr>
        <w:t xml:space="preserve">Tkemaladze, J. (2025). Systemic Resilience and Sustainable Nutritional Paradigms in Anthropogenic Ecosystems. doi: </w:t>
      </w:r>
      <w:hyperlink r:id="rId47">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3F">
      <w:pPr>
        <w:numPr>
          <w:ilvl w:val="0"/>
          <w:numId w:val="23"/>
        </w:numPr>
        <w:ind w:left="720" w:hanging="360"/>
        <w:jc w:val="both"/>
      </w:pPr>
      <w:r w:rsidDel="00000000" w:rsidR="00000000" w:rsidRPr="00000000">
        <w:rPr>
          <w:rtl w:val="0"/>
        </w:rPr>
        <w:t xml:space="preserve">Tkemaladze, J. (2025). The Concept of Data-Driven Automated Governance. Georgian Scientists, 6(4), 399–410. doi: </w:t>
      </w:r>
      <w:hyperlink r:id="rId48">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40">
      <w:pPr>
        <w:numPr>
          <w:ilvl w:val="0"/>
          <w:numId w:val="23"/>
        </w:numPr>
        <w:ind w:left="720" w:hanging="360"/>
        <w:jc w:val="both"/>
      </w:pPr>
      <w:r w:rsidDel="00000000" w:rsidR="00000000" w:rsidRPr="00000000">
        <w:rPr>
          <w:rtl w:val="0"/>
        </w:rPr>
        <w:t xml:space="preserve">Tkemaladze, J. (2025).Achieving Perpetual Vitality Through Innovation. doi: </w:t>
      </w:r>
      <w:hyperlink r:id="rId49">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41">
      <w:pPr>
        <w:numPr>
          <w:ilvl w:val="0"/>
          <w:numId w:val="23"/>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42">
      <w:pPr>
        <w:numPr>
          <w:ilvl w:val="0"/>
          <w:numId w:val="23"/>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43">
      <w:pPr>
        <w:numPr>
          <w:ilvl w:val="0"/>
          <w:numId w:val="23"/>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44">
      <w:pPr>
        <w:numPr>
          <w:ilvl w:val="0"/>
          <w:numId w:val="23"/>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45">
      <w:pPr>
        <w:numPr>
          <w:ilvl w:val="0"/>
          <w:numId w:val="23"/>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50">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46">
      <w:pPr>
        <w:numPr>
          <w:ilvl w:val="0"/>
          <w:numId w:val="23"/>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47">
      <w:pPr>
        <w:numPr>
          <w:ilvl w:val="0"/>
          <w:numId w:val="23"/>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51">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52">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48">
      <w:pPr>
        <w:numPr>
          <w:ilvl w:val="0"/>
          <w:numId w:val="23"/>
        </w:numPr>
        <w:ind w:left="720" w:hanging="360"/>
        <w:jc w:val="both"/>
      </w:pPr>
      <w:r w:rsidDel="00000000" w:rsidR="00000000" w:rsidRPr="00000000">
        <w:rPr>
          <w:rtl w:val="0"/>
        </w:rPr>
        <w:t xml:space="preserve">Ursprung, H. (1967). In vitro culture of Drosophila imaginal discs. In Methods in developmental biology (pp. 485–492). Thomas Y. Crowell Company.</w:t>
      </w:r>
    </w:p>
    <w:p w:rsidR="00000000" w:rsidDel="00000000" w:rsidP="00000000" w:rsidRDefault="00000000" w:rsidRPr="00000000" w14:paraId="00000149">
      <w:pPr>
        <w:numPr>
          <w:ilvl w:val="0"/>
          <w:numId w:val="23"/>
        </w:numPr>
        <w:ind w:left="720" w:hanging="360"/>
        <w:jc w:val="both"/>
      </w:pPr>
      <w:r w:rsidDel="00000000" w:rsidR="00000000" w:rsidRPr="00000000">
        <w:rPr>
          <w:rtl w:val="0"/>
        </w:rPr>
        <w:t xml:space="preserve">Watson, K. L., Justice, R. W., &amp; Bryant, P. J. (1994). Drosophila in cancer research: The first fifty tumor suppressor genes. Journal of Cell Science, 1994(Supplement 18), 19–33.</w:t>
      </w:r>
    </w:p>
    <w:p w:rsidR="00000000" w:rsidDel="00000000" w:rsidP="00000000" w:rsidRDefault="00000000" w:rsidRPr="00000000" w14:paraId="0000014A">
      <w:pPr>
        <w:numPr>
          <w:ilvl w:val="0"/>
          <w:numId w:val="23"/>
        </w:numPr>
        <w:ind w:left="720" w:hanging="360"/>
        <w:jc w:val="both"/>
      </w:pPr>
      <w:r w:rsidDel="00000000" w:rsidR="00000000" w:rsidRPr="00000000">
        <w:rPr>
          <w:rtl w:val="0"/>
        </w:rPr>
        <w:t xml:space="preserve">Willoughby, L. F., Schlosser, T., Manning, S. A., Parisot, J. P., Street, I. P., Richardson, H. E., ... &amp; Brumby, A. M. (2013). An in vivo large-scale chemical screening platform using Drosophila for anti-cancer drug discovery. Disease Models &amp; Mechanisms, 6(2), 521–529.</w:t>
      </w:r>
    </w:p>
    <w:p w:rsidR="00000000" w:rsidDel="00000000" w:rsidP="00000000" w:rsidRDefault="00000000" w:rsidRPr="00000000" w14:paraId="0000014B">
      <w:pPr>
        <w:numPr>
          <w:ilvl w:val="0"/>
          <w:numId w:val="23"/>
        </w:numPr>
        <w:ind w:left="720" w:hanging="360"/>
        <w:jc w:val="both"/>
      </w:pPr>
      <w:r w:rsidDel="00000000" w:rsidR="00000000" w:rsidRPr="00000000">
        <w:rPr>
          <w:rtl w:val="0"/>
        </w:rPr>
        <w:t xml:space="preserve">Witte, H. T., Jeibmann, A., Klambt, C., &amp; Paulus, W. (2009). Modeling glioma growth and invasion in Drosophila melanogaster. Neoplasia, 11(9), 882–888.</w:t>
      </w:r>
    </w:p>
    <w:p w:rsidR="00000000" w:rsidDel="00000000" w:rsidP="00000000" w:rsidRDefault="00000000" w:rsidRPr="00000000" w14:paraId="0000014C">
      <w:pPr>
        <w:numPr>
          <w:ilvl w:val="0"/>
          <w:numId w:val="23"/>
        </w:numPr>
        <w:ind w:left="720" w:hanging="360"/>
        <w:jc w:val="both"/>
      </w:pPr>
      <w:r w:rsidDel="00000000" w:rsidR="00000000" w:rsidRPr="00000000">
        <w:rPr>
          <w:rtl w:val="0"/>
        </w:rPr>
        <w:t xml:space="preserve">Woodhouse, E., Hersperger, E., &amp; Shearn, A. (1998). Growth, metastasis, and invasiveness of Drosophila tumors caused by mutations in specific tumor suppressor genes. Development Genes and Evolution, 207(8), 542–550.</w:t>
      </w:r>
    </w:p>
    <w:p w:rsidR="00000000" w:rsidDel="00000000" w:rsidP="00000000" w:rsidRDefault="00000000" w:rsidRPr="00000000" w14:paraId="0000014D">
      <w:pPr>
        <w:numPr>
          <w:ilvl w:val="0"/>
          <w:numId w:val="23"/>
        </w:numPr>
        <w:ind w:left="720" w:hanging="360"/>
        <w:jc w:val="both"/>
      </w:pPr>
      <w:r w:rsidDel="00000000" w:rsidR="00000000" w:rsidRPr="00000000">
        <w:rPr>
          <w:rtl w:val="0"/>
        </w:rPr>
        <w:t xml:space="preserve">Wu, M., Pastor-Pareja, J. C., &amp; Xu, T. (2010). Interaction between Ras(V12) and scribbled clones induces tumour growth and invasion. Nature, 463(7280), 545–548.</w:t>
      </w:r>
    </w:p>
    <w:p w:rsidR="00000000" w:rsidDel="00000000" w:rsidP="00000000" w:rsidRDefault="00000000" w:rsidRPr="00000000" w14:paraId="0000014E">
      <w:pPr>
        <w:numPr>
          <w:ilvl w:val="0"/>
          <w:numId w:val="23"/>
        </w:numPr>
        <w:ind w:left="720" w:hanging="360"/>
        <w:jc w:val="both"/>
      </w:pPr>
      <w:r w:rsidDel="00000000" w:rsidR="00000000" w:rsidRPr="00000000">
        <w:rPr>
          <w:rtl w:val="0"/>
        </w:rPr>
        <w:t xml:space="preserve">Zdobnov, E. M., &amp; Bork, P. (2007). Quantification of insect genome divergence. Trends in Genetics, 23(1), 16–20.</w:t>
      </w:r>
    </w:p>
    <w:p w:rsidR="00000000" w:rsidDel="00000000" w:rsidP="00000000" w:rsidRDefault="00000000" w:rsidRPr="00000000" w14:paraId="0000014F">
      <w:pPr>
        <w:numPr>
          <w:ilvl w:val="0"/>
          <w:numId w:val="23"/>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50">
      <w:pPr>
        <w:numPr>
          <w:ilvl w:val="0"/>
          <w:numId w:val="23"/>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51">
      <w:pPr>
        <w:numPr>
          <w:ilvl w:val="0"/>
          <w:numId w:val="23"/>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53">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52">
      <w:pPr>
        <w:numPr>
          <w:ilvl w:val="0"/>
          <w:numId w:val="23"/>
        </w:numPr>
        <w:ind w:left="720" w:hanging="360"/>
        <w:jc w:val="both"/>
      </w:pPr>
      <w:r w:rsidDel="00000000" w:rsidR="00000000" w:rsidRPr="00000000">
        <w:rPr>
          <w:rtl w:val="0"/>
        </w:rPr>
        <w:t xml:space="preserve">Ткемаладзе, Д. (2025). Асимметрия в наследовании центросом / центриолей и ее последствия. doi: </w:t>
      </w:r>
      <w:hyperlink r:id="rId54">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53">
      <w:pPr>
        <w:numPr>
          <w:ilvl w:val="0"/>
          <w:numId w:val="23"/>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55">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54">
      <w:pPr>
        <w:numPr>
          <w:ilvl w:val="0"/>
          <w:numId w:val="23"/>
        </w:numPr>
        <w:ind w:left="720" w:hanging="360"/>
        <w:jc w:val="both"/>
      </w:pPr>
      <w:r w:rsidDel="00000000" w:rsidR="00000000" w:rsidRPr="00000000">
        <w:rPr>
          <w:rtl w:val="0"/>
        </w:rPr>
        <w:t xml:space="preserve">Ткемаладзе, Д. (2025). Репликативный Лимит Хейфлика. doi: </w:t>
      </w:r>
      <w:hyperlink r:id="rId56">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55">
      <w:pPr>
        <w:numPr>
          <w:ilvl w:val="0"/>
          <w:numId w:val="23"/>
        </w:numPr>
        <w:ind w:left="720" w:hanging="360"/>
        <w:jc w:val="both"/>
      </w:pPr>
      <w:r w:rsidDel="00000000" w:rsidR="00000000" w:rsidRPr="00000000">
        <w:rPr>
          <w:rtl w:val="0"/>
        </w:rPr>
        <w:t xml:space="preserve">Ткемаладзе, Д. (2025). Теории, Связывающие Центриоли со Старением Организма. doi: </w:t>
      </w:r>
      <w:hyperlink r:id="rId57">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56">
      <w:pPr>
        <w:numPr>
          <w:ilvl w:val="0"/>
          <w:numId w:val="23"/>
        </w:numPr>
        <w:ind w:left="720" w:hanging="360"/>
        <w:jc w:val="both"/>
      </w:pPr>
      <w:r w:rsidDel="00000000" w:rsidR="00000000" w:rsidRPr="00000000">
        <w:rPr>
          <w:rtl w:val="0"/>
        </w:rPr>
        <w:t xml:space="preserve">Ткемаладзе, Д. (2025). Элиминация Центриолей: Механизм Обнуления Энтропии в Клетке. doi: </w:t>
      </w:r>
      <w:hyperlink r:id="rId58">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57">
      <w:pPr>
        <w:numPr>
          <w:ilvl w:val="0"/>
          <w:numId w:val="23"/>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58">
      <w:pPr>
        <w:numPr>
          <w:ilvl w:val="0"/>
          <w:numId w:val="23"/>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59">
      <w:pPr>
        <w:numPr>
          <w:ilvl w:val="0"/>
          <w:numId w:val="23"/>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5A">
      <w:pPr>
        <w:numPr>
          <w:ilvl w:val="0"/>
          <w:numId w:val="23"/>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681902" TargetMode="External"/><Relationship Id="rId42" Type="http://schemas.openxmlformats.org/officeDocument/2006/relationships/hyperlink" Target="https://doi.org/10.5281/zenodo.14635991" TargetMode="External"/><Relationship Id="rId41" Type="http://schemas.openxmlformats.org/officeDocument/2006/relationships/hyperlink" Target="https://doi.org/10.5281/zenodo.14642407" TargetMode="External"/><Relationship Id="rId44" Type="http://schemas.openxmlformats.org/officeDocument/2006/relationships/hyperlink" Target="https://doi.org/10.5281/10.5281/zenodo.14778927" TargetMode="External"/><Relationship Id="rId43" Type="http://schemas.openxmlformats.org/officeDocument/2006/relationships/hyperlink" Target="https://doi.org/10.5281/zenodo.14708980" TargetMode="External"/><Relationship Id="rId46" Type="http://schemas.openxmlformats.org/officeDocument/2006/relationships/hyperlink" Target="http://dx.doi.org/10.13140/RG.2.2.34655.57768" TargetMode="External"/><Relationship Id="rId45" Type="http://schemas.openxmlformats.org/officeDocument/2006/relationships/hyperlink" Target="https://doi.org/10.5281/zenodo.147526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2/9780470151808.sc02f02s34" TargetMode="External"/><Relationship Id="rId48" Type="http://schemas.openxmlformats.org/officeDocument/2006/relationships/hyperlink" Target="https://doi.org/10.52340/gs.2024.06.04.38" TargetMode="External"/><Relationship Id="rId47" Type="http://schemas.openxmlformats.org/officeDocument/2006/relationships/hyperlink" Target="http://dx.doi.org/10.13140/RG.2.2.18943.32169/1" TargetMode="External"/><Relationship Id="rId49" Type="http://schemas.openxmlformats.org/officeDocument/2006/relationships/hyperlink" Target="http://dx.doi.org/10.13140/RG.2.2.31113.35685"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3390/ijms24109820" TargetMode="External"/><Relationship Id="rId31" Type="http://schemas.openxmlformats.org/officeDocument/2006/relationships/hyperlink" Target="http://dx.doi.org/10.13140/RG.2.2.19153.03680" TargetMode="External"/><Relationship Id="rId30" Type="http://schemas.openxmlformats.org/officeDocument/2006/relationships/hyperlink" Target="http://dx.doi.org/10.13140/RG.2.2.24481.11366" TargetMode="External"/><Relationship Id="rId33" Type="http://schemas.openxmlformats.org/officeDocument/2006/relationships/hyperlink" Target="http://dx.doi.org/10.13140/RG.2.2.16105.61286" TargetMode="External"/><Relationship Id="rId32" Type="http://schemas.openxmlformats.org/officeDocument/2006/relationships/hyperlink" Target="http://dx.doi.org/10.13140/RG.2.2.28347.73769/1" TargetMode="External"/><Relationship Id="rId35" Type="http://schemas.openxmlformats.org/officeDocument/2006/relationships/hyperlink" Target="https://doi.org/10.5281/zenodo.14837352" TargetMode="External"/><Relationship Id="rId34" Type="http://schemas.openxmlformats.org/officeDocument/2006/relationships/hyperlink" Target="https://doi.org/10.5281/zenodo.14742232" TargetMode="External"/><Relationship Id="rId37" Type="http://schemas.openxmlformats.org/officeDocument/2006/relationships/hyperlink" Target="https://doi.org/10.5281/zenodo.14688792" TargetMode="External"/><Relationship Id="rId36" Type="http://schemas.openxmlformats.org/officeDocument/2006/relationships/hyperlink" Target="https://doi.org/10.5281/zenodo.14876013" TargetMode="External"/><Relationship Id="rId39" Type="http://schemas.openxmlformats.org/officeDocument/2006/relationships/hyperlink" Target="https://doi.org/10.5281/zenodo.14676208" TargetMode="External"/><Relationship Id="rId38" Type="http://schemas.openxmlformats.org/officeDocument/2006/relationships/hyperlink" Target="https://doi.org/10.5281/zenodo.14689276" TargetMode="External"/><Relationship Id="rId20" Type="http://schemas.openxmlformats.org/officeDocument/2006/relationships/hyperlink" Target="https://doi.org/10.1093/g3journal/jkad291" TargetMode="External"/><Relationship Id="rId22" Type="http://schemas.openxmlformats.org/officeDocument/2006/relationships/hyperlink" Target="https://doi.org/10.52340/2023.05.03.22" TargetMode="External"/><Relationship Id="rId21" Type="http://schemas.openxmlformats.org/officeDocument/2006/relationships/hyperlink" Target="https://doi.org/10.52340/2023.05.03.15" TargetMode="External"/><Relationship Id="rId24" Type="http://schemas.openxmlformats.org/officeDocument/2006/relationships/hyperlink" Target="https://doi.org/10.52340/2023.01.01.15" TargetMode="External"/><Relationship Id="rId23" Type="http://schemas.openxmlformats.org/officeDocument/2006/relationships/hyperlink" Target="https://doi.org/10.52340/2023.01.01.17" TargetMode="External"/><Relationship Id="rId26" Type="http://schemas.openxmlformats.org/officeDocument/2006/relationships/hyperlink" Target="https://doi.org/10.52340/gs.2024.06.02.32" TargetMode="External"/><Relationship Id="rId25" Type="http://schemas.openxmlformats.org/officeDocument/2006/relationships/hyperlink" Target="https://doi.org/10.52340/gs.2024.06.04.08" TargetMode="External"/><Relationship Id="rId28" Type="http://schemas.openxmlformats.org/officeDocument/2006/relationships/hyperlink" Target="https://doi.org/10.52340/gs.2024.06.02.44" TargetMode="External"/><Relationship Id="rId27" Type="http://schemas.openxmlformats.org/officeDocument/2006/relationships/hyperlink" Target="https://doi.org/10.52340/gs.2024.06.04.25" TargetMode="External"/><Relationship Id="rId29" Type="http://schemas.openxmlformats.org/officeDocument/2006/relationships/hyperlink" Target="https://doi.org/10.52340/gs.2024.06.04.21" TargetMode="External"/><Relationship Id="rId51" Type="http://schemas.openxmlformats.org/officeDocument/2006/relationships/hyperlink" Target="https://ssrn.com/abstract=4633202" TargetMode="External"/><Relationship Id="rId50" Type="http://schemas.openxmlformats.org/officeDocument/2006/relationships/hyperlink" Target="https://doi.org/10.52340/gs.2024.06.02.04" TargetMode="External"/><Relationship Id="rId53" Type="http://schemas.openxmlformats.org/officeDocument/2006/relationships/hyperlink" Target="http://dx.doi.org/10.13140/RG.2.2.27441.70245/1" TargetMode="External"/><Relationship Id="rId52" Type="http://schemas.openxmlformats.org/officeDocument/2006/relationships/hyperlink" Target="https://dx.doi.org/10.2139/ssrn.4633202" TargetMode="External"/><Relationship Id="rId11" Type="http://schemas.openxmlformats.org/officeDocument/2006/relationships/hyperlink" Target="https://doi.org/10.1242/dmm.017228" TargetMode="External"/><Relationship Id="rId55" Type="http://schemas.openxmlformats.org/officeDocument/2006/relationships/hyperlink" Target="http://dx.doi.org/10.13140/RG.2.2.23348.97929/1" TargetMode="External"/><Relationship Id="rId10" Type="http://schemas.openxmlformats.org/officeDocument/2006/relationships/hyperlink" Target="https://doi.org/10.1242/dmm.017228" TargetMode="External"/><Relationship Id="rId54" Type="http://schemas.openxmlformats.org/officeDocument/2006/relationships/hyperlink" Target="http://dx.doi.org/10.13140/RG.2.2.34917.31206" TargetMode="External"/><Relationship Id="rId13" Type="http://schemas.openxmlformats.org/officeDocument/2006/relationships/hyperlink" Target="https://doi.org/10.52340/2023.01.01.19" TargetMode="External"/><Relationship Id="rId57" Type="http://schemas.openxmlformats.org/officeDocument/2006/relationships/hyperlink" Target="http://dx.doi.org/10.13140/RG.2.2.15014.02887/1" TargetMode="External"/><Relationship Id="rId12" Type="http://schemas.openxmlformats.org/officeDocument/2006/relationships/hyperlink" Target="https://doi.org/10.3791/62229" TargetMode="External"/><Relationship Id="rId56" Type="http://schemas.openxmlformats.org/officeDocument/2006/relationships/hyperlink" Target="http://dx.doi.org/10.13140/RG.2.2.25803.30249" TargetMode="External"/><Relationship Id="rId15" Type="http://schemas.openxmlformats.org/officeDocument/2006/relationships/hyperlink" Target="https://doi.org/10.7554/eLife.76010" TargetMode="External"/><Relationship Id="rId14" Type="http://schemas.openxmlformats.org/officeDocument/2006/relationships/hyperlink" Target="https://doi.org/10.52340/2023.01.01.20" TargetMode="External"/><Relationship Id="rId58" Type="http://schemas.openxmlformats.org/officeDocument/2006/relationships/hyperlink" Target="http://dx.doi.org/10.13140/RG.2.2.12890.66248/1" TargetMode="External"/><Relationship Id="rId17" Type="http://schemas.openxmlformats.org/officeDocument/2006/relationships/hyperlink" Target="https://doi.org/10.7554/eLife.RP89891" TargetMode="External"/><Relationship Id="rId16" Type="http://schemas.openxmlformats.org/officeDocument/2006/relationships/hyperlink" Target="https://doi.org/10.1038/nature04371" TargetMode="External"/><Relationship Id="rId19" Type="http://schemas.openxmlformats.org/officeDocument/2006/relationships/hyperlink" Target="https://doi.org/10.1007/7651_2014_79" TargetMode="External"/><Relationship Id="rId18" Type="http://schemas.openxmlformats.org/officeDocument/2006/relationships/hyperlink" Target="https://doi.org/10.1093/jb/mvab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