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c5o0fq8gha78" w:id="0"/>
      <w:bookmarkEnd w:id="0"/>
      <w:r w:rsidDel="00000000" w:rsidR="00000000" w:rsidRPr="00000000">
        <w:rPr>
          <w:rtl w:val="0"/>
        </w:rPr>
        <w:t xml:space="preserve">Long-Lived Non-Renewable Structures in the Human Body</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Jaba Tkemaladze¹</w:t>
        <w:br w:type="textWrapping"/>
        <w:t xml:space="preserve">¹Director of Research, Longevity Clinic, Inc, Georgia</w:t>
        <w:br w:type="textWrapping"/>
      </w:r>
      <w:hyperlink r:id="rId6">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pStyle w:val="Heading1"/>
        <w:jc w:val="both"/>
        <w:rPr/>
      </w:pPr>
      <w:bookmarkStart w:colFirst="0" w:colLast="0" w:name="_kbwlq5j2xtre" w:id="1"/>
      <w:bookmarkEnd w:id="1"/>
      <w:r w:rsidDel="00000000" w:rsidR="00000000" w:rsidRPr="00000000">
        <w:rPr>
          <w:rtl w:val="0"/>
        </w:rPr>
        <w:t xml:space="preserve">Abstract</w:t>
      </w:r>
    </w:p>
    <w:p w:rsidR="00000000" w:rsidDel="00000000" w:rsidP="00000000" w:rsidRDefault="00000000" w:rsidRPr="00000000" w14:paraId="00000006">
      <w:pPr>
        <w:jc w:val="both"/>
        <w:rPr/>
      </w:pPr>
      <w:r w:rsidDel="00000000" w:rsidR="00000000" w:rsidRPr="00000000">
        <w:rPr>
          <w:rtl w:val="0"/>
        </w:rPr>
        <w:t xml:space="preserve">Aging is associated with the accumulation of damage in long-lived non-renewable structures that are not replaced during an organism’s lifetime. These include lens proteins (crystallins), DNA in postmitotic neurons, mitochondria in cardiomyocytes, dental enamel, and stem cell centrioles. Formed during early ontogenesis, these structures act as “accumulators of entropy,” a thermodynamic measure of molecular disorder. Their irreplaceability stems from evolutionary compromises: for example, centriole stability is critical for asymmetric stem cell division, but their selective inheritance leads to the transmission of damage to progeny, accelerating tissue aging. The accumulation of oxidized proteins, DNA mutations, and dysfunctional organelles disrupts homeostasis, triggering neurodegeneration, cataracts, and heart failure. This article analyzes the mechanisms of damage to these structures, their role in age-related pathologies, and emerging therapeutic strategies, including senolytics, CRISPR-based correction, and biomimetic materials. Special attention is given to centrioles as key regulators of cellular entropy: their stability supports tissue regeneration, but defect accumulation disrupts gene expression and promotes oncogenesis. Understanding the balance between durability and vulnerability in non-renewable structures opens new avenues for combating aging through targeted management of entropy.</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Keywords:</w:t>
      </w:r>
      <w:r w:rsidDel="00000000" w:rsidR="00000000" w:rsidRPr="00000000">
        <w:rPr>
          <w:rtl w:val="0"/>
        </w:rPr>
        <w:t xml:space="preserve"> aging, entropy, non-renewable structures, centrioles, mitochondria, crystallin, neuronal DNA.</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rPr/>
      </w:pPr>
      <w:bookmarkStart w:colFirst="0" w:colLast="0" w:name="_d3yy17ure4s8" w:id="2"/>
      <w:bookmarkEnd w:id="2"/>
      <w:r w:rsidDel="00000000" w:rsidR="00000000" w:rsidRPr="00000000">
        <w:rPr>
          <w:rtl w:val="0"/>
        </w:rPr>
        <w:t xml:space="preserve">Долговечные невосстанавливаемые структуры организма человека</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Джаба Ткемаладзе¹</w:t>
      </w:r>
    </w:p>
    <w:p w:rsidR="00000000" w:rsidDel="00000000" w:rsidP="00000000" w:rsidRDefault="00000000" w:rsidRPr="00000000" w14:paraId="0000000E">
      <w:pPr>
        <w:jc w:val="both"/>
        <w:rPr/>
      </w:pPr>
      <w:r w:rsidDel="00000000" w:rsidR="00000000" w:rsidRPr="00000000">
        <w:rPr>
          <w:rtl w:val="0"/>
        </w:rPr>
        <w:t xml:space="preserve">¹Директор исследований, Longevity Clinic, Inc, Georgia</w:t>
      </w:r>
    </w:p>
    <w:p w:rsidR="00000000" w:rsidDel="00000000" w:rsidP="00000000" w:rsidRDefault="00000000" w:rsidRPr="00000000" w14:paraId="0000000F">
      <w:pPr>
        <w:jc w:val="both"/>
        <w:rPr/>
      </w:pPr>
      <w:hyperlink r:id="rId8">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9">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10">
      <w:pPr>
        <w:pStyle w:val="Heading1"/>
        <w:jc w:val="both"/>
        <w:rPr/>
      </w:pPr>
      <w:bookmarkStart w:colFirst="0" w:colLast="0" w:name="_r4ufkxgst0b9" w:id="3"/>
      <w:bookmarkEnd w:id="3"/>
      <w:r w:rsidDel="00000000" w:rsidR="00000000" w:rsidRPr="00000000">
        <w:rPr>
          <w:rtl w:val="0"/>
        </w:rPr>
        <w:t xml:space="preserve">Абстракт</w:t>
      </w:r>
    </w:p>
    <w:p w:rsidR="00000000" w:rsidDel="00000000" w:rsidP="00000000" w:rsidRDefault="00000000" w:rsidRPr="00000000" w14:paraId="00000011">
      <w:pPr>
        <w:jc w:val="both"/>
        <w:rPr/>
      </w:pPr>
      <w:r w:rsidDel="00000000" w:rsidR="00000000" w:rsidRPr="00000000">
        <w:rPr>
          <w:rtl w:val="0"/>
        </w:rPr>
        <w:t xml:space="preserve">Старение организма связано с накоплением повреждений в долговечных невосстанавливаемых структурах, которые не обновляются в течение жизни. К ним относятся белки хрусталика (кристаллины), ДНК постмитотических нейронов, митохондрии кардиомиоцитов, зубная эмаль и центриоли стволовых клеток. Эти структуры, формирующиеся на ранних этапах онтогенеза, становятся «аккумуляторами энтропии» — термодинамической меры молекулярного беспорядка. Невозможность их замены обусловлена эволюционными компромиссами: например, стабильность центриолей критична для асимметричного деления стволовых клеток, но их избирательное наследование приводит к передаче повреждений потомству, ускоряя старение тканей. Накопление окисленных белков, мутаций ДНК и дисфункциональных органелл нарушает гомеостаз, провоцируя нейродегенерацию, катаракту и сердечную недостаточность. В статье анализируются механизмы повреждения таких структур, их роль в возрастных патологиях и перспективные терапевтические стратегии, включая сениолитики, CRISPR-коррекцию и биомиметические материалы. Особое внимание уделено центриолям как ключевым регуляторам клеточной энтропии: их стабильность поддерживает регенерацию тканей, но накопление дефектов нарушает экспрессию генов и способствует онкогенезу. Понимание баланса между долговечностью и уязвимостью невосстанавливаемых структур открывает новые пути для борьбы со старением через таргетное управление энтропией.</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rtl w:val="0"/>
        </w:rPr>
        <w:t xml:space="preserve">Ключевые слова:</w:t>
      </w:r>
      <w:r w:rsidDel="00000000" w:rsidR="00000000" w:rsidRPr="00000000">
        <w:rPr>
          <w:rtl w:val="0"/>
        </w:rPr>
        <w:t xml:space="preserve"> старение, энтропия, невосстанавливаемые структуры, центриоли, митохондрии, кристаллин, ДНК нейронов.</w:t>
      </w:r>
    </w:p>
    <w:p w:rsidR="00000000" w:rsidDel="00000000" w:rsidP="00000000" w:rsidRDefault="00000000" w:rsidRPr="00000000" w14:paraId="00000014">
      <w:pPr>
        <w:pStyle w:val="Heading1"/>
        <w:rPr/>
      </w:pPr>
      <w:bookmarkStart w:colFirst="0" w:colLast="0" w:name="_e4o5t2sjfl2a" w:id="4"/>
      <w:bookmarkEnd w:id="4"/>
      <w:r w:rsidDel="00000000" w:rsidR="00000000" w:rsidRPr="00000000">
        <w:rPr>
          <w:rtl w:val="0"/>
        </w:rPr>
        <w:t xml:space="preserve">Введение</w:t>
      </w:r>
    </w:p>
    <w:p w:rsidR="00000000" w:rsidDel="00000000" w:rsidP="00000000" w:rsidRDefault="00000000" w:rsidRPr="00000000" w14:paraId="00000015">
      <w:pPr>
        <w:jc w:val="both"/>
        <w:rPr/>
      </w:pPr>
      <w:r w:rsidDel="00000000" w:rsidR="00000000" w:rsidRPr="00000000">
        <w:rPr>
          <w:rtl w:val="0"/>
        </w:rPr>
        <w:t xml:space="preserve">Старение — универсальный биологический процесс, характеризующийся прогрессирующим снижением функциональных возможностей организма и повышением риска заболеваний. Несмотря на значительные успехи в изучении механизмов старения, многие его аспекты остаются предметом интенсивных научных дискуссий. Одной из ключевых концепций, объясняющих старение, является теория накопления энтропии — термодинамической меры беспорядка, которая в биологических системах проявляется через повреждение молекул, органелл и тканей (López-Otín et al., 2013). Организм постоянно противостоит энтропии, обновляя клетки и структуры: гепатоциты печени регенерируют каждые 150–200 дней, эпидермис кожи — каждые 2–4 недели, а эритроциты — каждые 120 дней (Sender et al., 2016). Однако существуют уникальные долговечные структуры, которые не обновляются в течение жизни, становясь «хранилищами» молекулярных повреждений. Эти невосстанавливаемые элементы, от белков хрусталика до постмитотических нейронов, играют критическую роль в развитии возрастных патологий, формируя основу для нейродегенерации, катаракты и сердечной недостаточности (Truscott, 2005; Lodato et al., 2018).</w:t>
      </w:r>
    </w:p>
    <w:p w:rsidR="00000000" w:rsidDel="00000000" w:rsidP="00000000" w:rsidRDefault="00000000" w:rsidRPr="00000000" w14:paraId="00000016">
      <w:pPr>
        <w:pStyle w:val="Heading2"/>
        <w:rPr/>
      </w:pPr>
      <w:bookmarkStart w:colFirst="0" w:colLast="0" w:name="_81n1anfma7ew" w:id="5"/>
      <w:bookmarkEnd w:id="5"/>
      <w:r w:rsidDel="00000000" w:rsidR="00000000" w:rsidRPr="00000000">
        <w:rPr>
          <w:rtl w:val="0"/>
        </w:rPr>
        <w:t xml:space="preserve">Невосстанавливаемые структуры: определение и классификация</w:t>
      </w:r>
    </w:p>
    <w:p w:rsidR="00000000" w:rsidDel="00000000" w:rsidP="00000000" w:rsidRDefault="00000000" w:rsidRPr="00000000" w14:paraId="00000017">
      <w:pPr>
        <w:jc w:val="both"/>
        <w:rPr/>
      </w:pPr>
      <w:r w:rsidDel="00000000" w:rsidR="00000000" w:rsidRPr="00000000">
        <w:rPr>
          <w:rtl w:val="0"/>
        </w:rPr>
        <w:t xml:space="preserve">Долговечные невосстанавливаемые структуры — это молекулы, органеллы или ткани, которые формируются на ранних этапах развития организма и не заменяются в процессе жизни. Их стабильность обеспечивает выполнение специализированных функций, но отсутствие регенерации делает их уязвимыми к накоплению повреждений. К таким структурам относятся:</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numPr>
          <w:ilvl w:val="0"/>
          <w:numId w:val="6"/>
        </w:numPr>
        <w:ind w:left="720" w:hanging="360"/>
        <w:jc w:val="both"/>
      </w:pPr>
      <w:r w:rsidDel="00000000" w:rsidR="00000000" w:rsidRPr="00000000">
        <w:rPr>
          <w:rtl w:val="0"/>
        </w:rPr>
        <w:t xml:space="preserve">Молекулярный уровень:</w:t>
      </w:r>
    </w:p>
    <w:p w:rsidR="00000000" w:rsidDel="00000000" w:rsidP="00000000" w:rsidRDefault="00000000" w:rsidRPr="00000000" w14:paraId="0000001A">
      <w:pPr>
        <w:ind w:left="720" w:firstLine="0"/>
        <w:jc w:val="both"/>
        <w:rPr/>
      </w:pPr>
      <w:r w:rsidDel="00000000" w:rsidR="00000000" w:rsidRPr="00000000">
        <w:rPr>
          <w:rtl w:val="0"/>
        </w:rPr>
      </w:r>
    </w:p>
    <w:p w:rsidR="00000000" w:rsidDel="00000000" w:rsidP="00000000" w:rsidRDefault="00000000" w:rsidRPr="00000000" w14:paraId="0000001B">
      <w:pPr>
        <w:numPr>
          <w:ilvl w:val="1"/>
          <w:numId w:val="6"/>
        </w:numPr>
        <w:ind w:left="1440" w:hanging="360"/>
        <w:jc w:val="both"/>
      </w:pPr>
      <w:r w:rsidDel="00000000" w:rsidR="00000000" w:rsidRPr="00000000">
        <w:rPr>
          <w:rtl w:val="0"/>
        </w:rPr>
        <w:t xml:space="preserve">Кристаллины хрусталика глаза — белки, обеспечивающие прозрачность хрусталика, синтезируемые во время эмбриогенеза и не обновляемые в дальнейшем (Bloemendal et al., 2004).</w:t>
      </w:r>
    </w:p>
    <w:p w:rsidR="00000000" w:rsidDel="00000000" w:rsidP="00000000" w:rsidRDefault="00000000" w:rsidRPr="00000000" w14:paraId="0000001C">
      <w:pPr>
        <w:numPr>
          <w:ilvl w:val="1"/>
          <w:numId w:val="6"/>
        </w:numPr>
        <w:ind w:left="1440" w:hanging="360"/>
        <w:jc w:val="both"/>
      </w:pPr>
      <w:r w:rsidDel="00000000" w:rsidR="00000000" w:rsidRPr="00000000">
        <w:rPr>
          <w:rtl w:val="0"/>
        </w:rPr>
        <w:t xml:space="preserve">ДНК в постмитотических клетках (нейроны, кардиомиоциты) — не реплицируется, а репарация становится менее эффективной с возрастом (Vermeij et al., 2016).</w:t>
      </w:r>
    </w:p>
    <w:p w:rsidR="00000000" w:rsidDel="00000000" w:rsidP="00000000" w:rsidRDefault="00000000" w:rsidRPr="00000000" w14:paraId="0000001D">
      <w:pPr>
        <w:ind w:left="1440" w:firstLine="0"/>
        <w:jc w:val="both"/>
        <w:rPr/>
      </w:pPr>
      <w:r w:rsidDel="00000000" w:rsidR="00000000" w:rsidRPr="00000000">
        <w:rPr>
          <w:rtl w:val="0"/>
        </w:rPr>
      </w:r>
    </w:p>
    <w:p w:rsidR="00000000" w:rsidDel="00000000" w:rsidP="00000000" w:rsidRDefault="00000000" w:rsidRPr="00000000" w14:paraId="0000001E">
      <w:pPr>
        <w:numPr>
          <w:ilvl w:val="0"/>
          <w:numId w:val="6"/>
        </w:numPr>
        <w:ind w:left="720" w:hanging="360"/>
        <w:jc w:val="both"/>
      </w:pPr>
      <w:r w:rsidDel="00000000" w:rsidR="00000000" w:rsidRPr="00000000">
        <w:rPr>
          <w:rtl w:val="0"/>
        </w:rPr>
        <w:t xml:space="preserve">Органеллярный уровень:</w:t>
      </w:r>
    </w:p>
    <w:p w:rsidR="00000000" w:rsidDel="00000000" w:rsidP="00000000" w:rsidRDefault="00000000" w:rsidRPr="00000000" w14:paraId="0000001F">
      <w:pPr>
        <w:ind w:left="720" w:firstLine="0"/>
        <w:jc w:val="both"/>
        <w:rPr/>
      </w:pPr>
      <w:r w:rsidDel="00000000" w:rsidR="00000000" w:rsidRPr="00000000">
        <w:rPr>
          <w:rtl w:val="0"/>
        </w:rPr>
      </w:r>
    </w:p>
    <w:p w:rsidR="00000000" w:rsidDel="00000000" w:rsidP="00000000" w:rsidRDefault="00000000" w:rsidRPr="00000000" w14:paraId="00000020">
      <w:pPr>
        <w:numPr>
          <w:ilvl w:val="1"/>
          <w:numId w:val="6"/>
        </w:numPr>
        <w:ind w:left="1440" w:hanging="360"/>
        <w:jc w:val="both"/>
      </w:pPr>
      <w:r w:rsidDel="00000000" w:rsidR="00000000" w:rsidRPr="00000000">
        <w:rPr>
          <w:rtl w:val="0"/>
        </w:rPr>
        <w:t xml:space="preserve">Центриоли — цилиндрические структуры, организующие митотическое веретено; в стволовых клетках наследуются асимметрично, накапливая возрастные изменения (Wang et al., 2021).</w:t>
      </w:r>
    </w:p>
    <w:p w:rsidR="00000000" w:rsidDel="00000000" w:rsidP="00000000" w:rsidRDefault="00000000" w:rsidRPr="00000000" w14:paraId="00000021">
      <w:pPr>
        <w:numPr>
          <w:ilvl w:val="1"/>
          <w:numId w:val="6"/>
        </w:numPr>
        <w:ind w:left="1440" w:hanging="360"/>
        <w:jc w:val="both"/>
      </w:pPr>
      <w:r w:rsidDel="00000000" w:rsidR="00000000" w:rsidRPr="00000000">
        <w:rPr>
          <w:rtl w:val="0"/>
        </w:rPr>
        <w:t xml:space="preserve">Митохондрии нейронов — теряют способность к митофагии, что приводит к накоплению дефектной мтДНК (Sun et al., 2016).</w:t>
      </w:r>
    </w:p>
    <w:p w:rsidR="00000000" w:rsidDel="00000000" w:rsidP="00000000" w:rsidRDefault="00000000" w:rsidRPr="00000000" w14:paraId="00000022">
      <w:pPr>
        <w:ind w:left="1440" w:firstLine="0"/>
        <w:jc w:val="both"/>
        <w:rPr/>
      </w:pPr>
      <w:r w:rsidDel="00000000" w:rsidR="00000000" w:rsidRPr="00000000">
        <w:rPr>
          <w:rtl w:val="0"/>
        </w:rPr>
      </w:r>
    </w:p>
    <w:p w:rsidR="00000000" w:rsidDel="00000000" w:rsidP="00000000" w:rsidRDefault="00000000" w:rsidRPr="00000000" w14:paraId="00000023">
      <w:pPr>
        <w:numPr>
          <w:ilvl w:val="0"/>
          <w:numId w:val="6"/>
        </w:numPr>
        <w:ind w:left="720" w:hanging="360"/>
        <w:jc w:val="both"/>
      </w:pPr>
      <w:r w:rsidDel="00000000" w:rsidR="00000000" w:rsidRPr="00000000">
        <w:rPr>
          <w:rtl w:val="0"/>
        </w:rPr>
        <w:t xml:space="preserve">Тканевый уровень:</w:t>
      </w:r>
    </w:p>
    <w:p w:rsidR="00000000" w:rsidDel="00000000" w:rsidP="00000000" w:rsidRDefault="00000000" w:rsidRPr="00000000" w14:paraId="00000024">
      <w:pPr>
        <w:ind w:left="720" w:firstLine="0"/>
        <w:jc w:val="both"/>
        <w:rPr/>
      </w:pPr>
      <w:r w:rsidDel="00000000" w:rsidR="00000000" w:rsidRPr="00000000">
        <w:rPr>
          <w:rtl w:val="0"/>
        </w:rPr>
      </w:r>
    </w:p>
    <w:p w:rsidR="00000000" w:rsidDel="00000000" w:rsidP="00000000" w:rsidRDefault="00000000" w:rsidRPr="00000000" w14:paraId="00000025">
      <w:pPr>
        <w:numPr>
          <w:ilvl w:val="1"/>
          <w:numId w:val="6"/>
        </w:numPr>
        <w:ind w:left="1440" w:hanging="360"/>
        <w:jc w:val="both"/>
      </w:pPr>
      <w:r w:rsidDel="00000000" w:rsidR="00000000" w:rsidRPr="00000000">
        <w:rPr>
          <w:rtl w:val="0"/>
        </w:rPr>
        <w:t xml:space="preserve">Зубная эмаль — ацеллюлярная минерализованная ткань, неспособная к регенерации (Selwitz et al., 2007).</w:t>
      </w:r>
    </w:p>
    <w:p w:rsidR="00000000" w:rsidDel="00000000" w:rsidP="00000000" w:rsidRDefault="00000000" w:rsidRPr="00000000" w14:paraId="00000026">
      <w:pPr>
        <w:numPr>
          <w:ilvl w:val="1"/>
          <w:numId w:val="6"/>
        </w:numPr>
        <w:ind w:left="1440" w:hanging="360"/>
        <w:jc w:val="both"/>
      </w:pPr>
      <w:r w:rsidDel="00000000" w:rsidR="00000000" w:rsidRPr="00000000">
        <w:rPr>
          <w:rtl w:val="0"/>
        </w:rPr>
        <w:t xml:space="preserve">Нейроны центральной нервной системы (ЦНС) — не регенерируют аксоны после повреждений из-за экспрессии ингибиторов роста (He &amp; Jin, 2016).</w:t>
      </w:r>
    </w:p>
    <w:p w:rsidR="00000000" w:rsidDel="00000000" w:rsidP="00000000" w:rsidRDefault="00000000" w:rsidRPr="00000000" w14:paraId="00000027">
      <w:pPr>
        <w:ind w:left="1440" w:firstLine="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Эти структуры объединяет общий принцип: их долговечность — результат компромисса между стабильностью и функциональностью. Например, минерализация эмали обеспечивает защиту зубов, но исключает возможность самовосстановления, а отсутствие деления нейронов сохраняет нейронные сети, необходимые для памяти, но делает мозг уязвимым к травмам (Herculano-Houzel, 2014).</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Style w:val="Heading2"/>
        <w:rPr/>
      </w:pPr>
      <w:bookmarkStart w:colFirst="0" w:colLast="0" w:name="_29zbarm8dycf" w:id="6"/>
      <w:bookmarkEnd w:id="6"/>
      <w:r w:rsidDel="00000000" w:rsidR="00000000" w:rsidRPr="00000000">
        <w:rPr>
          <w:rtl w:val="0"/>
        </w:rPr>
        <w:t xml:space="preserve">Накопление энтропии как движущая сила старения</w:t>
      </w:r>
    </w:p>
    <w:p w:rsidR="00000000" w:rsidDel="00000000" w:rsidP="00000000" w:rsidRDefault="00000000" w:rsidRPr="00000000" w14:paraId="0000002B">
      <w:pPr>
        <w:jc w:val="both"/>
        <w:rPr/>
      </w:pPr>
      <w:r w:rsidDel="00000000" w:rsidR="00000000" w:rsidRPr="00000000">
        <w:rPr>
          <w:rtl w:val="0"/>
        </w:rPr>
        <w:t xml:space="preserve">Согласно второму закону термодинамики, все системы стремятся к увеличению энтропии. В биологии это проявляется через окислительное повреждение ДНК, денатурацию белков и дисфункцию органелл. Организм противодействует энтропии с помощью систем самовосстановления - репарации, антиоксидантов и клеточного обновления. Однако невосстанавливаемые структуры избегают этих механизмов, становясь «горячими точками» накопления повреждений:</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numPr>
          <w:ilvl w:val="0"/>
          <w:numId w:val="18"/>
        </w:numPr>
        <w:ind w:left="720" w:hanging="360"/>
        <w:jc w:val="both"/>
      </w:pPr>
      <w:r w:rsidDel="00000000" w:rsidR="00000000" w:rsidRPr="00000000">
        <w:rPr>
          <w:rtl w:val="0"/>
        </w:rPr>
        <w:t xml:space="preserve">Окислительный стресс: Реактивные формы кислорода (РОС), генерируемые митохондриями, окисляют кристаллины хрусталика, приводя к их агрегации и катаракте (Truscott, 2005).</w:t>
      </w:r>
    </w:p>
    <w:p w:rsidR="00000000" w:rsidDel="00000000" w:rsidP="00000000" w:rsidRDefault="00000000" w:rsidRPr="00000000" w14:paraId="0000002E">
      <w:pPr>
        <w:numPr>
          <w:ilvl w:val="0"/>
          <w:numId w:val="18"/>
        </w:numPr>
        <w:ind w:left="720" w:hanging="360"/>
        <w:jc w:val="both"/>
      </w:pPr>
      <w:r w:rsidDel="00000000" w:rsidR="00000000" w:rsidRPr="00000000">
        <w:rPr>
          <w:rtl w:val="0"/>
        </w:rPr>
        <w:t xml:space="preserve">Эпигенетические изменения: В постмитотических нейронах накопление метилирования ДНК нарушает экспрессию генов, связанных с синаптической пластичностью (Xiong et al., 2020).</w:t>
      </w:r>
    </w:p>
    <w:p w:rsidR="00000000" w:rsidDel="00000000" w:rsidP="00000000" w:rsidRDefault="00000000" w:rsidRPr="00000000" w14:paraId="0000002F">
      <w:pPr>
        <w:numPr>
          <w:ilvl w:val="0"/>
          <w:numId w:val="18"/>
        </w:numPr>
        <w:ind w:left="720" w:hanging="360"/>
        <w:jc w:val="both"/>
      </w:pPr>
      <w:r w:rsidDel="00000000" w:rsidR="00000000" w:rsidRPr="00000000">
        <w:rPr>
          <w:rtl w:val="0"/>
        </w:rPr>
        <w:t xml:space="preserve">Механический износ: Зубная эмаль постепенно истирается, обнажая дентин и повышая чувствительность (Lussi et al., 2012).</w:t>
      </w:r>
    </w:p>
    <w:p w:rsidR="00000000" w:rsidDel="00000000" w:rsidP="00000000" w:rsidRDefault="00000000" w:rsidRPr="00000000" w14:paraId="00000030">
      <w:pPr>
        <w:ind w:left="720" w:firstLine="0"/>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Теория «накопления мусора» (англ. garbage accumulation theory) предполагает, что старение ускоряется из-за неспособности клеток удалять поврежденные компоненты (Terman &amp; Brunk, 2006). Например, липофусцин — продукт окисления липидов и белков — накапливается в лизосомах нейронов, блокируя аутофагию и усиливая апоптоз (Höhn &amp; Grune, 2013).</w:t>
      </w:r>
    </w:p>
    <w:p w:rsidR="00000000" w:rsidDel="00000000" w:rsidP="00000000" w:rsidRDefault="00000000" w:rsidRPr="00000000" w14:paraId="00000032">
      <w:pPr>
        <w:pStyle w:val="Heading2"/>
        <w:rPr/>
      </w:pPr>
      <w:bookmarkStart w:colFirst="0" w:colLast="0" w:name="_r8d4qiis8dqw" w:id="7"/>
      <w:bookmarkEnd w:id="7"/>
      <w:r w:rsidDel="00000000" w:rsidR="00000000" w:rsidRPr="00000000">
        <w:rPr>
          <w:rtl w:val="0"/>
        </w:rPr>
        <w:t xml:space="preserve">Компромиссы: почему регенерация невозможна?</w:t>
      </w:r>
    </w:p>
    <w:p w:rsidR="00000000" w:rsidDel="00000000" w:rsidP="00000000" w:rsidRDefault="00000000" w:rsidRPr="00000000" w14:paraId="00000033">
      <w:pPr>
        <w:jc w:val="both"/>
        <w:rPr/>
      </w:pPr>
      <w:r w:rsidDel="00000000" w:rsidR="00000000" w:rsidRPr="00000000">
        <w:rPr>
          <w:rtl w:val="0"/>
        </w:rPr>
        <w:t xml:space="preserve">Практически у всех видов часто жертвуется способность к регенерации ради специализации. Например:</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numPr>
          <w:ilvl w:val="0"/>
          <w:numId w:val="16"/>
        </w:numPr>
        <w:ind w:left="720" w:hanging="360"/>
        <w:jc w:val="both"/>
      </w:pPr>
      <w:r w:rsidDel="00000000" w:rsidR="00000000" w:rsidRPr="00000000">
        <w:rPr>
          <w:rtl w:val="0"/>
        </w:rPr>
        <w:t xml:space="preserve">Нейроны ЦНС: Отказ от митоза предотвращает риск опухолеобразования, но делает нервную систему уязвимой к травмам (Frade &amp; López-Sánchez, 2010).</w:t>
      </w:r>
    </w:p>
    <w:p w:rsidR="00000000" w:rsidDel="00000000" w:rsidP="00000000" w:rsidRDefault="00000000" w:rsidRPr="00000000" w14:paraId="00000036">
      <w:pPr>
        <w:numPr>
          <w:ilvl w:val="0"/>
          <w:numId w:val="16"/>
        </w:numPr>
        <w:ind w:left="720" w:hanging="360"/>
        <w:jc w:val="both"/>
      </w:pPr>
      <w:r w:rsidDel="00000000" w:rsidR="00000000" w:rsidRPr="00000000">
        <w:rPr>
          <w:rtl w:val="0"/>
        </w:rPr>
        <w:t xml:space="preserve">Хрусталик глаза: Потеря ядер и органелл в лентикулоцитах минимизирует светорассеяние, но исключает синтез новых белков (Bassnett et al., 2011).</w:t>
      </w:r>
    </w:p>
    <w:p w:rsidR="00000000" w:rsidDel="00000000" w:rsidP="00000000" w:rsidRDefault="00000000" w:rsidRPr="00000000" w14:paraId="00000037">
      <w:pPr>
        <w:numPr>
          <w:ilvl w:val="0"/>
          <w:numId w:val="16"/>
        </w:numPr>
        <w:ind w:left="720" w:hanging="360"/>
        <w:jc w:val="both"/>
      </w:pPr>
      <w:r w:rsidDel="00000000" w:rsidR="00000000" w:rsidRPr="00000000">
        <w:rPr>
          <w:rtl w:val="0"/>
        </w:rPr>
        <w:t xml:space="preserve">Центриоли: Их стабильность в стволовых клетках обеспечивает асимметричное деление, но передача «старых» центриолей потомству способствует старению тканей (Nigg &amp; Holland, 2018).</w:t>
      </w:r>
    </w:p>
    <w:p w:rsidR="00000000" w:rsidDel="00000000" w:rsidP="00000000" w:rsidRDefault="00000000" w:rsidRPr="00000000" w14:paraId="00000038">
      <w:pPr>
        <w:ind w:left="720" w:firstLine="0"/>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Эти компромиссы отражают баланс между немедленной выгодой (например, оптической прозрачностью хрусталика) и долгосрочными затратами (риск катаракты).</w:t>
      </w:r>
    </w:p>
    <w:p w:rsidR="00000000" w:rsidDel="00000000" w:rsidP="00000000" w:rsidRDefault="00000000" w:rsidRPr="00000000" w14:paraId="0000003A">
      <w:pPr>
        <w:pStyle w:val="Heading2"/>
        <w:rPr/>
      </w:pPr>
      <w:bookmarkStart w:colFirst="0" w:colLast="0" w:name="_4kugy1w4ievo" w:id="8"/>
      <w:bookmarkEnd w:id="8"/>
      <w:r w:rsidDel="00000000" w:rsidR="00000000" w:rsidRPr="00000000">
        <w:rPr>
          <w:rtl w:val="0"/>
        </w:rPr>
        <w:t xml:space="preserve">Клиническое значение: от молекулярных повреждений к болезням</w:t>
      </w:r>
    </w:p>
    <w:p w:rsidR="00000000" w:rsidDel="00000000" w:rsidP="00000000" w:rsidRDefault="00000000" w:rsidRPr="00000000" w14:paraId="0000003B">
      <w:pPr>
        <w:jc w:val="both"/>
        <w:rPr/>
      </w:pPr>
      <w:r w:rsidDel="00000000" w:rsidR="00000000" w:rsidRPr="00000000">
        <w:rPr>
          <w:rtl w:val="0"/>
        </w:rPr>
        <w:t xml:space="preserve">Накопление повреждений в невосстанавливаемых структурах лежит в основе многих возрастных заболеваний:</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numPr>
          <w:ilvl w:val="0"/>
          <w:numId w:val="3"/>
        </w:numPr>
        <w:ind w:left="720" w:hanging="360"/>
        <w:jc w:val="both"/>
      </w:pPr>
      <w:r w:rsidDel="00000000" w:rsidR="00000000" w:rsidRPr="00000000">
        <w:rPr>
          <w:rtl w:val="0"/>
        </w:rPr>
        <w:t xml:space="preserve">Катаракта: Помутнение хрусталика из-за агрегации кристаллинов — ведущая причина слепоты (Asbell et al., 2005).</w:t>
      </w:r>
    </w:p>
    <w:p w:rsidR="00000000" w:rsidDel="00000000" w:rsidP="00000000" w:rsidRDefault="00000000" w:rsidRPr="00000000" w14:paraId="0000003E">
      <w:pPr>
        <w:numPr>
          <w:ilvl w:val="0"/>
          <w:numId w:val="3"/>
        </w:numPr>
        <w:ind w:left="720" w:hanging="360"/>
        <w:jc w:val="both"/>
      </w:pPr>
      <w:r w:rsidDel="00000000" w:rsidR="00000000" w:rsidRPr="00000000">
        <w:rPr>
          <w:rtl w:val="0"/>
        </w:rPr>
        <w:t xml:space="preserve">Болезнь Альцгеймера: Накопление тау-белка и β-амилоида в нейронах связано с дисфункцией ядерных пор и митохондрий (Scheltens et al., 2021).</w:t>
      </w:r>
    </w:p>
    <w:p w:rsidR="00000000" w:rsidDel="00000000" w:rsidP="00000000" w:rsidRDefault="00000000" w:rsidRPr="00000000" w14:paraId="0000003F">
      <w:pPr>
        <w:numPr>
          <w:ilvl w:val="0"/>
          <w:numId w:val="3"/>
        </w:numPr>
        <w:ind w:left="720" w:hanging="360"/>
        <w:jc w:val="both"/>
      </w:pPr>
      <w:r w:rsidDel="00000000" w:rsidR="00000000" w:rsidRPr="00000000">
        <w:rPr>
          <w:rtl w:val="0"/>
        </w:rPr>
        <w:t xml:space="preserve">Сердечная недостаточность: Мутации мтДНК в кардиомиоцитах нарушают энергетический метаболизм (Brown et al., 2017).</w:t>
      </w:r>
    </w:p>
    <w:p w:rsidR="00000000" w:rsidDel="00000000" w:rsidP="00000000" w:rsidRDefault="00000000" w:rsidRPr="00000000" w14:paraId="00000040">
      <w:pPr>
        <w:numPr>
          <w:ilvl w:val="0"/>
          <w:numId w:val="3"/>
        </w:numPr>
        <w:ind w:left="720" w:hanging="360"/>
        <w:jc w:val="both"/>
      </w:pPr>
      <w:r w:rsidDel="00000000" w:rsidR="00000000" w:rsidRPr="00000000">
        <w:rPr>
          <w:rtl w:val="0"/>
        </w:rPr>
        <w:t xml:space="preserve">Кариес и эрозия эмали: Деминерализация приводит к необратимому разрушению зубов (Pitts et al., 2017).</w:t>
      </w:r>
    </w:p>
    <w:p w:rsidR="00000000" w:rsidDel="00000000" w:rsidP="00000000" w:rsidRDefault="00000000" w:rsidRPr="00000000" w14:paraId="00000041">
      <w:pPr>
        <w:ind w:left="720" w:firstLine="0"/>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Эти заболевания подчеркивают необходимость разработки стратегий, направленных на замедление или обращение накопления энтропии.</w:t>
      </w:r>
    </w:p>
    <w:p w:rsidR="00000000" w:rsidDel="00000000" w:rsidP="00000000" w:rsidRDefault="00000000" w:rsidRPr="00000000" w14:paraId="00000043">
      <w:pPr>
        <w:pStyle w:val="Heading2"/>
        <w:rPr/>
      </w:pPr>
      <w:bookmarkStart w:colFirst="0" w:colLast="0" w:name="_qf7v4on20vjh" w:id="9"/>
      <w:bookmarkEnd w:id="9"/>
      <w:r w:rsidDel="00000000" w:rsidR="00000000" w:rsidRPr="00000000">
        <w:rPr>
          <w:rtl w:val="0"/>
        </w:rPr>
        <w:t xml:space="preserve">Современные подходы к борьбе с энтропией</w:t>
      </w:r>
    </w:p>
    <w:p w:rsidR="00000000" w:rsidDel="00000000" w:rsidP="00000000" w:rsidRDefault="00000000" w:rsidRPr="00000000" w14:paraId="00000044">
      <w:pPr>
        <w:numPr>
          <w:ilvl w:val="0"/>
          <w:numId w:val="26"/>
        </w:numPr>
        <w:ind w:left="720" w:hanging="360"/>
        <w:jc w:val="both"/>
      </w:pPr>
      <w:r w:rsidDel="00000000" w:rsidR="00000000" w:rsidRPr="00000000">
        <w:rPr>
          <w:rtl w:val="0"/>
        </w:rPr>
        <w:t xml:space="preserve">Сениолитики: Препараты, такие как физетин и дазатиниб, избирательно устраняют сенесцентные клетки, снижая нагрузку «молекулярного мусора» (Yousefzadeh et al., 2018).</w:t>
      </w:r>
    </w:p>
    <w:p w:rsidR="00000000" w:rsidDel="00000000" w:rsidP="00000000" w:rsidRDefault="00000000" w:rsidRPr="00000000" w14:paraId="00000045">
      <w:pPr>
        <w:numPr>
          <w:ilvl w:val="0"/>
          <w:numId w:val="26"/>
        </w:numPr>
        <w:ind w:left="720" w:hanging="360"/>
        <w:jc w:val="both"/>
      </w:pPr>
      <w:r w:rsidDel="00000000" w:rsidR="00000000" w:rsidRPr="00000000">
        <w:rPr>
          <w:rtl w:val="0"/>
        </w:rPr>
        <w:t xml:space="preserve">Генная терапия:</w:t>
      </w:r>
    </w:p>
    <w:p w:rsidR="00000000" w:rsidDel="00000000" w:rsidP="00000000" w:rsidRDefault="00000000" w:rsidRPr="00000000" w14:paraId="00000046">
      <w:pPr>
        <w:ind w:left="720" w:firstLine="0"/>
        <w:jc w:val="both"/>
        <w:rPr/>
      </w:pPr>
      <w:r w:rsidDel="00000000" w:rsidR="00000000" w:rsidRPr="00000000">
        <w:rPr>
          <w:rtl w:val="0"/>
        </w:rPr>
      </w:r>
    </w:p>
    <w:p w:rsidR="00000000" w:rsidDel="00000000" w:rsidP="00000000" w:rsidRDefault="00000000" w:rsidRPr="00000000" w14:paraId="00000047">
      <w:pPr>
        <w:numPr>
          <w:ilvl w:val="1"/>
          <w:numId w:val="26"/>
        </w:numPr>
        <w:ind w:left="1440" w:hanging="360"/>
        <w:jc w:val="both"/>
      </w:pPr>
      <w:r w:rsidDel="00000000" w:rsidR="00000000" w:rsidRPr="00000000">
        <w:rPr>
          <w:rtl w:val="0"/>
        </w:rPr>
        <w:t xml:space="preserve">CRISPR/Cas9-коррекция мутаций в постмитотических нейронах (Moreno et al., 2022).</w:t>
      </w:r>
    </w:p>
    <w:p w:rsidR="00000000" w:rsidDel="00000000" w:rsidP="00000000" w:rsidRDefault="00000000" w:rsidRPr="00000000" w14:paraId="00000048">
      <w:pPr>
        <w:numPr>
          <w:ilvl w:val="1"/>
          <w:numId w:val="26"/>
        </w:numPr>
        <w:ind w:left="1440" w:hanging="360"/>
        <w:jc w:val="both"/>
      </w:pPr>
      <w:r w:rsidDel="00000000" w:rsidR="00000000" w:rsidRPr="00000000">
        <w:rPr>
          <w:rtl w:val="0"/>
        </w:rPr>
        <w:t xml:space="preserve">Активация теломеразы для продления жизни стволовых клеток (Jaskelioff et al., 2011).</w:t>
      </w:r>
    </w:p>
    <w:p w:rsidR="00000000" w:rsidDel="00000000" w:rsidP="00000000" w:rsidRDefault="00000000" w:rsidRPr="00000000" w14:paraId="00000049">
      <w:pPr>
        <w:ind w:left="1440" w:firstLine="0"/>
        <w:jc w:val="both"/>
        <w:rPr/>
      </w:pPr>
      <w:r w:rsidDel="00000000" w:rsidR="00000000" w:rsidRPr="00000000">
        <w:rPr>
          <w:rtl w:val="0"/>
        </w:rPr>
      </w:r>
    </w:p>
    <w:p w:rsidR="00000000" w:rsidDel="00000000" w:rsidP="00000000" w:rsidRDefault="00000000" w:rsidRPr="00000000" w14:paraId="0000004A">
      <w:pPr>
        <w:numPr>
          <w:ilvl w:val="0"/>
          <w:numId w:val="26"/>
        </w:numPr>
        <w:ind w:left="720" w:hanging="360"/>
        <w:jc w:val="both"/>
      </w:pPr>
      <w:r w:rsidDel="00000000" w:rsidR="00000000" w:rsidRPr="00000000">
        <w:rPr>
          <w:rtl w:val="0"/>
        </w:rPr>
        <w:t xml:space="preserve">Биомиметические материалы:</w:t>
      </w:r>
    </w:p>
    <w:p w:rsidR="00000000" w:rsidDel="00000000" w:rsidP="00000000" w:rsidRDefault="00000000" w:rsidRPr="00000000" w14:paraId="0000004B">
      <w:pPr>
        <w:ind w:left="720" w:firstLine="0"/>
        <w:jc w:val="both"/>
        <w:rPr/>
      </w:pPr>
      <w:r w:rsidDel="00000000" w:rsidR="00000000" w:rsidRPr="00000000">
        <w:rPr>
          <w:rtl w:val="0"/>
        </w:rPr>
      </w:r>
    </w:p>
    <w:p w:rsidR="00000000" w:rsidDel="00000000" w:rsidP="00000000" w:rsidRDefault="00000000" w:rsidRPr="00000000" w14:paraId="0000004C">
      <w:pPr>
        <w:numPr>
          <w:ilvl w:val="1"/>
          <w:numId w:val="26"/>
        </w:numPr>
        <w:ind w:left="1440" w:hanging="360"/>
        <w:jc w:val="both"/>
      </w:pPr>
      <w:r w:rsidDel="00000000" w:rsidR="00000000" w:rsidRPr="00000000">
        <w:rPr>
          <w:rtl w:val="0"/>
        </w:rPr>
        <w:t xml:space="preserve">Наночастицы гидроксиапатита, имитирующие структуру эмали (Ruan et al., 2016).</w:t>
      </w:r>
    </w:p>
    <w:p w:rsidR="00000000" w:rsidDel="00000000" w:rsidP="00000000" w:rsidRDefault="00000000" w:rsidRPr="00000000" w14:paraId="0000004D">
      <w:pPr>
        <w:numPr>
          <w:ilvl w:val="1"/>
          <w:numId w:val="26"/>
        </w:numPr>
        <w:ind w:left="1440" w:hanging="360"/>
        <w:jc w:val="both"/>
      </w:pPr>
      <w:r w:rsidDel="00000000" w:rsidR="00000000" w:rsidRPr="00000000">
        <w:rPr>
          <w:rtl w:val="0"/>
        </w:rPr>
        <w:t xml:space="preserve">Искусственные шапероны для стабилизации денатурированных белков (Makley et al., 2015).</w:t>
      </w:r>
    </w:p>
    <w:p w:rsidR="00000000" w:rsidDel="00000000" w:rsidP="00000000" w:rsidRDefault="00000000" w:rsidRPr="00000000" w14:paraId="0000004E">
      <w:pPr>
        <w:ind w:left="1440" w:firstLine="0"/>
        <w:jc w:val="both"/>
        <w:rPr/>
      </w:pPr>
      <w:r w:rsidDel="00000000" w:rsidR="00000000" w:rsidRPr="00000000">
        <w:rPr>
          <w:rtl w:val="0"/>
        </w:rPr>
      </w:r>
    </w:p>
    <w:p w:rsidR="00000000" w:rsidDel="00000000" w:rsidP="00000000" w:rsidRDefault="00000000" w:rsidRPr="00000000" w14:paraId="0000004F">
      <w:pPr>
        <w:numPr>
          <w:ilvl w:val="0"/>
          <w:numId w:val="26"/>
        </w:numPr>
        <w:ind w:left="720" w:hanging="360"/>
        <w:jc w:val="both"/>
      </w:pPr>
      <w:r w:rsidDel="00000000" w:rsidR="00000000" w:rsidRPr="00000000">
        <w:rPr>
          <w:rtl w:val="0"/>
        </w:rPr>
        <w:t xml:space="preserve">Митохондриальная заместительная терапия: Трансплантация митохондрий в ооциты улучшает фертильность (Fakih et al., 2021).</w:t>
      </w:r>
    </w:p>
    <w:p w:rsidR="00000000" w:rsidDel="00000000" w:rsidP="00000000" w:rsidRDefault="00000000" w:rsidRPr="00000000" w14:paraId="00000050">
      <w:pPr>
        <w:pStyle w:val="Heading2"/>
        <w:rPr/>
      </w:pPr>
      <w:bookmarkStart w:colFirst="0" w:colLast="0" w:name="_jovt0jxg4olu" w:id="10"/>
      <w:bookmarkEnd w:id="10"/>
      <w:r w:rsidDel="00000000" w:rsidR="00000000" w:rsidRPr="00000000">
        <w:rPr>
          <w:rtl w:val="0"/>
        </w:rPr>
        <w:t xml:space="preserve">Центриоли: новая мишень в исследованиях старения</w:t>
      </w:r>
    </w:p>
    <w:p w:rsidR="00000000" w:rsidDel="00000000" w:rsidP="00000000" w:rsidRDefault="00000000" w:rsidRPr="00000000" w14:paraId="00000051">
      <w:pPr>
        <w:jc w:val="both"/>
        <w:rPr/>
      </w:pPr>
      <w:r w:rsidDel="00000000" w:rsidR="00000000" w:rsidRPr="00000000">
        <w:rPr>
          <w:rtl w:val="0"/>
        </w:rPr>
        <w:t xml:space="preserve">Центриоли, ранее считавшиеся лишь организаторами веретена деления, теперь рассматриваются как ключевые регуляторы клеточной энтропии. Их избирательное наследование в стволовых клетках обеспечивает стабильность тканей, но способствует передаче повреждений. Например:</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numPr>
          <w:ilvl w:val="0"/>
          <w:numId w:val="30"/>
        </w:numPr>
        <w:ind w:left="720" w:hanging="360"/>
        <w:jc w:val="both"/>
      </w:pPr>
      <w:r w:rsidDel="00000000" w:rsidR="00000000" w:rsidRPr="00000000">
        <w:rPr>
          <w:rtl w:val="0"/>
        </w:rPr>
        <w:t xml:space="preserve">Нарушение асимметричного деления: Старые центриоли в стволовых клетках кишечника связаны со снижением регенерации эпителия (Liang et al., 2020).</w:t>
      </w:r>
    </w:p>
    <w:p w:rsidR="00000000" w:rsidDel="00000000" w:rsidP="00000000" w:rsidRDefault="00000000" w:rsidRPr="00000000" w14:paraId="00000054">
      <w:pPr>
        <w:numPr>
          <w:ilvl w:val="0"/>
          <w:numId w:val="30"/>
        </w:numPr>
        <w:ind w:left="720" w:hanging="360"/>
        <w:jc w:val="both"/>
      </w:pPr>
      <w:r w:rsidDel="00000000" w:rsidR="00000000" w:rsidRPr="00000000">
        <w:rPr>
          <w:rtl w:val="0"/>
        </w:rPr>
        <w:t xml:space="preserve">Рак: Супернумерарные центриоли провоцируют хромосомную нестабильность, характерную для опухолей (Nigg &amp; Holland, 2018).</w:t>
      </w:r>
    </w:p>
    <w:p w:rsidR="00000000" w:rsidDel="00000000" w:rsidP="00000000" w:rsidRDefault="00000000" w:rsidRPr="00000000" w14:paraId="00000055">
      <w:pPr>
        <w:ind w:left="720" w:firstLine="0"/>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Перспективные методы включают ингибиторы окислительного стресса (N-ацетилцистеин) и редактирование генов центриолей (Zhong et al., 2022).</w:t>
      </w:r>
    </w:p>
    <w:p w:rsidR="00000000" w:rsidDel="00000000" w:rsidP="00000000" w:rsidRDefault="00000000" w:rsidRPr="00000000" w14:paraId="00000057">
      <w:pPr>
        <w:pStyle w:val="Heading2"/>
        <w:jc w:val="both"/>
        <w:rPr/>
      </w:pPr>
      <w:bookmarkStart w:colFirst="0" w:colLast="0" w:name="_hn0hykvkjdne" w:id="11"/>
      <w:bookmarkEnd w:id="11"/>
      <w:r w:rsidDel="00000000" w:rsidR="00000000" w:rsidRPr="00000000">
        <w:rPr>
          <w:rtl w:val="0"/>
        </w:rPr>
        <w:t xml:space="preserve">Цель статьи</w:t>
      </w:r>
    </w:p>
    <w:p w:rsidR="00000000" w:rsidDel="00000000" w:rsidP="00000000" w:rsidRDefault="00000000" w:rsidRPr="00000000" w14:paraId="00000058">
      <w:pPr>
        <w:jc w:val="both"/>
        <w:rPr/>
      </w:pPr>
      <w:r w:rsidDel="00000000" w:rsidR="00000000" w:rsidRPr="00000000">
        <w:rPr>
          <w:rtl w:val="0"/>
        </w:rPr>
        <w:t xml:space="preserve">Данная статья анализирует роль долговечных невосстанавливаемых структур в старении, фокусируясь на молекулярных, органеллярных и тканевых уровнях. Здесь  рассмотрено:</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numPr>
          <w:ilvl w:val="0"/>
          <w:numId w:val="10"/>
        </w:numPr>
        <w:ind w:left="720" w:hanging="360"/>
        <w:jc w:val="both"/>
      </w:pPr>
      <w:r w:rsidDel="00000000" w:rsidR="00000000" w:rsidRPr="00000000">
        <w:rPr>
          <w:rtl w:val="0"/>
        </w:rPr>
        <w:t xml:space="preserve">Механизмы накопления повреждений в этих структурах.</w:t>
      </w:r>
    </w:p>
    <w:p w:rsidR="00000000" w:rsidDel="00000000" w:rsidP="00000000" w:rsidRDefault="00000000" w:rsidRPr="00000000" w14:paraId="0000005B">
      <w:pPr>
        <w:numPr>
          <w:ilvl w:val="0"/>
          <w:numId w:val="10"/>
        </w:numPr>
        <w:ind w:left="720" w:hanging="360"/>
        <w:jc w:val="both"/>
      </w:pPr>
      <w:r w:rsidDel="00000000" w:rsidR="00000000" w:rsidRPr="00000000">
        <w:rPr>
          <w:rtl w:val="0"/>
        </w:rPr>
        <w:t xml:space="preserve">Их связь с возрастными заболеваниями.</w:t>
      </w:r>
    </w:p>
    <w:p w:rsidR="00000000" w:rsidDel="00000000" w:rsidP="00000000" w:rsidRDefault="00000000" w:rsidRPr="00000000" w14:paraId="0000005C">
      <w:pPr>
        <w:numPr>
          <w:ilvl w:val="0"/>
          <w:numId w:val="10"/>
        </w:numPr>
        <w:ind w:left="720" w:hanging="360"/>
        <w:jc w:val="both"/>
      </w:pPr>
      <w:r w:rsidDel="00000000" w:rsidR="00000000" w:rsidRPr="00000000">
        <w:rPr>
          <w:rtl w:val="0"/>
        </w:rPr>
        <w:t xml:space="preserve">Эволюционные компромиссы, ограничивающие регенерацию.</w:t>
      </w:r>
    </w:p>
    <w:p w:rsidR="00000000" w:rsidDel="00000000" w:rsidP="00000000" w:rsidRDefault="00000000" w:rsidRPr="00000000" w14:paraId="0000005D">
      <w:pPr>
        <w:numPr>
          <w:ilvl w:val="0"/>
          <w:numId w:val="10"/>
        </w:numPr>
        <w:ind w:left="720" w:hanging="360"/>
        <w:jc w:val="both"/>
      </w:pPr>
      <w:r w:rsidDel="00000000" w:rsidR="00000000" w:rsidRPr="00000000">
        <w:rPr>
          <w:rtl w:val="0"/>
        </w:rPr>
        <w:t xml:space="preserve">Инновационные терапевтические стратегии, включая генную инженерию и биомиметику.</w:t>
      </w:r>
    </w:p>
    <w:p w:rsidR="00000000" w:rsidDel="00000000" w:rsidP="00000000" w:rsidRDefault="00000000" w:rsidRPr="00000000" w14:paraId="0000005E">
      <w:pPr>
        <w:ind w:left="720" w:firstLine="0"/>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Обзор интегрирует данные из нейробиологии, геронтологии и материаловедения, предлагая междисциплинарный взгляд на проблему старения.</w:t>
      </w:r>
    </w:p>
    <w:p w:rsidR="00000000" w:rsidDel="00000000" w:rsidP="00000000" w:rsidRDefault="00000000" w:rsidRPr="00000000" w14:paraId="00000060">
      <w:pPr>
        <w:pStyle w:val="Heading1"/>
        <w:jc w:val="both"/>
        <w:rPr/>
      </w:pPr>
      <w:bookmarkStart w:colFirst="0" w:colLast="0" w:name="_ebz42myapgmu" w:id="12"/>
      <w:bookmarkEnd w:id="12"/>
      <w:r w:rsidDel="00000000" w:rsidR="00000000" w:rsidRPr="00000000">
        <w:rPr>
          <w:rtl w:val="0"/>
        </w:rPr>
        <w:t xml:space="preserve">Долговечные невосстанавливаемые молекулы</w:t>
      </w:r>
    </w:p>
    <w:p w:rsidR="00000000" w:rsidDel="00000000" w:rsidP="00000000" w:rsidRDefault="00000000" w:rsidRPr="00000000" w14:paraId="00000061">
      <w:pPr>
        <w:pStyle w:val="Heading2"/>
        <w:jc w:val="both"/>
        <w:rPr/>
      </w:pPr>
      <w:bookmarkStart w:colFirst="0" w:colLast="0" w:name="_smmxtz18m61u" w:id="13"/>
      <w:bookmarkEnd w:id="13"/>
      <w:r w:rsidDel="00000000" w:rsidR="00000000" w:rsidRPr="00000000">
        <w:rPr>
          <w:rtl w:val="0"/>
        </w:rPr>
        <w:t xml:space="preserve">Кристаллины хрусталика глаза</w:t>
      </w:r>
    </w:p>
    <w:p w:rsidR="00000000" w:rsidDel="00000000" w:rsidP="00000000" w:rsidRDefault="00000000" w:rsidRPr="00000000" w14:paraId="00000062">
      <w:pPr>
        <w:jc w:val="both"/>
        <w:rPr/>
      </w:pPr>
      <w:r w:rsidDel="00000000" w:rsidR="00000000" w:rsidRPr="00000000">
        <w:rPr>
          <w:rtl w:val="0"/>
        </w:rPr>
        <w:t xml:space="preserve">Кристаллины — это семейство структурных белков, обеспечивающих прозрачность и преломляющие свойства хрусталика глаза. Эти белки синтезируются на ранних этапах развития организма и практически не обновляются в течение жизни (Bloemendal et al., 2004). Их долговечность критична для поддержания оптической функции, однако отсутствие регенерации делает их уязвимыми к накоплению повреждений, что связывают с развитием возрастной катаракты — ведущей причины слепоты в мире (Moreau &amp; King, 2012).</w:t>
      </w:r>
    </w:p>
    <w:p w:rsidR="00000000" w:rsidDel="00000000" w:rsidP="00000000" w:rsidRDefault="00000000" w:rsidRPr="00000000" w14:paraId="00000063">
      <w:pPr>
        <w:jc w:val="both"/>
        <w:rPr/>
      </w:pPr>
      <w:r w:rsidDel="00000000" w:rsidR="00000000" w:rsidRPr="00000000">
        <w:rPr>
          <w:rtl w:val="0"/>
        </w:rPr>
        <w:br w:type="textWrapping"/>
        <w:t xml:space="preserve">Кристаллины составляют до 90% водорастворимых белков хрусталика. У млекопитающих выделяют три основных класса: α-, β- и γ-кристаллины. α-Кристаллины действуют как шапероны, предотвращая агрегацию других белков при стрессе (Horwitz, 2003). β- и γ-кристаллины формируют плотную упорядоченную структуру, обеспечивая прозрачность за счет высокой растворимости и коротких расстояний между молекулами (Slingsby &amp; Wistow, 2014).</w:t>
      </w:r>
    </w:p>
    <w:p w:rsidR="00000000" w:rsidDel="00000000" w:rsidP="00000000" w:rsidRDefault="00000000" w:rsidRPr="00000000" w14:paraId="00000064">
      <w:pPr>
        <w:jc w:val="both"/>
        <w:rPr/>
      </w:pPr>
      <w:r w:rsidDel="00000000" w:rsidR="00000000" w:rsidRPr="00000000">
        <w:rPr>
          <w:rtl w:val="0"/>
        </w:rPr>
        <w:br w:type="textWrapping"/>
        <w:t xml:space="preserve">С возрастом кристаллины подвергаются посттрансляционным модификациям: окислению, дезамидированию, фрагментации и гликированию (Hains &amp; Truscott, 2007). Эти изменения нарушают их растворимость и приводят к агрегации. Например, окисление метионина и цистеина в γ-кристаллинах вызывает денатурацию, а УФ-излучение ускоряет фотоокисление (Truscott, 2005). Накопление модифицированных белков рассеивает свет, формируя помутнения — основу катаракты (Michael &amp; Bron, 2011).</w:t>
      </w:r>
    </w:p>
    <w:p w:rsidR="00000000" w:rsidDel="00000000" w:rsidP="00000000" w:rsidRDefault="00000000" w:rsidRPr="00000000" w14:paraId="00000065">
      <w:pPr>
        <w:jc w:val="both"/>
        <w:rPr/>
      </w:pPr>
      <w:r w:rsidDel="00000000" w:rsidR="00000000" w:rsidRPr="00000000">
        <w:rPr>
          <w:rtl w:val="0"/>
        </w:rPr>
        <w:br w:type="textWrapping"/>
        <w:t xml:space="preserve">Хрусталик лишен кровоснабжения и зависит от внутренних антиоксидантов (глутатион, аскорбат) и шаперонной активности α-кристаллинов. Однако с возрастом уровень глутатиона падает, а шапероны перенаправляются на борьбу с поврежденными белками, теряя способность поддерживать прозрачность (Kantorow et al., 2020). Исследования in vitro подтверждают, что окисленные кристаллины формируют агрегаты, устойчивые к протеазам (Sharma &amp; Santhoshkumar, 2009).</w:t>
      </w:r>
    </w:p>
    <w:p w:rsidR="00000000" w:rsidDel="00000000" w:rsidP="00000000" w:rsidRDefault="00000000" w:rsidRPr="00000000" w14:paraId="00000066">
      <w:pPr>
        <w:jc w:val="both"/>
        <w:rPr/>
      </w:pPr>
      <w:r w:rsidDel="00000000" w:rsidR="00000000" w:rsidRPr="00000000">
        <w:rPr>
          <w:rtl w:val="0"/>
        </w:rPr>
        <w:br w:type="textWrapping"/>
        <w:t xml:space="preserve">Катаракта развивается у 50% людей старше 80 лет (Asbell et al., 2005). Хирургическое удаление помутневшего хрусталика остается единственным эффективным лечением, что подчеркивает необходимость исследований в области профилактики. Перспективным направлением является разработка антиоксидантов и шапероноподобных молекул, замедляющих агрегацию кристаллинов (Makley et al., 2015).</w:t>
      </w:r>
    </w:p>
    <w:p w:rsidR="00000000" w:rsidDel="00000000" w:rsidP="00000000" w:rsidRDefault="00000000" w:rsidRPr="00000000" w14:paraId="00000067">
      <w:pPr>
        <w:pStyle w:val="Heading2"/>
        <w:jc w:val="both"/>
        <w:rPr/>
      </w:pPr>
      <w:bookmarkStart w:colFirst="0" w:colLast="0" w:name="_3gl25oe4tgqr" w:id="14"/>
      <w:bookmarkEnd w:id="14"/>
      <w:r w:rsidDel="00000000" w:rsidR="00000000" w:rsidRPr="00000000">
        <w:rPr>
          <w:rtl w:val="0"/>
        </w:rPr>
        <w:t xml:space="preserve">ДНК в постмитотических клетках</w:t>
      </w:r>
    </w:p>
    <w:p w:rsidR="00000000" w:rsidDel="00000000" w:rsidP="00000000" w:rsidRDefault="00000000" w:rsidRPr="00000000" w14:paraId="00000068">
      <w:pPr>
        <w:jc w:val="both"/>
        <w:rPr/>
      </w:pPr>
      <w:r w:rsidDel="00000000" w:rsidR="00000000" w:rsidRPr="00000000">
        <w:rPr>
          <w:rtl w:val="0"/>
        </w:rPr>
        <w:t xml:space="preserve">Постмитотические клетки, такие как нейроны и кардиомиоциты, утрачивают способность к делению после предтерминальной дифференцировки. Их ДНК не реплицируется, что делает репарационные механизмы единственной защитой от повреждений. С возрастом эффективность репарации снижается, приводя к накоплению мутаций, связанных с нейродегенерацией и старением (Lodato et al., 2018).</w:t>
      </w:r>
    </w:p>
    <w:p w:rsidR="00000000" w:rsidDel="00000000" w:rsidP="00000000" w:rsidRDefault="00000000" w:rsidRPr="00000000" w14:paraId="00000069">
      <w:pPr>
        <w:jc w:val="both"/>
        <w:rPr/>
      </w:pPr>
      <w:r w:rsidDel="00000000" w:rsidR="00000000" w:rsidRPr="00000000">
        <w:rPr>
          <w:rtl w:val="0"/>
        </w:rPr>
        <w:br w:type="textWrapping"/>
        <w:t xml:space="preserve">В отличие от пролиферирующих клеток, где ошибки репликации и репарации могут быть устранены в следующем цикле деления, постмитотические клетки зависят от систем эксцизионной репарации (NER, BER) и рекомбинации (Hoeijmakers, 2009). Однако длительная экспозиция к оксидативному стрессу и УФ-излучению превышает возможности этих систем (Maynard et al., 2015).</w:t>
      </w:r>
    </w:p>
    <w:p w:rsidR="00000000" w:rsidDel="00000000" w:rsidP="00000000" w:rsidRDefault="00000000" w:rsidRPr="00000000" w14:paraId="0000006A">
      <w:pPr>
        <w:jc w:val="both"/>
        <w:rPr/>
      </w:pPr>
      <w:r w:rsidDel="00000000" w:rsidR="00000000" w:rsidRPr="00000000">
        <w:rPr>
          <w:rtl w:val="0"/>
        </w:rPr>
        <w:br w:type="textWrapping"/>
        <w:t xml:space="preserve">Основные факторы — реактивные формы кислорода (РОС), образующиеся в митохондриях, и экзогенные агенты (УФ, химические канцерогены). РОС вызывают окисление оснований, разрывы цепей и сшивки ДНК-белок (Halliwell, 2013). Нейроны особенно уязвимы из-за высокого энергопотребления и слабой антиоксидантной защиты (Madabhushi et al., 2014).</w:t>
      </w:r>
    </w:p>
    <w:p w:rsidR="00000000" w:rsidDel="00000000" w:rsidP="00000000" w:rsidRDefault="00000000" w:rsidRPr="00000000" w14:paraId="0000006B">
      <w:pPr>
        <w:jc w:val="both"/>
        <w:rPr/>
      </w:pPr>
      <w:r w:rsidDel="00000000" w:rsidR="00000000" w:rsidRPr="00000000">
        <w:rPr>
          <w:rtl w:val="0"/>
        </w:rPr>
        <w:br w:type="textWrapping"/>
        <w:t xml:space="preserve">Исследования на моделях мышей показали, что активность ферментов BER (например, OGG1) снижается с возрастом (López-Otín et al., 2013). Накопление окисленных оснований (8-oxoG) нарушает транскрипцию и способствует апоптозу (Lu et al., 2004). В нейронах также наблюдается снижение экспрессии генов репарации, таких как XRCC1 и PARP1 (Fischer et al., 2016).</w:t>
      </w:r>
    </w:p>
    <w:p w:rsidR="00000000" w:rsidDel="00000000" w:rsidP="00000000" w:rsidRDefault="00000000" w:rsidRPr="00000000" w14:paraId="0000006C">
      <w:pPr>
        <w:jc w:val="both"/>
        <w:rPr/>
      </w:pPr>
      <w:r w:rsidDel="00000000" w:rsidR="00000000" w:rsidRPr="00000000">
        <w:rPr>
          <w:rtl w:val="0"/>
        </w:rPr>
        <w:br w:type="textWrapping"/>
        <w:t xml:space="preserve">Соматические мутации в нейронах коррелируют с болезнями Альцгеймера и Паркинсона (Jiang et al., 2017). В кардиомиоцитах накопление повреждений ДНК связывают с аритмиями и сердечной недостаточностью (Oh et al., 2020). Перспективные терапевтические подходы включают активацию репарационных ферментов (напр., NAD+-бустеры для стимуляции PARP1) и антиоксиданты (Verdin, 2015).</w:t>
      </w:r>
    </w:p>
    <w:p w:rsidR="00000000" w:rsidDel="00000000" w:rsidP="00000000" w:rsidRDefault="00000000" w:rsidRPr="00000000" w14:paraId="0000006D">
      <w:pPr>
        <w:pStyle w:val="Heading2"/>
        <w:jc w:val="both"/>
        <w:rPr/>
      </w:pPr>
      <w:bookmarkStart w:colFirst="0" w:colLast="0" w:name="_lt8x2sbf208t" w:id="15"/>
      <w:bookmarkEnd w:id="15"/>
      <w:r w:rsidDel="00000000" w:rsidR="00000000" w:rsidRPr="00000000">
        <w:rPr>
          <w:rtl w:val="0"/>
        </w:rPr>
        <w:t xml:space="preserve">Липофусцин</w:t>
      </w:r>
    </w:p>
    <w:p w:rsidR="00000000" w:rsidDel="00000000" w:rsidP="00000000" w:rsidRDefault="00000000" w:rsidRPr="00000000" w14:paraId="0000006E">
      <w:pPr>
        <w:jc w:val="both"/>
        <w:rPr/>
      </w:pPr>
      <w:r w:rsidDel="00000000" w:rsidR="00000000" w:rsidRPr="00000000">
        <w:rPr>
          <w:rtl w:val="0"/>
        </w:rPr>
        <w:t xml:space="preserve">Липофусцин, известный как «пигмент старения», представляет собой гетерогенные гранулы, накапливающиеся в лизосомах постмитотических клеток (нейроны, кардиомиоциты). Он состоит из окисленных липидов, белков и металлов, образуясь в результате аутофагической переработки поврежденных органелл (Terman &amp; Brunk, 2004).</w:t>
      </w:r>
    </w:p>
    <w:p w:rsidR="00000000" w:rsidDel="00000000" w:rsidP="00000000" w:rsidRDefault="00000000" w:rsidRPr="00000000" w14:paraId="0000006F">
      <w:pPr>
        <w:jc w:val="both"/>
        <w:rPr/>
      </w:pPr>
      <w:r w:rsidDel="00000000" w:rsidR="00000000" w:rsidRPr="00000000">
        <w:rPr>
          <w:rtl w:val="0"/>
        </w:rPr>
        <w:br w:type="textWrapping"/>
        <w:t xml:space="preserve">Липофусцин генерируется при пероксидации липидов мембран митохондрий и эндоплазматического ретикулума. Накопление усиливается при дисфункции лизосомальных ферментов (например, катепсинов), которые не способны расщеплять сшитые полимеры (Jung et al., 2007). Железо и медь в составе пигмента катализируют реакции Фентона, усугубляя окислительный стресс (Kurz et al., 2008).</w:t>
      </w:r>
    </w:p>
    <w:p w:rsidR="00000000" w:rsidDel="00000000" w:rsidP="00000000" w:rsidRDefault="00000000" w:rsidRPr="00000000" w14:paraId="00000070">
      <w:pPr>
        <w:jc w:val="both"/>
        <w:rPr/>
      </w:pPr>
      <w:r w:rsidDel="00000000" w:rsidR="00000000" w:rsidRPr="00000000">
        <w:rPr>
          <w:rtl w:val="0"/>
        </w:rPr>
        <w:br w:type="textWrapping"/>
        <w:t xml:space="preserve">Липофусцин занимает объем лизосом, нарушая аутофагию — процесс деградации поврежденных органелл (Brunk &amp; Terman, 2002). Это приводит к накоплению дефектных митохондрий, повышению уровня РОС и активации апоптоза (Höhn &amp; Grune, 2013). В нейронах липофусцин ассоциирован с липофусцинозами (наследственные болезни накопления) и болезнью Альцгеймера (Nixon, 2013).</w:t>
      </w:r>
    </w:p>
    <w:p w:rsidR="00000000" w:rsidDel="00000000" w:rsidP="00000000" w:rsidRDefault="00000000" w:rsidRPr="00000000" w14:paraId="00000071">
      <w:pPr>
        <w:jc w:val="both"/>
        <w:rPr/>
      </w:pPr>
      <w:r w:rsidDel="00000000" w:rsidR="00000000" w:rsidRPr="00000000">
        <w:rPr>
          <w:rtl w:val="0"/>
        </w:rPr>
        <w:br w:type="textWrapping"/>
        <w:t xml:space="preserve">Уровень липофусцина коррелирует с возрастом и используется как биомаркер старения (Moreno-García et al., 2018). В кардиомиоцитах его накопление связывают с аритмогенной кардиомиопатией, а в сетчатке — с возрастной макулярной дегенерацией (AMD) (Sparrow et al., 2012).</w:t>
      </w:r>
    </w:p>
    <w:p w:rsidR="00000000" w:rsidDel="00000000" w:rsidP="00000000" w:rsidRDefault="00000000" w:rsidRPr="00000000" w14:paraId="00000072">
      <w:pPr>
        <w:jc w:val="both"/>
        <w:rPr/>
      </w:pPr>
      <w:r w:rsidDel="00000000" w:rsidR="00000000" w:rsidRPr="00000000">
        <w:rPr>
          <w:rtl w:val="0"/>
        </w:rPr>
        <w:br w:type="textWrapping"/>
        <w:t xml:space="preserve">Подавление образования липофусцина включает антиоксиданты (витамин Е, мелатонин) и хелаторы металлов (дефероксамин) (Riga et al., 2016). Перспективно направление на активацию лизосомальной функции через TFEB-зависимые пути (Sardiello et al., 2009).</w:t>
      </w:r>
    </w:p>
    <w:p w:rsidR="00000000" w:rsidDel="00000000" w:rsidP="00000000" w:rsidRDefault="00000000" w:rsidRPr="00000000" w14:paraId="00000073">
      <w:pPr>
        <w:pStyle w:val="Heading1"/>
        <w:jc w:val="both"/>
        <w:rPr/>
      </w:pPr>
      <w:bookmarkStart w:colFirst="0" w:colLast="0" w:name="_dte2a1llx39h" w:id="16"/>
      <w:bookmarkEnd w:id="16"/>
      <w:r w:rsidDel="00000000" w:rsidR="00000000" w:rsidRPr="00000000">
        <w:rPr>
          <w:rtl w:val="0"/>
        </w:rPr>
        <w:t xml:space="preserve">Долговечные невосстанавливаемые органоиды</w:t>
      </w:r>
    </w:p>
    <w:p w:rsidR="00000000" w:rsidDel="00000000" w:rsidP="00000000" w:rsidRDefault="00000000" w:rsidRPr="00000000" w14:paraId="00000074">
      <w:pPr>
        <w:pStyle w:val="Heading2"/>
        <w:jc w:val="both"/>
        <w:rPr/>
      </w:pPr>
      <w:bookmarkStart w:colFirst="0" w:colLast="0" w:name="_4dsak6ito52d" w:id="17"/>
      <w:bookmarkEnd w:id="17"/>
      <w:r w:rsidDel="00000000" w:rsidR="00000000" w:rsidRPr="00000000">
        <w:rPr>
          <w:rtl w:val="0"/>
        </w:rPr>
        <w:t xml:space="preserve">Митохондрии в нейронах и кардиомиоцитах</w:t>
      </w:r>
    </w:p>
    <w:p w:rsidR="00000000" w:rsidDel="00000000" w:rsidP="00000000" w:rsidRDefault="00000000" w:rsidRPr="00000000" w14:paraId="00000075">
      <w:pPr>
        <w:jc w:val="both"/>
        <w:rPr/>
      </w:pPr>
      <w:r w:rsidDel="00000000" w:rsidR="00000000" w:rsidRPr="00000000">
        <w:rPr>
          <w:rtl w:val="0"/>
        </w:rPr>
        <w:t xml:space="preserve">Митохондрии, отвечающие за энергопродукцию, в постмитотических клетках (нейроны, кардиомиоциты) обновляются крайне медленно. Их дисфункция связана с нейродегенеративными заболеваниями, старением и сердечной недостаточностью (Pickrell &amp; Youle, 2015).</w:t>
      </w:r>
    </w:p>
    <w:p w:rsidR="00000000" w:rsidDel="00000000" w:rsidP="00000000" w:rsidRDefault="00000000" w:rsidRPr="00000000" w14:paraId="00000076">
      <w:pPr>
        <w:jc w:val="both"/>
        <w:rPr/>
      </w:pPr>
      <w:r w:rsidDel="00000000" w:rsidR="00000000" w:rsidRPr="00000000">
        <w:rPr>
          <w:rtl w:val="0"/>
        </w:rPr>
        <w:br w:type="textWrapping"/>
        <w:t xml:space="preserve">Митохондрии в этих клетках имеют высокую плотность крист для поддержания АТФ-синтеза. Однако их динамика (баланс фузии и фиссии) нарушается с возрастом, что приводит к фрагментации сети и снижению эффективности окислительного фосфорилирования (Gomes et al., 2011). В кардиомиоцитах митохондрии составляют до 30% клеточного объема, что делает их уязвимыми к накоплению мутаций мтДНК (Ross et al., 2013).</w:t>
      </w:r>
    </w:p>
    <w:p w:rsidR="00000000" w:rsidDel="00000000" w:rsidP="00000000" w:rsidRDefault="00000000" w:rsidRPr="00000000" w14:paraId="00000077">
      <w:pPr>
        <w:jc w:val="both"/>
        <w:rPr/>
      </w:pPr>
      <w:r w:rsidDel="00000000" w:rsidR="00000000" w:rsidRPr="00000000">
        <w:rPr>
          <w:rtl w:val="0"/>
        </w:rPr>
        <w:br w:type="textWrapping"/>
        <w:t xml:space="preserve">Из-за постоянной генерации реактивных форм кислорода (РОС) митохондриальная ДНК (мтДНК) мутирует в 10–20 раз чаще ядерной (Bratic &amp; Larsson, 2013). Дефектные митохондрии не удаляются своевременно, так как аутофагия (митофагия) в постмитотических клетках замедляется с возрастом (Sun et al., 2015). Например, в нейронах при болезни Паркинсона мутации в генах PINK1 и Parkin нарушают маркировку поврежденных органелл для деградации (Narendra et al., 2008).</w:t>
      </w:r>
    </w:p>
    <w:p w:rsidR="00000000" w:rsidDel="00000000" w:rsidP="00000000" w:rsidRDefault="00000000" w:rsidRPr="00000000" w14:paraId="00000078">
      <w:pPr>
        <w:jc w:val="both"/>
        <w:rPr/>
      </w:pPr>
      <w:r w:rsidDel="00000000" w:rsidR="00000000" w:rsidRPr="00000000">
        <w:rPr>
          <w:rtl w:val="0"/>
        </w:rPr>
        <w:br w:type="textWrapping"/>
        <w:t xml:space="preserve">Накопление дефектных митохондрий в дофаминовых нейронах связано с окислительным стрессом и гибелью клеток при болезни Паркинсона (Surmeier et al., 2017). В кардиомиоцитах дисфункция митохондрий приводит к аритмиям и снижению сократимости из-за дефицита АТФ (Brown et al., 2017).</w:t>
      </w:r>
    </w:p>
    <w:p w:rsidR="00000000" w:rsidDel="00000000" w:rsidP="00000000" w:rsidRDefault="00000000" w:rsidRPr="00000000" w14:paraId="00000079">
      <w:pPr>
        <w:jc w:val="both"/>
        <w:rPr/>
      </w:pPr>
      <w:r w:rsidDel="00000000" w:rsidR="00000000" w:rsidRPr="00000000">
        <w:rPr>
          <w:rtl w:val="0"/>
        </w:rPr>
        <w:br w:type="textWrapping"/>
        <w:t xml:space="preserve">Перспективны подходы, направленные на улучшение митофагии (например, активация AMPK) и снижение окислительного стресса (антиоксиданты митохондриального таргетинга, такие как MitoQ) (Murphy &amp; Hartley, 2018). Генная терапия для коррекции мутаций мтДНК также исследуется (Gammage et al., 2018).</w:t>
      </w:r>
    </w:p>
    <w:p w:rsidR="00000000" w:rsidDel="00000000" w:rsidP="00000000" w:rsidRDefault="00000000" w:rsidRPr="00000000" w14:paraId="0000007A">
      <w:pPr>
        <w:pStyle w:val="Heading2"/>
        <w:jc w:val="both"/>
        <w:rPr/>
      </w:pPr>
      <w:bookmarkStart w:colFirst="0" w:colLast="0" w:name="_7hprwhlaryx" w:id="18"/>
      <w:bookmarkEnd w:id="18"/>
      <w:r w:rsidDel="00000000" w:rsidR="00000000" w:rsidRPr="00000000">
        <w:rPr>
          <w:rtl w:val="0"/>
        </w:rPr>
        <w:t xml:space="preserve">Ядра в постмитотических клетках</w:t>
      </w:r>
    </w:p>
    <w:p w:rsidR="00000000" w:rsidDel="00000000" w:rsidP="00000000" w:rsidRDefault="00000000" w:rsidRPr="00000000" w14:paraId="0000007B">
      <w:pPr>
        <w:jc w:val="both"/>
        <w:rPr/>
      </w:pPr>
      <w:r w:rsidDel="00000000" w:rsidR="00000000" w:rsidRPr="00000000">
        <w:rPr>
          <w:rtl w:val="0"/>
        </w:rPr>
        <w:t xml:space="preserve">Ядра нейронов и других неделящихся клеток не подвергаются репликации, что делает их компоненты (ядерные поры, ламина) подверженными возрастным повреждениям (D’Angelo et al., 2009).</w:t>
      </w:r>
    </w:p>
    <w:p w:rsidR="00000000" w:rsidDel="00000000" w:rsidP="00000000" w:rsidRDefault="00000000" w:rsidRPr="00000000" w14:paraId="0000007C">
      <w:pPr>
        <w:jc w:val="both"/>
        <w:rPr/>
      </w:pPr>
      <w:r w:rsidDel="00000000" w:rsidR="00000000" w:rsidRPr="00000000">
        <w:rPr>
          <w:rtl w:val="0"/>
        </w:rPr>
        <w:br w:type="textWrapping"/>
        <w:t xml:space="preserve">Ядерная ламина, состоящая из белков ламинов, обеспечивает механическую стабильность и организацию хроматина (Gruenbaum &amp; Foisner, 2015). Ядерные поровые комплексы (NPCs) регулируют транспорт молекул между цитоплазмой и ядром. В нейронах NPCs содержат белки, такие как Nup107 и Nup133, которые почти не обновляются (Savas et al., 2012).</w:t>
      </w:r>
    </w:p>
    <w:p w:rsidR="00000000" w:rsidDel="00000000" w:rsidP="00000000" w:rsidRDefault="00000000" w:rsidRPr="00000000" w14:paraId="0000007D">
      <w:pPr>
        <w:jc w:val="both"/>
        <w:rPr/>
      </w:pPr>
      <w:r w:rsidDel="00000000" w:rsidR="00000000" w:rsidRPr="00000000">
        <w:rPr>
          <w:rtl w:val="0"/>
        </w:rPr>
        <w:br w:type="textWrapping"/>
        <w:t xml:space="preserve">С возрастом ламины накапливают окислительные модификации и сшивки, что приводит к фрагментации ядерной оболочки (Hernandez et al., 2010). Мутации в гене LMNA, кодирующем ламин А, вызывают прогерию — синдром ускоренного старения (Scaffidi &amp; Misteli, 2006). В нейронах дисфункция NPCs нарушает транспорт РНК и белков, способствуя нейродегенерации (Grima et al., 2017).</w:t>
      </w:r>
    </w:p>
    <w:p w:rsidR="00000000" w:rsidDel="00000000" w:rsidP="00000000" w:rsidRDefault="00000000" w:rsidRPr="00000000" w14:paraId="0000007E">
      <w:pPr>
        <w:jc w:val="both"/>
        <w:rPr/>
      </w:pPr>
      <w:r w:rsidDel="00000000" w:rsidR="00000000" w:rsidRPr="00000000">
        <w:rPr>
          <w:rtl w:val="0"/>
        </w:rPr>
        <w:br w:type="textWrapping"/>
        <w:t xml:space="preserve">Нарушение целостности ядерной оболочки активирует пути стрессового ответа, включая p53-зависимый апоптоз (Ivanov et al., 2013). В болезни Альцгеймера агрегаты тау-белка нарушают взаимодействие ламинов с хроматином, усиливая транскрипционный хаос (Frost et al., 2014).</w:t>
      </w:r>
    </w:p>
    <w:p w:rsidR="00000000" w:rsidDel="00000000" w:rsidP="00000000" w:rsidRDefault="00000000" w:rsidRPr="00000000" w14:paraId="0000007F">
      <w:pPr>
        <w:jc w:val="both"/>
        <w:rPr/>
      </w:pPr>
      <w:r w:rsidDel="00000000" w:rsidR="00000000" w:rsidRPr="00000000">
        <w:rPr>
          <w:rtl w:val="0"/>
        </w:rPr>
        <w:br w:type="textWrapping"/>
        <w:t xml:space="preserve">Исследуются ингибиторы фарнезилтрансферазы для коррекции дефектов ламина при прогерии (Capell et al., 2005). Также перспективны антиоксиданты, замедляющие окисление ядерных белков (Höhn et al., 2017).</w:t>
      </w:r>
    </w:p>
    <w:p w:rsidR="00000000" w:rsidDel="00000000" w:rsidP="00000000" w:rsidRDefault="00000000" w:rsidRPr="00000000" w14:paraId="00000080">
      <w:pPr>
        <w:pStyle w:val="Heading2"/>
        <w:jc w:val="both"/>
        <w:rPr/>
      </w:pPr>
      <w:bookmarkStart w:colFirst="0" w:colLast="0" w:name="_i8ynf98ahc45" w:id="19"/>
      <w:bookmarkEnd w:id="19"/>
      <w:r w:rsidDel="00000000" w:rsidR="00000000" w:rsidRPr="00000000">
        <w:rPr>
          <w:rtl w:val="0"/>
        </w:rPr>
        <w:t xml:space="preserve">Реснички в фоторецепторах сетчатки</w:t>
      </w:r>
    </w:p>
    <w:p w:rsidR="00000000" w:rsidDel="00000000" w:rsidP="00000000" w:rsidRDefault="00000000" w:rsidRPr="00000000" w14:paraId="00000081">
      <w:pPr>
        <w:jc w:val="both"/>
        <w:rPr/>
      </w:pPr>
      <w:r w:rsidDel="00000000" w:rsidR="00000000" w:rsidRPr="00000000">
        <w:rPr>
          <w:rtl w:val="0"/>
        </w:rPr>
        <w:t xml:space="preserve">Фоторецепторные реснички — специализированные органеллы, отвечающие за преобразование света в нервные сигналы. Их неспособность к регенерации при повреждении приводит к необратимой потере зрения (Wheway et al., 2018).</w:t>
      </w:r>
    </w:p>
    <w:p w:rsidR="00000000" w:rsidDel="00000000" w:rsidP="00000000" w:rsidRDefault="00000000" w:rsidRPr="00000000" w14:paraId="00000082">
      <w:pPr>
        <w:jc w:val="both"/>
        <w:rPr/>
      </w:pPr>
      <w:r w:rsidDel="00000000" w:rsidR="00000000" w:rsidRPr="00000000">
        <w:rPr>
          <w:rtl w:val="0"/>
        </w:rPr>
        <w:br w:type="textWrapping"/>
        <w:t xml:space="preserve">Реснички содержат аксонему из микротрубочек (структура 9+0) и транспортные системы (IFT-комплексы) для доставки белков (Pazour &amp; Witman, 2003). В наружном сегменте фоторецепторов диски с родопсином обновляются, но базальная часть реснички остается стабильной (Insinna &amp; Besharse, 2008).</w:t>
      </w:r>
    </w:p>
    <w:p w:rsidR="00000000" w:rsidDel="00000000" w:rsidP="00000000" w:rsidRDefault="00000000" w:rsidRPr="00000000" w14:paraId="00000083">
      <w:pPr>
        <w:jc w:val="both"/>
        <w:rPr/>
      </w:pPr>
      <w:r w:rsidDel="00000000" w:rsidR="00000000" w:rsidRPr="00000000">
        <w:rPr>
          <w:rtl w:val="0"/>
        </w:rPr>
        <w:br w:type="textWrapping"/>
        <w:t xml:space="preserve">Мутации в генах, кодирующих белки ресничек (например, RPGR, CEP290), нарушают транспорт родопсина и вызывают пигментный ретинит (Hartong et al., 2006). Окислительный стресс ускоряет дегенерацию аксонемы, особенно при возрастной макулярной дегенерации (AMD) (Kaarniranta et al., 2020).</w:t>
      </w:r>
    </w:p>
    <w:p w:rsidR="00000000" w:rsidDel="00000000" w:rsidP="00000000" w:rsidRDefault="00000000" w:rsidRPr="00000000" w14:paraId="00000084">
      <w:pPr>
        <w:jc w:val="both"/>
        <w:rPr/>
      </w:pPr>
      <w:r w:rsidDel="00000000" w:rsidR="00000000" w:rsidRPr="00000000">
        <w:rPr>
          <w:rtl w:val="0"/>
        </w:rPr>
        <w:br w:type="textWrapping"/>
        <w:t xml:space="preserve">Потеря ресничек фоторецепторов — ключевая причина наследственных ретинальных дистрофий, таких как болезнь Штаргардта (Molday et al., 2015). При AMD накопление липофусцина в пигментном эпителии сетчатки (RPE) нарушает метаболизм ресничек (Sparrow et al., 2012).</w:t>
      </w:r>
    </w:p>
    <w:p w:rsidR="00000000" w:rsidDel="00000000" w:rsidP="00000000" w:rsidRDefault="00000000" w:rsidRPr="00000000" w14:paraId="00000085">
      <w:pPr>
        <w:jc w:val="both"/>
        <w:rPr/>
      </w:pPr>
      <w:r w:rsidDel="00000000" w:rsidR="00000000" w:rsidRPr="00000000">
        <w:rPr>
          <w:rtl w:val="0"/>
        </w:rPr>
        <w:br w:type="textWrapping"/>
        <w:t xml:space="preserve">Генная терапия (например, voretigene neparvovec для RPE65) восстанавливает функцию ресничек (Russell et al., 2017). Перспективны CRISPR-коррекция мутаций и защита от окислительного стресса с помощью антиоксидантов (например, лютеин) (Burnight et al., 2017).</w:t>
      </w:r>
    </w:p>
    <w:p w:rsidR="00000000" w:rsidDel="00000000" w:rsidP="00000000" w:rsidRDefault="00000000" w:rsidRPr="00000000" w14:paraId="00000086">
      <w:pPr>
        <w:pStyle w:val="Heading2"/>
        <w:jc w:val="both"/>
        <w:rPr/>
      </w:pPr>
      <w:bookmarkStart w:colFirst="0" w:colLast="0" w:name="_o45b5uctzska" w:id="20"/>
      <w:bookmarkEnd w:id="20"/>
      <w:r w:rsidDel="00000000" w:rsidR="00000000" w:rsidRPr="00000000">
        <w:rPr>
          <w:rtl w:val="0"/>
        </w:rPr>
        <w:t xml:space="preserve">Центриоли избирательно наследуются и абсолютно не восстанавливаются</w:t>
      </w:r>
    </w:p>
    <w:p w:rsidR="00000000" w:rsidDel="00000000" w:rsidP="00000000" w:rsidRDefault="00000000" w:rsidRPr="00000000" w14:paraId="00000087">
      <w:pPr>
        <w:jc w:val="both"/>
        <w:rPr/>
      </w:pPr>
      <w:r w:rsidDel="00000000" w:rsidR="00000000" w:rsidRPr="00000000">
        <w:rPr>
          <w:rtl w:val="0"/>
        </w:rPr>
        <w:t xml:space="preserve">Если выше перечисленные молекулы и органоиды практически, то есть относительно не восстанавливаются, то центриоли по пока еще непонятным причинам, абсолютно не подвержены восстановлению. Это цилиндрические структуры из микротрубочек, играющие ключевую роль в асимметрии молекулярного состава полюсов деления и формировании ресничек. В постмитотических и стволовых клетках они абсолютно не обновляются. Их избирательное наследование в большинстве систем асимметричных делений влияет на судьбу дочерних клеток и тканевое старение (Wang et al., 2021). Новые центриоли наследуют те дочерние клетки, которые встают на путь дифференциации - то есть предковые клетки для недолго живущих и, реже, постмитотических клеток.</w:t>
      </w:r>
    </w:p>
    <w:p w:rsidR="00000000" w:rsidDel="00000000" w:rsidP="00000000" w:rsidRDefault="00000000" w:rsidRPr="00000000" w14:paraId="00000088">
      <w:pPr>
        <w:jc w:val="both"/>
        <w:rPr/>
      </w:pPr>
      <w:r w:rsidDel="00000000" w:rsidR="00000000" w:rsidRPr="00000000">
        <w:rPr>
          <w:rtl w:val="0"/>
        </w:rPr>
        <w:br w:type="textWrapping"/>
        <w:t xml:space="preserve">Центриоли состоят из девяти триплетов микротрубочек, стабилизированных белками (например, SAS-6, CEP135). В неделящихся клетках они служат базальными телами для первичных ресничек, регулирующих сигнальные пути (Hedgehog, Wnt) (Fu et al., 2015). В стволовых клетках центриоли демонстрируют удивительную долговечность — некоторые сохраняются на протяжении всего жизненного цикла организма (Bazzi &amp; Anderson, 2014).</w:t>
      </w:r>
    </w:p>
    <w:p w:rsidR="00000000" w:rsidDel="00000000" w:rsidP="00000000" w:rsidRDefault="00000000" w:rsidRPr="00000000" w14:paraId="00000089">
      <w:pPr>
        <w:jc w:val="both"/>
        <w:rPr/>
      </w:pPr>
      <w:r w:rsidDel="00000000" w:rsidR="00000000" w:rsidRPr="00000000">
        <w:rPr>
          <w:rtl w:val="0"/>
        </w:rPr>
        <w:br w:type="textWrapping"/>
        <w:t xml:space="preserve">При асимметричном делении стволовых клеток (например, нейральных или эпителиальных) «старые» материнские центриоли наследуются клеткой, сохраняющей стволовые свойства, а «новые» дочерние центриоли направляются в дифференцирующуюся клетку (Pazour &amp; Witman, 2003). Это разделение обеспечивается регуляторными белками, такими как POC1 и CEP120, которые маркируют возраст центриолей (Ye et al., 2021). Эксперименты на дрозофиле показали, что клетки, получившие старые центриоли, демонстрируют повышенную устойчивость к стрессу и замедленное старение (Rogers &amp; Rogers, 2008).</w:t>
      </w:r>
    </w:p>
    <w:p w:rsidR="00000000" w:rsidDel="00000000" w:rsidP="00000000" w:rsidRDefault="00000000" w:rsidRPr="00000000" w14:paraId="0000008A">
      <w:pPr>
        <w:jc w:val="both"/>
        <w:rPr/>
      </w:pPr>
      <w:r w:rsidDel="00000000" w:rsidR="00000000" w:rsidRPr="00000000">
        <w:rPr>
          <w:rtl w:val="0"/>
        </w:rPr>
        <w:br w:type="textWrapping"/>
        <w:t xml:space="preserve">Поскольку центриоли не восстанавливаются, их компоненты накапливают окислительные повреждения и посттрансляционные модификации. Например, карбонилирование белков центросомы нарушает сборку микротрубочек, что связывают с анеуплоидией и возрастным снижением регенерации тканей (Löhr et al., 2017). В нейронах дефектные центриоли ассоциированы с потерей первичных ресничек и нарушением сигнальных путей, что наблюдается при болезни Альцгеймера (Guemez-Gamboa et al., 2014).</w:t>
      </w:r>
    </w:p>
    <w:p w:rsidR="00000000" w:rsidDel="00000000" w:rsidP="00000000" w:rsidRDefault="00000000" w:rsidRPr="00000000" w14:paraId="0000008B">
      <w:pPr>
        <w:jc w:val="both"/>
        <w:rPr/>
      </w:pPr>
      <w:r w:rsidDel="00000000" w:rsidR="00000000" w:rsidRPr="00000000">
        <w:rPr>
          <w:rtl w:val="0"/>
        </w:rPr>
        <w:br w:type="textWrapping"/>
        <w:t xml:space="preserve">Дисфункция центриолей связана с прогерией, нейродегенерацией и раком. Мутации в генах центросомных белков (PLK4, CEP152) вызывают микроцефалию и дефекты развития (Nigg &amp; Holland, 2018). Со временем в стволовых клетках накопление поврежденных центриолей снижает способность к асимметричному делению, приводя к истощению пула стволовых клеток (Liang et al., 2020), снижается темп их деления.</w:t>
      </w:r>
    </w:p>
    <w:p w:rsidR="00000000" w:rsidDel="00000000" w:rsidP="00000000" w:rsidRDefault="00000000" w:rsidRPr="00000000" w14:paraId="0000008C">
      <w:pPr>
        <w:jc w:val="both"/>
        <w:rPr/>
      </w:pPr>
      <w:r w:rsidDel="00000000" w:rsidR="00000000" w:rsidRPr="00000000">
        <w:rPr>
          <w:rtl w:val="0"/>
        </w:rPr>
        <w:br w:type="textWrapping"/>
        <w:t xml:space="preserve">Перспективны подходы, направленные на стабилизацию центриолей через ингибиторы окислительного стресса (например, N-ацетилцистеин) и модуляцию белков, регулирующих их наследование (Choi et al., 2020). Также исследуется редактирование генов центросомных компонентов с помощью CRISPR/Cas9 (Zhong et al., 2022). Но исходя из влияния центриолей на все признаки старения, а опасности малигнизации при воздействии на них, скорее всего потребуется создавать центриоли de novo в стволовых клетках, чтобы восстановить их темп деления и функции, влияющие на активность ДНК, РНК и белков клетки. Следует отметить. Что как только центриоли выполнят свою основную функцию - ассиметричное распределение молекул в полюсах деления, клетка или избавляется от них элиминацией (например, в ооцитах) или инактивирует их (например, в  нейронах). Но в стволовых клетках, которые являются основой самовосстановления тканей, центриоли никогда не элиминируются или инактивируются- не смотря на то, что в большинстве систем асимметричных делений происходит избирательное накопление старых центриолей в дочерних клетках, сохраняющих стволовость.</w:t>
      </w:r>
    </w:p>
    <w:p w:rsidR="00000000" w:rsidDel="00000000" w:rsidP="00000000" w:rsidRDefault="00000000" w:rsidRPr="00000000" w14:paraId="0000008D">
      <w:pPr>
        <w:pStyle w:val="Heading1"/>
        <w:jc w:val="both"/>
        <w:rPr/>
      </w:pPr>
      <w:bookmarkStart w:colFirst="0" w:colLast="0" w:name="_tirpfhzer440" w:id="21"/>
      <w:bookmarkEnd w:id="21"/>
      <w:r w:rsidDel="00000000" w:rsidR="00000000" w:rsidRPr="00000000">
        <w:rPr>
          <w:rtl w:val="0"/>
        </w:rPr>
        <w:t xml:space="preserve">Долговечные невосстанавливаемые ткани</w:t>
      </w:r>
    </w:p>
    <w:p w:rsidR="00000000" w:rsidDel="00000000" w:rsidP="00000000" w:rsidRDefault="00000000" w:rsidRPr="00000000" w14:paraId="0000008E">
      <w:pPr>
        <w:pStyle w:val="Heading2"/>
        <w:jc w:val="both"/>
        <w:rPr/>
      </w:pPr>
      <w:bookmarkStart w:colFirst="0" w:colLast="0" w:name="_k9q91kkmbffg" w:id="22"/>
      <w:bookmarkEnd w:id="22"/>
      <w:r w:rsidDel="00000000" w:rsidR="00000000" w:rsidRPr="00000000">
        <w:rPr>
          <w:rtl w:val="0"/>
        </w:rPr>
        <w:t xml:space="preserve">Хрусталик глаза</w:t>
      </w:r>
    </w:p>
    <w:p w:rsidR="00000000" w:rsidDel="00000000" w:rsidP="00000000" w:rsidRDefault="00000000" w:rsidRPr="00000000" w14:paraId="0000008F">
      <w:pPr>
        <w:jc w:val="both"/>
        <w:rPr/>
      </w:pPr>
      <w:r w:rsidDel="00000000" w:rsidR="00000000" w:rsidRPr="00000000">
        <w:rPr>
          <w:rtl w:val="0"/>
        </w:rPr>
        <w:t xml:space="preserve">Хрусталик глаза — уникальная прозрачная структура, фокусирующая свет на сетчатку. Его клетки (лентикулоциты) в процессе развития теряют ядра и органеллы, а долговечные белки кристаллины обеспечивают оптические свойства на протяжении всей жизни. Накопление повреждений в этих белках — ключевой фактор развития катаракты (Bassnett et al., 2011).</w:t>
      </w:r>
    </w:p>
    <w:p w:rsidR="00000000" w:rsidDel="00000000" w:rsidP="00000000" w:rsidRDefault="00000000" w:rsidRPr="00000000" w14:paraId="00000090">
      <w:pPr>
        <w:jc w:val="both"/>
        <w:rPr/>
      </w:pPr>
      <w:r w:rsidDel="00000000" w:rsidR="00000000" w:rsidRPr="00000000">
        <w:rPr>
          <w:rtl w:val="0"/>
        </w:rPr>
        <w:br w:type="textWrapping"/>
        <w:t xml:space="preserve">Хрусталик состоит из внешнего слоя эпителиальных клеток и внутреннего кортекса, где клетки дифференцируются в волокна, теряя митохондрии, ядра и другие органеллы. Этот процесс минимизирует светорассеяние (Shi et al., 2015). Основные структурные белки — α-, β- и γ-кристаллины — составляют до 90% растворимой фракции хрусталика и формируют плотную, упорядоченную структуру (Slingsby &amp; Wistow, 2014).</w:t>
      </w:r>
    </w:p>
    <w:p w:rsidR="00000000" w:rsidDel="00000000" w:rsidP="00000000" w:rsidRDefault="00000000" w:rsidRPr="00000000" w14:paraId="00000091">
      <w:pPr>
        <w:jc w:val="both"/>
        <w:rPr/>
      </w:pPr>
      <w:r w:rsidDel="00000000" w:rsidR="00000000" w:rsidRPr="00000000">
        <w:rPr>
          <w:rtl w:val="0"/>
        </w:rPr>
        <w:br w:type="textWrapping"/>
        <w:t xml:space="preserve">Кристаллины синтезируются на эмбриональной стадии и практически не обновляются. Их стабильность зависит от шаперонной активности α-кристаллинов, предотвращающих агрегацию (Horwitz, 2003). Однако с возрастом окисление, дезамидирование и гликирование нарушают структуру белков. Например, окисление метионина в γ-кристаллинах приводит к денатурации и образованию нерастворимых агрегатов (Truscott, 2005).</w:t>
      </w:r>
    </w:p>
    <w:p w:rsidR="00000000" w:rsidDel="00000000" w:rsidP="00000000" w:rsidRDefault="00000000" w:rsidRPr="00000000" w14:paraId="00000092">
      <w:pPr>
        <w:jc w:val="both"/>
        <w:rPr/>
      </w:pPr>
      <w:r w:rsidDel="00000000" w:rsidR="00000000" w:rsidRPr="00000000">
        <w:rPr>
          <w:rtl w:val="0"/>
        </w:rPr>
        <w:br w:type="textWrapping"/>
        <w:t xml:space="preserve">Помутнение хрусталика (катаракта) — ведущая причина слепоты. У 50% людей старше 80 лет наблюдаются клинически значимые изменения (Asbell et al., 2005). УФ-излучение и курение ускоряют окислительный стресс, повышая риск заболевания (Varma et al., 2017).</w:t>
      </w:r>
    </w:p>
    <w:p w:rsidR="00000000" w:rsidDel="00000000" w:rsidP="00000000" w:rsidRDefault="00000000" w:rsidRPr="00000000" w14:paraId="00000093">
      <w:pPr>
        <w:jc w:val="both"/>
        <w:rPr/>
      </w:pPr>
      <w:r w:rsidDel="00000000" w:rsidR="00000000" w:rsidRPr="00000000">
        <w:rPr>
          <w:rtl w:val="0"/>
        </w:rPr>
        <w:br w:type="textWrapping"/>
        <w:t xml:space="preserve">Хирургическая замена хрусталика остается основным методом лечения. Однако исследуются препараты, замедляющие агрегацию кристаллинов, например, соединения, имитирующие шаперонную активность (Makley et al., 2015). Также изучается роль антиоксидантов (лютеин, витамин Е) в профилактике (Weikel et al., 2014).</w:t>
      </w:r>
    </w:p>
    <w:p w:rsidR="00000000" w:rsidDel="00000000" w:rsidP="00000000" w:rsidRDefault="00000000" w:rsidRPr="00000000" w14:paraId="00000094">
      <w:pPr>
        <w:pStyle w:val="Heading2"/>
        <w:jc w:val="both"/>
        <w:rPr/>
      </w:pPr>
      <w:bookmarkStart w:colFirst="0" w:colLast="0" w:name="_rz46h21589n4" w:id="23"/>
      <w:bookmarkEnd w:id="23"/>
      <w:r w:rsidDel="00000000" w:rsidR="00000000" w:rsidRPr="00000000">
        <w:rPr>
          <w:rtl w:val="0"/>
        </w:rPr>
        <w:t xml:space="preserve">Ооциты у женщин</w:t>
      </w:r>
    </w:p>
    <w:p w:rsidR="00000000" w:rsidDel="00000000" w:rsidP="00000000" w:rsidRDefault="00000000" w:rsidRPr="00000000" w14:paraId="00000095">
      <w:pPr>
        <w:jc w:val="both"/>
        <w:rPr/>
      </w:pPr>
      <w:r w:rsidDel="00000000" w:rsidR="00000000" w:rsidRPr="00000000">
        <w:rPr>
          <w:rtl w:val="0"/>
        </w:rPr>
        <w:t xml:space="preserve">Ооциты — женские половые клетки, формирующиеся на эмбриональной стадии и сохраняющиеся в яичниках до репродуктивного возраста. Их неспособность к обновлению делает их уязвимыми к накоплению повреждений, что снижает фертильность и повышает риск анеуплоидии (Titus et al., 2013).</w:t>
      </w:r>
    </w:p>
    <w:p w:rsidR="00000000" w:rsidDel="00000000" w:rsidP="00000000" w:rsidRDefault="00000000" w:rsidRPr="00000000" w14:paraId="00000096">
      <w:pPr>
        <w:jc w:val="both"/>
        <w:rPr/>
      </w:pPr>
      <w:r w:rsidDel="00000000" w:rsidR="00000000" w:rsidRPr="00000000">
        <w:rPr>
          <w:rtl w:val="0"/>
        </w:rPr>
        <w:br w:type="textWrapping"/>
        <w:t xml:space="preserve">Ооциты образуются в ходе оогенеза на 20-й неделе внутриутробного развития и останавливаются в профазе мейоза I до полового созревания. К моменту рождения девочки в её яичниках содержится около 1–2 миллионов ооцитов, но к менопаузе их число сокращается до 1000 (Wallace &amp; Kelsey, 2010).</w:t>
      </w:r>
    </w:p>
    <w:p w:rsidR="00000000" w:rsidDel="00000000" w:rsidP="00000000" w:rsidRDefault="00000000" w:rsidRPr="00000000" w14:paraId="00000097">
      <w:pPr>
        <w:jc w:val="both"/>
        <w:rPr/>
      </w:pPr>
      <w:r w:rsidDel="00000000" w:rsidR="00000000" w:rsidRPr="00000000">
        <w:rPr>
          <w:rtl w:val="0"/>
        </w:rPr>
        <w:br w:type="textWrapping"/>
        <w:t xml:space="preserve">Длительное пребывание в состоянии покоя (до 50 лет) приводит к:</w:t>
      </w:r>
    </w:p>
    <w:p w:rsidR="00000000" w:rsidDel="00000000" w:rsidP="00000000" w:rsidRDefault="00000000" w:rsidRPr="00000000" w14:paraId="00000098">
      <w:pPr>
        <w:numPr>
          <w:ilvl w:val="0"/>
          <w:numId w:val="22"/>
        </w:numPr>
        <w:ind w:left="720" w:hanging="360"/>
        <w:jc w:val="both"/>
      </w:pPr>
      <w:r w:rsidDel="00000000" w:rsidR="00000000" w:rsidRPr="00000000">
        <w:rPr>
          <w:rtl w:val="0"/>
        </w:rPr>
        <w:t xml:space="preserve">Окислительному стрессу: Митохондрии ооцитов генерируют реактивные формы кислорода (РОС), повреждающие мтДНК и белки (May-Panloup et al., 2016).</w:t>
      </w:r>
    </w:p>
    <w:p w:rsidR="00000000" w:rsidDel="00000000" w:rsidP="00000000" w:rsidRDefault="00000000" w:rsidRPr="00000000" w14:paraId="00000099">
      <w:pPr>
        <w:numPr>
          <w:ilvl w:val="0"/>
          <w:numId w:val="22"/>
        </w:numPr>
        <w:ind w:left="720" w:hanging="360"/>
        <w:jc w:val="both"/>
      </w:pPr>
      <w:r w:rsidDel="00000000" w:rsidR="00000000" w:rsidRPr="00000000">
        <w:rPr>
          <w:rtl w:val="0"/>
        </w:rPr>
        <w:t xml:space="preserve">Эпигенетическим изменениям: Нарушение метилирования ДНК и модификаций гистонов влияет на экспрессию генов (Xiong et al., 2020).</w:t>
      </w:r>
    </w:p>
    <w:p w:rsidR="00000000" w:rsidDel="00000000" w:rsidP="00000000" w:rsidRDefault="00000000" w:rsidRPr="00000000" w14:paraId="0000009A">
      <w:pPr>
        <w:numPr>
          <w:ilvl w:val="0"/>
          <w:numId w:val="22"/>
        </w:numPr>
        <w:ind w:left="720" w:hanging="360"/>
        <w:jc w:val="both"/>
      </w:pPr>
      <w:r w:rsidDel="00000000" w:rsidR="00000000" w:rsidRPr="00000000">
        <w:rPr>
          <w:rtl w:val="0"/>
        </w:rPr>
        <w:t xml:space="preserve">Снижению качества митохондрий: Уменьшение числа копий мтДНК и дисфункция электрон-транспортной цепи (ETC) снижают энергетический потенциал (Van Blerkom, 2011).</w:t>
      </w:r>
    </w:p>
    <w:p w:rsidR="00000000" w:rsidDel="00000000" w:rsidP="00000000" w:rsidRDefault="00000000" w:rsidRPr="00000000" w14:paraId="0000009B">
      <w:pPr>
        <w:jc w:val="both"/>
        <w:rPr/>
      </w:pPr>
      <w:r w:rsidDel="00000000" w:rsidR="00000000" w:rsidRPr="00000000">
        <w:rPr>
          <w:rtl w:val="0"/>
        </w:rPr>
        <w:br w:type="textWrapping"/>
        <w:t xml:space="preserve">С возрастом увеличивается риск:</w:t>
      </w:r>
    </w:p>
    <w:p w:rsidR="00000000" w:rsidDel="00000000" w:rsidP="00000000" w:rsidRDefault="00000000" w:rsidRPr="00000000" w14:paraId="0000009C">
      <w:pPr>
        <w:numPr>
          <w:ilvl w:val="0"/>
          <w:numId w:val="15"/>
        </w:numPr>
        <w:ind w:left="720" w:hanging="360"/>
        <w:jc w:val="both"/>
      </w:pPr>
      <w:r w:rsidDel="00000000" w:rsidR="00000000" w:rsidRPr="00000000">
        <w:rPr>
          <w:rtl w:val="0"/>
        </w:rPr>
        <w:t xml:space="preserve">Хромосомных аномалий: 70–90% эмбрионов у женщин старше 40 лет имеют анеуплоидию (Franasiak et al., 2014).</w:t>
      </w:r>
    </w:p>
    <w:p w:rsidR="00000000" w:rsidDel="00000000" w:rsidP="00000000" w:rsidRDefault="00000000" w:rsidRPr="00000000" w14:paraId="0000009D">
      <w:pPr>
        <w:numPr>
          <w:ilvl w:val="0"/>
          <w:numId w:val="15"/>
        </w:numPr>
        <w:ind w:left="720" w:hanging="360"/>
        <w:jc w:val="both"/>
      </w:pPr>
      <w:r w:rsidDel="00000000" w:rsidR="00000000" w:rsidRPr="00000000">
        <w:rPr>
          <w:rtl w:val="0"/>
        </w:rPr>
        <w:t xml:space="preserve">Снижения фертильности: После 35 лет вероятность зачатия естественным путем падает на 50% (Broekmans et al., 2007).</w:t>
      </w:r>
    </w:p>
    <w:p w:rsidR="00000000" w:rsidDel="00000000" w:rsidP="00000000" w:rsidRDefault="00000000" w:rsidRPr="00000000" w14:paraId="0000009E">
      <w:pPr>
        <w:numPr>
          <w:ilvl w:val="0"/>
          <w:numId w:val="15"/>
        </w:numPr>
        <w:ind w:left="720" w:hanging="360"/>
        <w:jc w:val="both"/>
      </w:pPr>
      <w:r w:rsidDel="00000000" w:rsidR="00000000" w:rsidRPr="00000000">
        <w:rPr>
          <w:rtl w:val="0"/>
        </w:rPr>
        <w:t xml:space="preserve">Выкидышей: Частота спонтанных абортов возрастает с 10% (20–30 лет) до 50% (45 лет) (Nybo Andersen et al., 2000).</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Терапевтические стратегии</w:t>
      </w:r>
    </w:p>
    <w:p w:rsidR="00000000" w:rsidDel="00000000" w:rsidP="00000000" w:rsidRDefault="00000000" w:rsidRPr="00000000" w14:paraId="000000A1">
      <w:pPr>
        <w:numPr>
          <w:ilvl w:val="0"/>
          <w:numId w:val="4"/>
        </w:numPr>
        <w:ind w:left="720" w:hanging="360"/>
        <w:jc w:val="both"/>
      </w:pPr>
      <w:r w:rsidDel="00000000" w:rsidR="00000000" w:rsidRPr="00000000">
        <w:rPr>
          <w:rtl w:val="0"/>
        </w:rPr>
        <w:t xml:space="preserve">Криоконсервация ооцитов: Позволяет сохранить клетки в молодом возрасте (Cobo et al., 2018).</w:t>
      </w:r>
    </w:p>
    <w:p w:rsidR="00000000" w:rsidDel="00000000" w:rsidP="00000000" w:rsidRDefault="00000000" w:rsidRPr="00000000" w14:paraId="000000A2">
      <w:pPr>
        <w:numPr>
          <w:ilvl w:val="0"/>
          <w:numId w:val="4"/>
        </w:numPr>
        <w:ind w:left="720" w:hanging="360"/>
        <w:jc w:val="both"/>
      </w:pPr>
      <w:r w:rsidDel="00000000" w:rsidR="00000000" w:rsidRPr="00000000">
        <w:rPr>
          <w:rtl w:val="0"/>
        </w:rPr>
        <w:t xml:space="preserve">Митохондриальная заместительная терапия: Трансплантация митохондрий из донорских ооцитов улучшает энергетический метаболизм (Fakih et al., 2021).</w:t>
      </w:r>
    </w:p>
    <w:p w:rsidR="00000000" w:rsidDel="00000000" w:rsidP="00000000" w:rsidRDefault="00000000" w:rsidRPr="00000000" w14:paraId="000000A3">
      <w:pPr>
        <w:numPr>
          <w:ilvl w:val="0"/>
          <w:numId w:val="4"/>
        </w:numPr>
        <w:ind w:left="720" w:hanging="360"/>
        <w:jc w:val="both"/>
      </w:pPr>
      <w:r w:rsidDel="00000000" w:rsidR="00000000" w:rsidRPr="00000000">
        <w:rPr>
          <w:rtl w:val="0"/>
        </w:rPr>
        <w:t xml:space="preserve">Антиоксиданты: Коэнзим Q10 и мелатонин снижают окислительный стресс (Rudick et al., 2019).</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Очевидно, что с возрастом организм избавляется от невосстанавливаемых ооцитов.</w:t>
      </w:r>
    </w:p>
    <w:p w:rsidR="00000000" w:rsidDel="00000000" w:rsidP="00000000" w:rsidRDefault="00000000" w:rsidRPr="00000000" w14:paraId="000000A6">
      <w:pPr>
        <w:pStyle w:val="Heading2"/>
        <w:jc w:val="both"/>
        <w:rPr/>
      </w:pPr>
      <w:bookmarkStart w:colFirst="0" w:colLast="0" w:name="_tzrx6cki5dlv" w:id="24"/>
      <w:bookmarkEnd w:id="24"/>
      <w:r w:rsidDel="00000000" w:rsidR="00000000" w:rsidRPr="00000000">
        <w:rPr>
          <w:rtl w:val="0"/>
        </w:rPr>
        <w:t xml:space="preserve">Нейроны головного мозга</w:t>
      </w:r>
    </w:p>
    <w:p w:rsidR="00000000" w:rsidDel="00000000" w:rsidP="00000000" w:rsidRDefault="00000000" w:rsidRPr="00000000" w14:paraId="000000A7">
      <w:pPr>
        <w:jc w:val="both"/>
        <w:rPr/>
      </w:pPr>
      <w:r w:rsidDel="00000000" w:rsidR="00000000" w:rsidRPr="00000000">
        <w:rPr>
          <w:rtl w:val="0"/>
        </w:rPr>
        <w:t xml:space="preserve">Нейроны центральной нервной системы (ЦНС) относятся к постмитотическим клеткам, которые не делятся после дифференцировки. Их аксоны и дендриты, в отличие от периферических нервов, обладают крайне ограниченной способностью к регенерации при повреждениях, что делает их уязвимыми к травмам, нейродегенеративным заболеваниям и старению (He &amp; Jin, 2016).</w:t>
      </w:r>
    </w:p>
    <w:p w:rsidR="00000000" w:rsidDel="00000000" w:rsidP="00000000" w:rsidRDefault="00000000" w:rsidRPr="00000000" w14:paraId="000000A8">
      <w:pPr>
        <w:jc w:val="both"/>
        <w:rPr/>
      </w:pPr>
      <w:r w:rsidDel="00000000" w:rsidR="00000000" w:rsidRPr="00000000">
        <w:rPr>
          <w:rtl w:val="0"/>
        </w:rPr>
        <w:br w:type="textWrapping"/>
        <w:t xml:space="preserve">Нейроны состоят из тела клетки (сома), дендритов и аксона, покрытого миелиновой оболочкой. Аксоны ЦНС окружены олигодендроцитами, которые, в отличие от шванновских клеток периферической нервной системы, вырабатывают ингибиторы роста (например, Nogo-A), блокирующие регенерацию (Schwab &amp; Strittmatter, 2014). Кроме того, глиальный рубец, формирующийся после травмы, физически и биохимически препятствует восстановлению аксонов (Bradbury &amp; Burnside, 2019).</w:t>
      </w:r>
    </w:p>
    <w:p w:rsidR="00000000" w:rsidDel="00000000" w:rsidP="00000000" w:rsidRDefault="00000000" w:rsidRPr="00000000" w14:paraId="000000A9">
      <w:pPr>
        <w:pStyle w:val="Heading3"/>
        <w:jc w:val="both"/>
        <w:rPr/>
      </w:pPr>
      <w:bookmarkStart w:colFirst="0" w:colLast="0" w:name="_qj55milk18z7" w:id="25"/>
      <w:bookmarkEnd w:id="25"/>
      <w:r w:rsidDel="00000000" w:rsidR="00000000" w:rsidRPr="00000000">
        <w:rPr>
          <w:rtl w:val="0"/>
        </w:rPr>
        <w:t xml:space="preserve">Причины отсутствия регенерации</w:t>
      </w:r>
    </w:p>
    <w:p w:rsidR="00000000" w:rsidDel="00000000" w:rsidP="00000000" w:rsidRDefault="00000000" w:rsidRPr="00000000" w14:paraId="000000AA">
      <w:pPr>
        <w:numPr>
          <w:ilvl w:val="0"/>
          <w:numId w:val="23"/>
        </w:numPr>
        <w:ind w:left="720" w:hanging="360"/>
        <w:jc w:val="both"/>
      </w:pPr>
      <w:r w:rsidDel="00000000" w:rsidR="00000000" w:rsidRPr="00000000">
        <w:rPr>
          <w:rtl w:val="0"/>
        </w:rPr>
        <w:t xml:space="preserve">Экспрессия ингибиторных молекул: Белки семейства Nogo, MAG и OMgp связываются с рецептором NgR на аксонах, активируя Rho-киназный путь, который разрушает цитоскелет (Geoffroy &amp; Zheng, 2014).</w:t>
      </w:r>
    </w:p>
    <w:p w:rsidR="00000000" w:rsidDel="00000000" w:rsidP="00000000" w:rsidRDefault="00000000" w:rsidRPr="00000000" w14:paraId="000000AB">
      <w:pPr>
        <w:numPr>
          <w:ilvl w:val="0"/>
          <w:numId w:val="23"/>
        </w:numPr>
        <w:ind w:left="720" w:hanging="360"/>
        <w:jc w:val="both"/>
      </w:pPr>
      <w:r w:rsidDel="00000000" w:rsidR="00000000" w:rsidRPr="00000000">
        <w:rPr>
          <w:rtl w:val="0"/>
        </w:rPr>
        <w:t xml:space="preserve">Недостаточная активация регенеративных программ: В отличие от периферических нейронов, нейроны ЦНС слабо экспрессируют прорегенеративные гены (например, GAP-43 и STAT3) даже после повреждения (Tedeschi &amp; Bradke, 2017).</w:t>
      </w:r>
    </w:p>
    <w:p w:rsidR="00000000" w:rsidDel="00000000" w:rsidP="00000000" w:rsidRDefault="00000000" w:rsidRPr="00000000" w14:paraId="000000AC">
      <w:pPr>
        <w:numPr>
          <w:ilvl w:val="0"/>
          <w:numId w:val="23"/>
        </w:numPr>
        <w:ind w:left="720" w:hanging="360"/>
        <w:jc w:val="both"/>
      </w:pPr>
      <w:r w:rsidDel="00000000" w:rsidR="00000000" w:rsidRPr="00000000">
        <w:rPr>
          <w:rtl w:val="0"/>
        </w:rPr>
        <w:t xml:space="preserve">Энергетический дефицит: Митохондриальная дисфункция в длинных аксонах приводит к недостатку АТФ, необходимого для ремоделинга мембран и синтеза белков (Zheng et al., 2021).</w:t>
      </w:r>
    </w:p>
    <w:p w:rsidR="00000000" w:rsidDel="00000000" w:rsidP="00000000" w:rsidRDefault="00000000" w:rsidRPr="00000000" w14:paraId="000000AD">
      <w:pPr>
        <w:pStyle w:val="Heading3"/>
        <w:jc w:val="both"/>
        <w:rPr/>
      </w:pPr>
      <w:bookmarkStart w:colFirst="0" w:colLast="0" w:name="_xowusxt45n3i" w:id="26"/>
      <w:bookmarkEnd w:id="26"/>
      <w:r w:rsidDel="00000000" w:rsidR="00000000" w:rsidRPr="00000000">
        <w:rPr>
          <w:rtl w:val="0"/>
        </w:rPr>
        <w:t xml:space="preserve">Клинические последствия</w:t>
      </w:r>
    </w:p>
    <w:p w:rsidR="00000000" w:rsidDel="00000000" w:rsidP="00000000" w:rsidRDefault="00000000" w:rsidRPr="00000000" w14:paraId="000000AE">
      <w:pPr>
        <w:numPr>
          <w:ilvl w:val="0"/>
          <w:numId w:val="27"/>
        </w:numPr>
        <w:ind w:left="720" w:hanging="360"/>
        <w:jc w:val="both"/>
      </w:pPr>
      <w:r w:rsidDel="00000000" w:rsidR="00000000" w:rsidRPr="00000000">
        <w:rPr>
          <w:rtl w:val="0"/>
        </w:rPr>
        <w:t xml:space="preserve">Нейродегенеративные заболевания: Болезни Альцгеймера и Паркинсона связаны с прогрессирующей потерей нейронов, которую организм не может компенсировать (Hou et al., 2019).</w:t>
      </w:r>
    </w:p>
    <w:p w:rsidR="00000000" w:rsidDel="00000000" w:rsidP="00000000" w:rsidRDefault="00000000" w:rsidRPr="00000000" w14:paraId="000000AF">
      <w:pPr>
        <w:numPr>
          <w:ilvl w:val="0"/>
          <w:numId w:val="27"/>
        </w:numPr>
        <w:ind w:left="720" w:hanging="360"/>
        <w:jc w:val="both"/>
      </w:pPr>
      <w:r w:rsidDel="00000000" w:rsidR="00000000" w:rsidRPr="00000000">
        <w:rPr>
          <w:rtl w:val="0"/>
        </w:rPr>
        <w:t xml:space="preserve">Травмы спинного мозга: Повреждение аксонов ведет к необратимой потере двигательных и сенсорных функций (Ahuja et al., 2017).</w:t>
      </w:r>
    </w:p>
    <w:p w:rsidR="00000000" w:rsidDel="00000000" w:rsidP="00000000" w:rsidRDefault="00000000" w:rsidRPr="00000000" w14:paraId="000000B0">
      <w:pPr>
        <w:numPr>
          <w:ilvl w:val="0"/>
          <w:numId w:val="27"/>
        </w:numPr>
        <w:ind w:left="720" w:hanging="360"/>
        <w:jc w:val="both"/>
      </w:pPr>
      <w:r w:rsidDel="00000000" w:rsidR="00000000" w:rsidRPr="00000000">
        <w:rPr>
          <w:rtl w:val="0"/>
        </w:rPr>
        <w:t xml:space="preserve">Старение: Накопление тау-белка и β-амилоида нарушает синаптическую пластичность, усугубляя когнитивный спад (Scheltens et al., 2021).</w:t>
      </w:r>
    </w:p>
    <w:p w:rsidR="00000000" w:rsidDel="00000000" w:rsidP="00000000" w:rsidRDefault="00000000" w:rsidRPr="00000000" w14:paraId="000000B1">
      <w:pPr>
        <w:pStyle w:val="Heading3"/>
        <w:jc w:val="both"/>
        <w:rPr/>
      </w:pPr>
      <w:bookmarkStart w:colFirst="0" w:colLast="0" w:name="_ryyrxwxdqjbe" w:id="27"/>
      <w:bookmarkEnd w:id="27"/>
      <w:r w:rsidDel="00000000" w:rsidR="00000000" w:rsidRPr="00000000">
        <w:rPr>
          <w:rtl w:val="0"/>
        </w:rPr>
        <w:t xml:space="preserve">Терапевтические стратегии</w:t>
      </w:r>
    </w:p>
    <w:p w:rsidR="00000000" w:rsidDel="00000000" w:rsidP="00000000" w:rsidRDefault="00000000" w:rsidRPr="00000000" w14:paraId="000000B2">
      <w:pPr>
        <w:numPr>
          <w:ilvl w:val="0"/>
          <w:numId w:val="24"/>
        </w:numPr>
        <w:ind w:left="720" w:hanging="360"/>
        <w:jc w:val="both"/>
      </w:pPr>
      <w:r w:rsidDel="00000000" w:rsidR="00000000" w:rsidRPr="00000000">
        <w:rPr>
          <w:rtl w:val="0"/>
        </w:rPr>
        <w:t xml:space="preserve">Блокада ингибиторных сигналов: Антитела против Nogo-A (например, препарат Ozanezumab) улучшают восстановление аксонов в доклинических моделях (Kucher et al., 2018).</w:t>
      </w:r>
    </w:p>
    <w:p w:rsidR="00000000" w:rsidDel="00000000" w:rsidP="00000000" w:rsidRDefault="00000000" w:rsidRPr="00000000" w14:paraId="000000B3">
      <w:pPr>
        <w:numPr>
          <w:ilvl w:val="0"/>
          <w:numId w:val="24"/>
        </w:numPr>
        <w:ind w:left="720" w:hanging="360"/>
        <w:jc w:val="both"/>
      </w:pPr>
      <w:r w:rsidDel="00000000" w:rsidR="00000000" w:rsidRPr="00000000">
        <w:rPr>
          <w:rtl w:val="0"/>
        </w:rPr>
        <w:t xml:space="preserve">Стимуляция внутренних регенеративных программ: Использование факторов роста (BDNF, NT-3) и CRISPR-активация генов (Lin28) усиливают регенерацию (Byrne et al., 2020).</w:t>
      </w:r>
    </w:p>
    <w:p w:rsidR="00000000" w:rsidDel="00000000" w:rsidP="00000000" w:rsidRDefault="00000000" w:rsidRPr="00000000" w14:paraId="000000B4">
      <w:pPr>
        <w:numPr>
          <w:ilvl w:val="0"/>
          <w:numId w:val="24"/>
        </w:numPr>
        <w:ind w:left="720" w:hanging="360"/>
        <w:jc w:val="both"/>
      </w:pPr>
      <w:r w:rsidDel="00000000" w:rsidR="00000000" w:rsidRPr="00000000">
        <w:rPr>
          <w:rtl w:val="0"/>
        </w:rPr>
        <w:t xml:space="preserve">Клеточная терапия: Трансплантация индуцированных плюрипотентных стволовых клеток (ИПСК) и олигодендроцитов восстанавливает миелин и синапсы (Assinck et al., 2017).</w:t>
      </w:r>
    </w:p>
    <w:p w:rsidR="00000000" w:rsidDel="00000000" w:rsidP="00000000" w:rsidRDefault="00000000" w:rsidRPr="00000000" w14:paraId="000000B5">
      <w:pPr>
        <w:pStyle w:val="Heading2"/>
        <w:jc w:val="both"/>
        <w:rPr/>
      </w:pPr>
      <w:bookmarkStart w:colFirst="0" w:colLast="0" w:name="_gn38acov5v2m" w:id="28"/>
      <w:bookmarkEnd w:id="28"/>
      <w:r w:rsidDel="00000000" w:rsidR="00000000" w:rsidRPr="00000000">
        <w:rPr>
          <w:rtl w:val="0"/>
        </w:rPr>
        <w:t xml:space="preserve">Зубная эмаль</w:t>
      </w:r>
    </w:p>
    <w:p w:rsidR="00000000" w:rsidDel="00000000" w:rsidP="00000000" w:rsidRDefault="00000000" w:rsidRPr="00000000" w14:paraId="000000B6">
      <w:pPr>
        <w:jc w:val="both"/>
        <w:rPr/>
      </w:pPr>
      <w:r w:rsidDel="00000000" w:rsidR="00000000" w:rsidRPr="00000000">
        <w:rPr>
          <w:rtl w:val="0"/>
        </w:rPr>
        <w:t xml:space="preserve">Зубная эмаль — самая твердая ткань организма, состоящая на 96% из минералов (гидроксиапатит). Она не содержит клеток и не способна к регенерации, что делает любые повреждения необратимыми без медицинского вмешательства (Selwitz et al., 2007).</w:t>
      </w:r>
    </w:p>
    <w:p w:rsidR="00000000" w:rsidDel="00000000" w:rsidP="00000000" w:rsidRDefault="00000000" w:rsidRPr="00000000" w14:paraId="000000B7">
      <w:pPr>
        <w:jc w:val="both"/>
        <w:rPr/>
      </w:pPr>
      <w:r w:rsidDel="00000000" w:rsidR="00000000" w:rsidRPr="00000000">
        <w:rPr>
          <w:rtl w:val="0"/>
        </w:rPr>
        <w:br w:type="textWrapping"/>
        <w:t xml:space="preserve">Эмаль образуется амелобластами в процессе амелогенеза, который завершается до прорезывания зуба. Эти клетки деградируют после формирования эмали, оставляя её без механизмов самовосстановления (Simmer et al., 2010). Кристаллы гидроксиапатита организованы в призмы, что обеспечивает высокую прочность, но хрупкость при неравномерной нагрузке (Beniash et al., 2019).</w:t>
      </w:r>
    </w:p>
    <w:p w:rsidR="00000000" w:rsidDel="00000000" w:rsidP="00000000" w:rsidRDefault="00000000" w:rsidRPr="00000000" w14:paraId="000000B8">
      <w:pPr>
        <w:pStyle w:val="Heading3"/>
        <w:jc w:val="both"/>
        <w:rPr/>
      </w:pPr>
      <w:bookmarkStart w:colFirst="0" w:colLast="0" w:name="_sq2bqwgoe8e5" w:id="29"/>
      <w:bookmarkEnd w:id="29"/>
      <w:r w:rsidDel="00000000" w:rsidR="00000000" w:rsidRPr="00000000">
        <w:rPr>
          <w:rtl w:val="0"/>
        </w:rPr>
        <w:t xml:space="preserve">Причины повреждений</w:t>
      </w:r>
    </w:p>
    <w:p w:rsidR="00000000" w:rsidDel="00000000" w:rsidP="00000000" w:rsidRDefault="00000000" w:rsidRPr="00000000" w14:paraId="000000B9">
      <w:pPr>
        <w:numPr>
          <w:ilvl w:val="0"/>
          <w:numId w:val="8"/>
        </w:numPr>
        <w:ind w:left="720" w:hanging="360"/>
        <w:jc w:val="both"/>
      </w:pPr>
      <w:r w:rsidDel="00000000" w:rsidR="00000000" w:rsidRPr="00000000">
        <w:rPr>
          <w:rtl w:val="0"/>
        </w:rPr>
        <w:t xml:space="preserve">Кариес: Бактерии (например, Streptococcus mutans) метаболизируют сахара, выделяя кислоты, которые деминерализуют эмаль (Pitts et al., 2017).</w:t>
      </w:r>
    </w:p>
    <w:p w:rsidR="00000000" w:rsidDel="00000000" w:rsidP="00000000" w:rsidRDefault="00000000" w:rsidRPr="00000000" w14:paraId="000000BA">
      <w:pPr>
        <w:numPr>
          <w:ilvl w:val="0"/>
          <w:numId w:val="8"/>
        </w:numPr>
        <w:ind w:left="720" w:hanging="360"/>
        <w:jc w:val="both"/>
      </w:pPr>
      <w:r w:rsidDel="00000000" w:rsidR="00000000" w:rsidRPr="00000000">
        <w:rPr>
          <w:rtl w:val="0"/>
        </w:rPr>
        <w:t xml:space="preserve">Эрозия: Кислоты из пищи (цитрусовые, газированные напитки) и желудочного сока (при рефлюксе) растворяют поверхностный слой (Lussi et al., 2012).</w:t>
      </w:r>
    </w:p>
    <w:p w:rsidR="00000000" w:rsidDel="00000000" w:rsidP="00000000" w:rsidRDefault="00000000" w:rsidRPr="00000000" w14:paraId="000000BB">
      <w:pPr>
        <w:numPr>
          <w:ilvl w:val="0"/>
          <w:numId w:val="8"/>
        </w:numPr>
        <w:ind w:left="720" w:hanging="360"/>
        <w:jc w:val="both"/>
      </w:pPr>
      <w:r w:rsidDel="00000000" w:rsidR="00000000" w:rsidRPr="00000000">
        <w:rPr>
          <w:rtl w:val="0"/>
        </w:rPr>
        <w:t xml:space="preserve">Механический износ: Бруксизм и неправильная чистка зубов приводят к трещинам и истиранию (Wetselaar et al., 2016).</w:t>
      </w:r>
    </w:p>
    <w:p w:rsidR="00000000" w:rsidDel="00000000" w:rsidP="00000000" w:rsidRDefault="00000000" w:rsidRPr="00000000" w14:paraId="000000BC">
      <w:pPr>
        <w:pStyle w:val="Heading3"/>
        <w:jc w:val="both"/>
        <w:rPr/>
      </w:pPr>
      <w:bookmarkStart w:colFirst="0" w:colLast="0" w:name="_2nb5ggqg5p9z" w:id="30"/>
      <w:bookmarkEnd w:id="30"/>
      <w:r w:rsidDel="00000000" w:rsidR="00000000" w:rsidRPr="00000000">
        <w:rPr>
          <w:rtl w:val="0"/>
        </w:rPr>
        <w:t xml:space="preserve">Клинические последствия</w:t>
      </w:r>
    </w:p>
    <w:p w:rsidR="00000000" w:rsidDel="00000000" w:rsidP="00000000" w:rsidRDefault="00000000" w:rsidRPr="00000000" w14:paraId="000000BD">
      <w:pPr>
        <w:numPr>
          <w:ilvl w:val="0"/>
          <w:numId w:val="12"/>
        </w:numPr>
        <w:ind w:left="720" w:hanging="360"/>
        <w:jc w:val="both"/>
      </w:pPr>
      <w:r w:rsidDel="00000000" w:rsidR="00000000" w:rsidRPr="00000000">
        <w:rPr>
          <w:rtl w:val="0"/>
        </w:rPr>
        <w:t xml:space="preserve">Гиперчувствительность: Истончение эмали обнажает дентинные канальцы, вызывая боль при контакте с холодным или кислым (West et al., 2013).</w:t>
      </w:r>
    </w:p>
    <w:p w:rsidR="00000000" w:rsidDel="00000000" w:rsidP="00000000" w:rsidRDefault="00000000" w:rsidRPr="00000000" w14:paraId="000000BE">
      <w:pPr>
        <w:numPr>
          <w:ilvl w:val="0"/>
          <w:numId w:val="12"/>
        </w:numPr>
        <w:ind w:left="720" w:hanging="360"/>
        <w:jc w:val="both"/>
      </w:pPr>
      <w:r w:rsidDel="00000000" w:rsidR="00000000" w:rsidRPr="00000000">
        <w:rPr>
          <w:rtl w:val="0"/>
        </w:rPr>
        <w:t xml:space="preserve">Эстетические дефекты: Потеря эмали обнажает желтый дентин, меняя цвет зубов (Joiner et al., 2018).</w:t>
      </w:r>
    </w:p>
    <w:p w:rsidR="00000000" w:rsidDel="00000000" w:rsidP="00000000" w:rsidRDefault="00000000" w:rsidRPr="00000000" w14:paraId="000000BF">
      <w:pPr>
        <w:numPr>
          <w:ilvl w:val="0"/>
          <w:numId w:val="12"/>
        </w:numPr>
        <w:ind w:left="720" w:hanging="360"/>
        <w:jc w:val="both"/>
      </w:pPr>
      <w:r w:rsidDel="00000000" w:rsidR="00000000" w:rsidRPr="00000000">
        <w:rPr>
          <w:rtl w:val="0"/>
        </w:rPr>
        <w:t xml:space="preserve">Риск переломов: Ослабленные зубы склонны к сколам и кариозным полостям (Borges et al., 2017).</w:t>
      </w:r>
    </w:p>
    <w:p w:rsidR="00000000" w:rsidDel="00000000" w:rsidP="00000000" w:rsidRDefault="00000000" w:rsidRPr="00000000" w14:paraId="000000C0">
      <w:pPr>
        <w:pStyle w:val="Heading3"/>
        <w:jc w:val="both"/>
        <w:rPr/>
      </w:pPr>
      <w:bookmarkStart w:colFirst="0" w:colLast="0" w:name="_sjaoqfk0n4t7" w:id="31"/>
      <w:bookmarkEnd w:id="31"/>
      <w:r w:rsidDel="00000000" w:rsidR="00000000" w:rsidRPr="00000000">
        <w:rPr>
          <w:rtl w:val="0"/>
        </w:rPr>
        <w:t xml:space="preserve">Современные методы восстановления</w:t>
      </w:r>
    </w:p>
    <w:p w:rsidR="00000000" w:rsidDel="00000000" w:rsidP="00000000" w:rsidRDefault="00000000" w:rsidRPr="00000000" w14:paraId="000000C1">
      <w:pPr>
        <w:numPr>
          <w:ilvl w:val="0"/>
          <w:numId w:val="14"/>
        </w:numPr>
        <w:ind w:left="720" w:hanging="360"/>
        <w:jc w:val="both"/>
      </w:pPr>
      <w:r w:rsidDel="00000000" w:rsidR="00000000" w:rsidRPr="00000000">
        <w:rPr>
          <w:rtl w:val="0"/>
        </w:rPr>
        <w:t xml:space="preserve">Пломбировочные материалы: Композиты и амальгама заполняют кариозные полости, но не интегрируются с естественной эмалью (Demarco et al., 2012).</w:t>
      </w:r>
    </w:p>
    <w:p w:rsidR="00000000" w:rsidDel="00000000" w:rsidP="00000000" w:rsidRDefault="00000000" w:rsidRPr="00000000" w14:paraId="000000C2">
      <w:pPr>
        <w:numPr>
          <w:ilvl w:val="0"/>
          <w:numId w:val="14"/>
        </w:numPr>
        <w:ind w:left="720" w:hanging="360"/>
        <w:jc w:val="both"/>
      </w:pPr>
      <w:r w:rsidDel="00000000" w:rsidR="00000000" w:rsidRPr="00000000">
        <w:rPr>
          <w:rtl w:val="0"/>
        </w:rPr>
        <w:t xml:space="preserve">Виниры и коронки: Керамические накладки восстанавливают форму и функцию, но требуют обточки зуба (Peumans et al., 2000).</w:t>
      </w:r>
    </w:p>
    <w:p w:rsidR="00000000" w:rsidDel="00000000" w:rsidP="00000000" w:rsidRDefault="00000000" w:rsidRPr="00000000" w14:paraId="000000C3">
      <w:pPr>
        <w:numPr>
          <w:ilvl w:val="0"/>
          <w:numId w:val="14"/>
        </w:numPr>
        <w:ind w:left="720" w:hanging="360"/>
        <w:jc w:val="both"/>
      </w:pPr>
      <w:r w:rsidDel="00000000" w:rsidR="00000000" w:rsidRPr="00000000">
        <w:rPr>
          <w:rtl w:val="0"/>
        </w:rPr>
        <w:t xml:space="preserve">Реминерализация: Наночастицы гидроксиапатита и пептиды (например, P11-4) стимулируют осаждение минералов в микротрещинах (Kirkham et al., 2020).</w:t>
      </w:r>
    </w:p>
    <w:p w:rsidR="00000000" w:rsidDel="00000000" w:rsidP="00000000" w:rsidRDefault="00000000" w:rsidRPr="00000000" w14:paraId="000000C4">
      <w:pPr>
        <w:pStyle w:val="Heading3"/>
        <w:jc w:val="both"/>
        <w:rPr/>
      </w:pPr>
      <w:bookmarkStart w:colFirst="0" w:colLast="0" w:name="_zfs54kof5zxh" w:id="32"/>
      <w:bookmarkEnd w:id="32"/>
      <w:r w:rsidDel="00000000" w:rsidR="00000000" w:rsidRPr="00000000">
        <w:rPr>
          <w:rtl w:val="0"/>
        </w:rPr>
        <w:t xml:space="preserve">Инновационные подходы</w:t>
      </w:r>
    </w:p>
    <w:p w:rsidR="00000000" w:rsidDel="00000000" w:rsidP="00000000" w:rsidRDefault="00000000" w:rsidRPr="00000000" w14:paraId="000000C5">
      <w:pPr>
        <w:numPr>
          <w:ilvl w:val="0"/>
          <w:numId w:val="29"/>
        </w:numPr>
        <w:ind w:left="720" w:hanging="360"/>
        <w:jc w:val="both"/>
      </w:pPr>
      <w:r w:rsidDel="00000000" w:rsidR="00000000" w:rsidRPr="00000000">
        <w:rPr>
          <w:rtl w:val="0"/>
        </w:rPr>
        <w:t xml:space="preserve">Биомиметические материалы: Гибридные полимеры, имитирующие структуру эмали, демонстрируют повышенную износостойкость (Ruan et al., 2016).</w:t>
      </w:r>
    </w:p>
    <w:p w:rsidR="00000000" w:rsidDel="00000000" w:rsidP="00000000" w:rsidRDefault="00000000" w:rsidRPr="00000000" w14:paraId="000000C6">
      <w:pPr>
        <w:numPr>
          <w:ilvl w:val="0"/>
          <w:numId w:val="29"/>
        </w:numPr>
        <w:ind w:left="720" w:hanging="360"/>
        <w:jc w:val="both"/>
      </w:pPr>
      <w:r w:rsidDel="00000000" w:rsidR="00000000" w:rsidRPr="00000000">
        <w:rPr>
          <w:rtl w:val="0"/>
        </w:rPr>
        <w:t xml:space="preserve">Генная инженерия: Попытки реактивации амелогенина in vivo для стимуляции роста эмали (Smith et al., 2016).</w:t>
      </w:r>
    </w:p>
    <w:p w:rsidR="00000000" w:rsidDel="00000000" w:rsidP="00000000" w:rsidRDefault="00000000" w:rsidRPr="00000000" w14:paraId="000000C7">
      <w:pPr>
        <w:pStyle w:val="Heading1"/>
        <w:jc w:val="both"/>
        <w:rPr/>
      </w:pPr>
      <w:bookmarkStart w:colFirst="0" w:colLast="0" w:name="_mmwiaz62g29t" w:id="33"/>
      <w:bookmarkEnd w:id="33"/>
      <w:r w:rsidDel="00000000" w:rsidR="00000000" w:rsidRPr="00000000">
        <w:rPr>
          <w:rtl w:val="0"/>
        </w:rPr>
        <w:t xml:space="preserve">Дискуссия</w:t>
      </w:r>
    </w:p>
    <w:p w:rsidR="00000000" w:rsidDel="00000000" w:rsidP="00000000" w:rsidRDefault="00000000" w:rsidRPr="00000000" w14:paraId="000000C8">
      <w:pPr>
        <w:jc w:val="both"/>
        <w:rPr/>
      </w:pPr>
      <w:r w:rsidDel="00000000" w:rsidR="00000000" w:rsidRPr="00000000">
        <w:rPr>
          <w:rtl w:val="0"/>
        </w:rPr>
        <w:t xml:space="preserve">Невосстанавливаемые структуры организма представляют собой уникальный парадокс: их долговечность критична для выполнения специализированных функций, но отсутствие регенерации делает их уязвимыми мишенями для возрастных повреждений. Однако понятие «невосстанавливаемости» часто носит относительный характер, зависящий от типа клеток, органелл и молекулярного контекста.</w:t>
      </w:r>
    </w:p>
    <w:p w:rsidR="00000000" w:rsidDel="00000000" w:rsidP="00000000" w:rsidRDefault="00000000" w:rsidRPr="00000000" w14:paraId="000000C9">
      <w:pPr>
        <w:pStyle w:val="Heading2"/>
        <w:jc w:val="both"/>
        <w:rPr/>
      </w:pPr>
      <w:bookmarkStart w:colFirst="0" w:colLast="0" w:name="_z70tmjvg2n29" w:id="34"/>
      <w:bookmarkEnd w:id="34"/>
      <w:r w:rsidDel="00000000" w:rsidR="00000000" w:rsidRPr="00000000">
        <w:rPr>
          <w:rtl w:val="0"/>
        </w:rPr>
        <w:t xml:space="preserve">Относительность невосстанавливаемости: клеточный и эволюционный контекст</w:t>
      </w:r>
    </w:p>
    <w:p w:rsidR="00000000" w:rsidDel="00000000" w:rsidP="00000000" w:rsidRDefault="00000000" w:rsidRPr="00000000" w14:paraId="000000CA">
      <w:pPr>
        <w:jc w:val="both"/>
        <w:rPr/>
      </w:pPr>
      <w:r w:rsidDel="00000000" w:rsidR="00000000" w:rsidRPr="00000000">
        <w:rPr>
          <w:rtl w:val="0"/>
        </w:rPr>
        <w:t xml:space="preserve">Способность к обновлению варьирует даже среди схожих структур. Например, митохондрии в скелетных мышцах частично заменяются за счет механизмов митофагии и биогенеза, активируемых физической нагрузкой через AMPK-зависимые пути (Lira et al., 2013). В нейронах и кардиомиоцитах их обновление крайне ограничено из-за низкой активности пути PINK1/Parkin, что связано с необходимостью поддерживать долгосрочные синаптические связи и сократительную функцию (Stevens et al., 2015). Напротив, центриоли демонстрируют абсолютную невосстанавливаемость: попытки их искусственной регенерации в соматических клетках приводят к анеуплоидии и неконтролируемой пролиферации, ассоциированной с онкогенезом (Nigg &amp; Holland, 2018). Интересно, что в эмбриогенезе центриоли синтезируются de novo после первых делений дробления, что подчеркивает эволюционный компромисс между стабильностью и пластичностью (Wang et al., 2021). Этот феномен может быть связан с необходимостью избежать передачи поврежденных центриолей потомству, что согласуется с гипотезой «эгоистичных органелл» (Satir &amp; Christensen, 2007).</w:t>
      </w:r>
    </w:p>
    <w:p w:rsidR="00000000" w:rsidDel="00000000" w:rsidP="00000000" w:rsidRDefault="00000000" w:rsidRPr="00000000" w14:paraId="000000CB">
      <w:pPr>
        <w:pStyle w:val="Heading2"/>
        <w:jc w:val="both"/>
        <w:rPr/>
      </w:pPr>
      <w:bookmarkStart w:colFirst="0" w:colLast="0" w:name="_azrm0gkvjcmd" w:id="35"/>
      <w:bookmarkEnd w:id="35"/>
      <w:r w:rsidDel="00000000" w:rsidR="00000000" w:rsidRPr="00000000">
        <w:rPr>
          <w:rtl w:val="0"/>
        </w:rPr>
        <w:t xml:space="preserve">Накопление повреждений и теория старения: от молекулярного хаоса к системному коллапсу</w:t>
      </w:r>
    </w:p>
    <w:p w:rsidR="00000000" w:rsidDel="00000000" w:rsidP="00000000" w:rsidRDefault="00000000" w:rsidRPr="00000000" w14:paraId="000000CC">
      <w:pPr>
        <w:jc w:val="both"/>
        <w:rPr/>
      </w:pPr>
      <w:r w:rsidDel="00000000" w:rsidR="00000000" w:rsidRPr="00000000">
        <w:rPr>
          <w:rtl w:val="0"/>
        </w:rPr>
        <w:t xml:space="preserve">Долговечные структуры становятся «хранилищами» клеточного стресса, подтверждая теорию «накопления мусора» (López-Otín et al., 2013). Например:</w:t>
      </w:r>
    </w:p>
    <w:p w:rsidR="00000000" w:rsidDel="00000000" w:rsidP="00000000" w:rsidRDefault="00000000" w:rsidRPr="00000000" w14:paraId="000000CD">
      <w:pPr>
        <w:numPr>
          <w:ilvl w:val="0"/>
          <w:numId w:val="11"/>
        </w:numPr>
        <w:ind w:left="720" w:hanging="360"/>
        <w:jc w:val="both"/>
      </w:pPr>
      <w:r w:rsidDel="00000000" w:rsidR="00000000" w:rsidRPr="00000000">
        <w:rPr>
          <w:rtl w:val="0"/>
        </w:rPr>
        <w:t xml:space="preserve">Липофусцин в лизосомах нейронов нарушает аутофагию, связываясь с катепсинами и блокируя деградацию поврежденных белков, что усиливает окислительный стресс и апоптоз через активацию каспаз (Höhn &amp; Grune, 2013).</w:t>
      </w:r>
    </w:p>
    <w:p w:rsidR="00000000" w:rsidDel="00000000" w:rsidP="00000000" w:rsidRDefault="00000000" w:rsidRPr="00000000" w14:paraId="000000CE">
      <w:pPr>
        <w:numPr>
          <w:ilvl w:val="0"/>
          <w:numId w:val="11"/>
        </w:numPr>
        <w:ind w:left="720" w:hanging="360"/>
        <w:jc w:val="both"/>
      </w:pPr>
      <w:r w:rsidDel="00000000" w:rsidR="00000000" w:rsidRPr="00000000">
        <w:rPr>
          <w:rtl w:val="0"/>
        </w:rPr>
        <w:t xml:space="preserve">Денатурированные кристаллины в хрусталике формируют амилоидоподобные агрегаты, которые рассеивают свет и запускают воспалительные реакции через активацию NLRP3-инфламмасомы (Sharma et al., 2020).</w:t>
      </w:r>
    </w:p>
    <w:p w:rsidR="00000000" w:rsidDel="00000000" w:rsidP="00000000" w:rsidRDefault="00000000" w:rsidRPr="00000000" w14:paraId="000000CF">
      <w:pPr>
        <w:numPr>
          <w:ilvl w:val="0"/>
          <w:numId w:val="11"/>
        </w:numPr>
        <w:ind w:left="720" w:hanging="360"/>
        <w:jc w:val="both"/>
      </w:pPr>
      <w:r w:rsidDel="00000000" w:rsidR="00000000" w:rsidRPr="00000000">
        <w:rPr>
          <w:rtl w:val="0"/>
        </w:rPr>
        <w:t xml:space="preserve">Поврежденные ядерные поры в нейронах нарушают транспорт мРНК, что приводит к накоплению тау-белка и β-амилоида, ключевых маркеров болезни Альцгеймера (Grima et al., 2017).</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Эти процессы взаимосвязаны: дисфункция одних структур (например, митохондрий) ускоряет повреждение других (ядерной ДНК), создавая порочный круг старения (Sun et al., 2016). Например, митохондриальные ROS окисляют гистоны, нарушая репарацию ДНК через подавление активности PARP1 (Fang et al., 2016).</w:t>
      </w:r>
    </w:p>
    <w:p w:rsidR="00000000" w:rsidDel="00000000" w:rsidP="00000000" w:rsidRDefault="00000000" w:rsidRPr="00000000" w14:paraId="000000D2">
      <w:pPr>
        <w:pStyle w:val="Heading2"/>
        <w:jc w:val="both"/>
        <w:rPr/>
      </w:pPr>
      <w:bookmarkStart w:colFirst="0" w:colLast="0" w:name="_ubwdb244psv3" w:id="36"/>
      <w:bookmarkEnd w:id="36"/>
      <w:r w:rsidDel="00000000" w:rsidR="00000000" w:rsidRPr="00000000">
        <w:rPr>
          <w:rtl w:val="0"/>
        </w:rPr>
        <w:t xml:space="preserve">Практические последствия и терапевтические стратегии: баланс между инновациями и рисками</w:t>
      </w:r>
    </w:p>
    <w:p w:rsidR="00000000" w:rsidDel="00000000" w:rsidP="00000000" w:rsidRDefault="00000000" w:rsidRPr="00000000" w14:paraId="000000D3">
      <w:pPr>
        <w:jc w:val="both"/>
        <w:rPr/>
      </w:pPr>
      <w:r w:rsidDel="00000000" w:rsidR="00000000" w:rsidRPr="00000000">
        <w:rPr>
          <w:rtl w:val="0"/>
        </w:rPr>
        <w:t xml:space="preserve">Понимание механизмов невосстанавливаемости открывает пути для:</w:t>
      </w:r>
    </w:p>
    <w:p w:rsidR="00000000" w:rsidDel="00000000" w:rsidP="00000000" w:rsidRDefault="00000000" w:rsidRPr="00000000" w14:paraId="000000D4">
      <w:pPr>
        <w:numPr>
          <w:ilvl w:val="0"/>
          <w:numId w:val="5"/>
        </w:numPr>
        <w:ind w:left="720" w:hanging="360"/>
        <w:jc w:val="both"/>
      </w:pPr>
      <w:r w:rsidDel="00000000" w:rsidR="00000000" w:rsidRPr="00000000">
        <w:rPr>
          <w:rtl w:val="0"/>
        </w:rPr>
        <w:t xml:space="preserve">Борьбы с возрастными заболеваниями:</w:t>
      </w:r>
    </w:p>
    <w:p w:rsidR="00000000" w:rsidDel="00000000" w:rsidP="00000000" w:rsidRDefault="00000000" w:rsidRPr="00000000" w14:paraId="000000D5">
      <w:pPr>
        <w:numPr>
          <w:ilvl w:val="1"/>
          <w:numId w:val="5"/>
        </w:numPr>
        <w:ind w:left="1440" w:hanging="360"/>
        <w:jc w:val="both"/>
      </w:pPr>
      <w:r w:rsidDel="00000000" w:rsidR="00000000" w:rsidRPr="00000000">
        <w:rPr>
          <w:rtl w:val="0"/>
        </w:rPr>
        <w:t xml:space="preserve">Таргетное удаление липофусцина с помощью сениолитиков (например, физетин), которые избирательно элиминируют сенесцентные клетки, продлевает lifespan модельных организмов на 30% (Yousefzadeh et al., 2018).</w:t>
      </w:r>
    </w:p>
    <w:p w:rsidR="00000000" w:rsidDel="00000000" w:rsidP="00000000" w:rsidRDefault="00000000" w:rsidRPr="00000000" w14:paraId="000000D6">
      <w:pPr>
        <w:numPr>
          <w:ilvl w:val="1"/>
          <w:numId w:val="5"/>
        </w:numPr>
        <w:ind w:left="1440" w:hanging="360"/>
        <w:jc w:val="both"/>
      </w:pPr>
      <w:r w:rsidDel="00000000" w:rsidR="00000000" w:rsidRPr="00000000">
        <w:rPr>
          <w:rtl w:val="0"/>
        </w:rPr>
        <w:t xml:space="preserve">CRISPR-коррекция мутаций в постмитотических нейронах с использованием аденоассоциированных вирусов (AAV) демонстрирует потенциал для лечения болезней Хантингтона и Паркинсона (Moreno et al., 2022).</w:t>
      </w:r>
    </w:p>
    <w:p w:rsidR="00000000" w:rsidDel="00000000" w:rsidP="00000000" w:rsidRDefault="00000000" w:rsidRPr="00000000" w14:paraId="000000D7">
      <w:pPr>
        <w:numPr>
          <w:ilvl w:val="0"/>
          <w:numId w:val="5"/>
        </w:numPr>
        <w:ind w:left="720" w:hanging="360"/>
        <w:jc w:val="both"/>
      </w:pPr>
      <w:r w:rsidDel="00000000" w:rsidR="00000000" w:rsidRPr="00000000">
        <w:rPr>
          <w:rtl w:val="0"/>
        </w:rPr>
        <w:t xml:space="preserve">Регенеративной медицины:</w:t>
      </w:r>
    </w:p>
    <w:p w:rsidR="00000000" w:rsidDel="00000000" w:rsidP="00000000" w:rsidRDefault="00000000" w:rsidRPr="00000000" w14:paraId="000000D8">
      <w:pPr>
        <w:numPr>
          <w:ilvl w:val="1"/>
          <w:numId w:val="5"/>
        </w:numPr>
        <w:ind w:left="1440" w:hanging="360"/>
        <w:jc w:val="both"/>
      </w:pPr>
      <w:r w:rsidDel="00000000" w:rsidR="00000000" w:rsidRPr="00000000">
        <w:rPr>
          <w:rtl w:val="0"/>
        </w:rPr>
        <w:t xml:space="preserve">Биомиметические материалы, такие как наночастицы гидроксиапатита, функционализированные пептидами амелогенина, индуцируют реминерализацию эмали, восстанавливая до 80% её прочности (Ruan et al., 2016).</w:t>
      </w:r>
    </w:p>
    <w:p w:rsidR="00000000" w:rsidDel="00000000" w:rsidP="00000000" w:rsidRDefault="00000000" w:rsidRPr="00000000" w14:paraId="000000D9">
      <w:pPr>
        <w:numPr>
          <w:ilvl w:val="1"/>
          <w:numId w:val="5"/>
        </w:numPr>
        <w:ind w:left="1440" w:hanging="360"/>
        <w:jc w:val="both"/>
      </w:pPr>
      <w:r w:rsidDel="00000000" w:rsidR="00000000" w:rsidRPr="00000000">
        <w:rPr>
          <w:rtl w:val="0"/>
        </w:rPr>
        <w:t xml:space="preserve">Трансплантация митохондрий в ооциты с использованием микроинъекций улучшает фертильность у женщин с возрастным снижением качества яйцеклеток, повышая частоту имплантации на 20% (Fakih et al., 2021).</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Однако вмешательство в невосстанавливаемые системы требует осторожности. Например, активация регенерации аксонов в ЦНС через ингибирование Nogo-A может провоцировать нейропатическую боль из-за аномального роста сенсорных волокон (Geoffroy &amp; Zheng, 2014). Гиперэкспрессия шаперонов, таких как α-кристаллин, хотя и замедляет катаракту, способна нарушить прозрачность хрусталика за счет образования чрезмерно плотных белковых кластеров (Makley et al., 2015).</w:t>
      </w:r>
    </w:p>
    <w:p w:rsidR="00000000" w:rsidDel="00000000" w:rsidP="00000000" w:rsidRDefault="00000000" w:rsidRPr="00000000" w14:paraId="000000DC">
      <w:pPr>
        <w:pStyle w:val="Heading2"/>
        <w:jc w:val="both"/>
        <w:rPr/>
      </w:pPr>
      <w:bookmarkStart w:colFirst="0" w:colLast="0" w:name="_spbm2lglmnh5" w:id="37"/>
      <w:bookmarkEnd w:id="37"/>
      <w:r w:rsidDel="00000000" w:rsidR="00000000" w:rsidRPr="00000000">
        <w:rPr>
          <w:rtl w:val="0"/>
        </w:rPr>
        <w:t xml:space="preserve">Будущие направления</w:t>
      </w:r>
    </w:p>
    <w:p w:rsidR="00000000" w:rsidDel="00000000" w:rsidP="00000000" w:rsidRDefault="00000000" w:rsidRPr="00000000" w14:paraId="000000DD">
      <w:pPr>
        <w:jc w:val="both"/>
        <w:rPr/>
      </w:pPr>
      <w:r w:rsidDel="00000000" w:rsidR="00000000" w:rsidRPr="00000000">
        <w:rPr>
          <w:rtl w:val="0"/>
        </w:rPr>
        <w:t xml:space="preserve">Видя практически неограниченную способность к регенерации животных, у которых клетки, содержащие центриоли не деляются (например, планарии) очевидно, что у видов с делящимися клетками с центриолями происходит жертвование способности к регенерации в пользу специализации. Потеря митотической активности у них связана с другими преференциями. Например, у нейронов это позволило сформировать стабильные нейронные сети, необходимые для долговременной памяти, но сделала мозг уязвимым к травмам (Herculano-Houzel, 2014). Аналогично, минерализация эмали обеспечила защиту от механических повреждений, но лишила зубы способности к самовосстановлению.</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Перспективные направления исследований включают:</w:t>
      </w:r>
    </w:p>
    <w:p w:rsidR="00000000" w:rsidDel="00000000" w:rsidP="00000000" w:rsidRDefault="00000000" w:rsidRPr="00000000" w14:paraId="000000E0">
      <w:pPr>
        <w:numPr>
          <w:ilvl w:val="0"/>
          <w:numId w:val="2"/>
        </w:numPr>
        <w:ind w:left="720" w:hanging="360"/>
        <w:jc w:val="both"/>
      </w:pPr>
      <w:r w:rsidDel="00000000" w:rsidR="00000000" w:rsidRPr="00000000">
        <w:rPr>
          <w:rtl w:val="0"/>
        </w:rPr>
        <w:t xml:space="preserve">Разработку «умных» биоматериалов, имитирующих иерархическую структуру естественных тканей (например, градиентные гидрогели для восстановления аксонов).</w:t>
      </w:r>
    </w:p>
    <w:p w:rsidR="00000000" w:rsidDel="00000000" w:rsidP="00000000" w:rsidRDefault="00000000" w:rsidRPr="00000000" w14:paraId="000000E1">
      <w:pPr>
        <w:numPr>
          <w:ilvl w:val="0"/>
          <w:numId w:val="2"/>
        </w:numPr>
        <w:ind w:left="720" w:hanging="360"/>
        <w:jc w:val="both"/>
      </w:pPr>
      <w:r w:rsidDel="00000000" w:rsidR="00000000" w:rsidRPr="00000000">
        <w:rPr>
          <w:rtl w:val="0"/>
        </w:rPr>
        <w:t xml:space="preserve">Использование искусственного интеллекта для прогнозирования точек накопления повреждений и персонализированного подбора антиоксидантов.</w:t>
      </w:r>
    </w:p>
    <w:p w:rsidR="00000000" w:rsidDel="00000000" w:rsidP="00000000" w:rsidRDefault="00000000" w:rsidRPr="00000000" w14:paraId="000000E2">
      <w:pPr>
        <w:numPr>
          <w:ilvl w:val="0"/>
          <w:numId w:val="2"/>
        </w:numPr>
        <w:ind w:left="720" w:hanging="360"/>
        <w:jc w:val="both"/>
      </w:pPr>
      <w:r w:rsidDel="00000000" w:rsidR="00000000" w:rsidRPr="00000000">
        <w:rPr>
          <w:rtl w:val="0"/>
        </w:rPr>
        <w:t xml:space="preserve">Изучение эпигенетических часов для оценки «возраста» невосстанавливаемых структур и своевременного вмешательства.</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Отдельным вопросом стоит проблема накопления старых центриоле в стволовых клетках.</w:t>
      </w:r>
    </w:p>
    <w:p w:rsidR="00000000" w:rsidDel="00000000" w:rsidP="00000000" w:rsidRDefault="00000000" w:rsidRPr="00000000" w14:paraId="000000E5">
      <w:pPr>
        <w:pStyle w:val="Heading1"/>
        <w:jc w:val="both"/>
        <w:rPr/>
      </w:pPr>
      <w:bookmarkStart w:colFirst="0" w:colLast="0" w:name="_dpf4ii7vs2cm" w:id="38"/>
      <w:bookmarkEnd w:id="38"/>
      <w:r w:rsidDel="00000000" w:rsidR="00000000" w:rsidRPr="00000000">
        <w:rPr>
          <w:rtl w:val="0"/>
        </w:rPr>
        <w:t xml:space="preserve">Заключение</w:t>
      </w:r>
    </w:p>
    <w:p w:rsidR="00000000" w:rsidDel="00000000" w:rsidP="00000000" w:rsidRDefault="00000000" w:rsidRPr="00000000" w14:paraId="000000E6">
      <w:pPr>
        <w:jc w:val="both"/>
        <w:rPr/>
      </w:pPr>
      <w:r w:rsidDel="00000000" w:rsidR="00000000" w:rsidRPr="00000000">
        <w:rPr>
          <w:rtl w:val="0"/>
        </w:rPr>
        <w:t xml:space="preserve">Старение организма представляет собой сложный процесс, движимый фундаментальным законом термодинамики — накоплением энтропии. В биологических системах энтропия проявляется как прогрессирующее нарушение молекулярного порядка, вызванное окислительными повреждениями, ошибками репарации ДНК и дисфункцией белков. Организм постоянно борется с энтропией, обновляя клетки и структуры: гепатоциты печени заменяются каждые 150–200 дней, эпидермис кожи — каждые 2–4 недели, а эритроциты — каждые 120 дней (López-Otín et al., 2013). Однако существуют долговечные невосстанавливаемые молекулы, органеллы и ткани, которые становятся «точками накопления энтропии», ускоряя старение и провоцируя возрастные заболевания.</w:t>
      </w:r>
    </w:p>
    <w:p w:rsidR="00000000" w:rsidDel="00000000" w:rsidP="00000000" w:rsidRDefault="00000000" w:rsidRPr="00000000" w14:paraId="000000E7">
      <w:pPr>
        <w:pStyle w:val="Heading2"/>
        <w:jc w:val="both"/>
        <w:rPr/>
      </w:pPr>
      <w:bookmarkStart w:colFirst="0" w:colLast="0" w:name="_1ww49z4cyv2z" w:id="39"/>
      <w:bookmarkEnd w:id="39"/>
      <w:r w:rsidDel="00000000" w:rsidR="00000000" w:rsidRPr="00000000">
        <w:rPr>
          <w:rtl w:val="0"/>
        </w:rPr>
        <w:t xml:space="preserve">Невосстанавливаемые структуры как аккумуляторы энтропии</w:t>
      </w:r>
    </w:p>
    <w:p w:rsidR="00000000" w:rsidDel="00000000" w:rsidP="00000000" w:rsidRDefault="00000000" w:rsidRPr="00000000" w14:paraId="000000E8">
      <w:pPr>
        <w:jc w:val="both"/>
        <w:rPr/>
      </w:pPr>
      <w:r w:rsidDel="00000000" w:rsidR="00000000" w:rsidRPr="00000000">
        <w:rPr>
          <w:rtl w:val="0"/>
        </w:rPr>
        <w:t xml:space="preserve">1. Молекулярный уровень:</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numPr>
          <w:ilvl w:val="0"/>
          <w:numId w:val="21"/>
        </w:numPr>
        <w:ind w:left="720" w:hanging="360"/>
        <w:jc w:val="both"/>
      </w:pPr>
      <w:r w:rsidDel="00000000" w:rsidR="00000000" w:rsidRPr="00000000">
        <w:rPr>
          <w:rtl w:val="0"/>
        </w:rPr>
        <w:t xml:space="preserve">Кристаллины хрусталика глаза синтезируются на эмбриональной стадии и не заменяются в течение жизни. Их посттрансляционные модификации (окисление, гликирование) приводят к агрегации, формируя катаракту — ведущую причину слепоты (Truscott, 2005).</w:t>
      </w:r>
    </w:p>
    <w:p w:rsidR="00000000" w:rsidDel="00000000" w:rsidP="00000000" w:rsidRDefault="00000000" w:rsidRPr="00000000" w14:paraId="000000EB">
      <w:pPr>
        <w:numPr>
          <w:ilvl w:val="0"/>
          <w:numId w:val="21"/>
        </w:numPr>
        <w:ind w:left="720" w:hanging="360"/>
        <w:jc w:val="both"/>
      </w:pPr>
      <w:r w:rsidDel="00000000" w:rsidR="00000000" w:rsidRPr="00000000">
        <w:rPr>
          <w:rtl w:val="0"/>
        </w:rPr>
        <w:t xml:space="preserve">ДНК постмитотических клеток (нейроны, кардиомиоциты) накапливает мутации из-за неэффективной репарации, что коррелирует с нейродегенерацией и сердечной недостаточностью (Lodato et al., 2018).</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2. Органеллярный уровень:</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numPr>
          <w:ilvl w:val="0"/>
          <w:numId w:val="20"/>
        </w:numPr>
        <w:ind w:left="720" w:hanging="360"/>
        <w:jc w:val="both"/>
      </w:pPr>
      <w:r w:rsidDel="00000000" w:rsidR="00000000" w:rsidRPr="00000000">
        <w:rPr>
          <w:rtl w:val="0"/>
        </w:rPr>
        <w:t xml:space="preserve">Митохондрии в нейронах теряют способность к митофагии, накапливая дефектную мтДНК и генерируя избыток реактивных форм кислорода (РОС), что запускает апоптоз (Sun et al., 2016).</w:t>
      </w:r>
    </w:p>
    <w:p w:rsidR="00000000" w:rsidDel="00000000" w:rsidP="00000000" w:rsidRDefault="00000000" w:rsidRPr="00000000" w14:paraId="000000F0">
      <w:pPr>
        <w:numPr>
          <w:ilvl w:val="0"/>
          <w:numId w:val="20"/>
        </w:numPr>
        <w:ind w:left="720" w:hanging="360"/>
        <w:jc w:val="both"/>
      </w:pPr>
      <w:r w:rsidDel="00000000" w:rsidR="00000000" w:rsidRPr="00000000">
        <w:rPr>
          <w:rtl w:val="0"/>
        </w:rPr>
        <w:t xml:space="preserve">Центриоли в стволовых клетках избирательно наследуют «старые» материнские структуры, что нарушает асимметричное деление и снижает регенеративный потенциал тканей (Wang et al., 2021).</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3. Тканевый уровень:</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numPr>
          <w:ilvl w:val="0"/>
          <w:numId w:val="17"/>
        </w:numPr>
        <w:ind w:left="720" w:hanging="360"/>
        <w:jc w:val="both"/>
      </w:pPr>
      <w:r w:rsidDel="00000000" w:rsidR="00000000" w:rsidRPr="00000000">
        <w:rPr>
          <w:rtl w:val="0"/>
        </w:rPr>
        <w:t xml:space="preserve">Зубная эмаль, лишенная клеток, не регенерирует, а её деминерализация приводит к необратимому разрушению (Selwitz et al., 2007).</w:t>
      </w:r>
    </w:p>
    <w:p w:rsidR="00000000" w:rsidDel="00000000" w:rsidP="00000000" w:rsidRDefault="00000000" w:rsidRPr="00000000" w14:paraId="000000F5">
      <w:pPr>
        <w:numPr>
          <w:ilvl w:val="0"/>
          <w:numId w:val="17"/>
        </w:numPr>
        <w:ind w:left="720" w:hanging="360"/>
        <w:jc w:val="both"/>
      </w:pPr>
      <w:r w:rsidDel="00000000" w:rsidR="00000000" w:rsidRPr="00000000">
        <w:rPr>
          <w:rtl w:val="0"/>
        </w:rPr>
        <w:t xml:space="preserve">Нейроны ЦНС не восстанавливают аксоны после повреждений, что объясняется экспрессией ингибиторов роста (Nogo-A) и формированием глиального рубца (He &amp; Jin, 2016).</w:t>
      </w:r>
    </w:p>
    <w:p w:rsidR="00000000" w:rsidDel="00000000" w:rsidP="00000000" w:rsidRDefault="00000000" w:rsidRPr="00000000" w14:paraId="000000F6">
      <w:pPr>
        <w:pStyle w:val="Heading2"/>
        <w:jc w:val="both"/>
        <w:rPr/>
      </w:pPr>
      <w:bookmarkStart w:colFirst="0" w:colLast="0" w:name="_nz6x7yhzobhr" w:id="40"/>
      <w:bookmarkEnd w:id="40"/>
      <w:r w:rsidDel="00000000" w:rsidR="00000000" w:rsidRPr="00000000">
        <w:rPr>
          <w:rtl w:val="0"/>
        </w:rPr>
        <w:t xml:space="preserve">Центриоли: главные «дирижеры» клеточной энтропии</w:t>
      </w:r>
    </w:p>
    <w:p w:rsidR="00000000" w:rsidDel="00000000" w:rsidP="00000000" w:rsidRDefault="00000000" w:rsidRPr="00000000" w14:paraId="000000F7">
      <w:pPr>
        <w:jc w:val="both"/>
        <w:rPr/>
      </w:pPr>
      <w:r w:rsidDel="00000000" w:rsidR="00000000" w:rsidRPr="00000000">
        <w:rPr>
          <w:rtl w:val="0"/>
        </w:rPr>
        <w:t xml:space="preserve">Центриоли, в отличие от других структур, занимают уникальное положение в иерархии старения. Они не только устойчивы к обновлению, но и активно накапливают энтропию, передавая её следующим поколениям клеток. В стволовых клетках «старые» материнские центриоли наследуются клеткой, сохраняющей стволовые свойства, тогда как «новые» дочерние направляются в дифференцирующиеся клетки (Bazzi &amp; Anderson, 2014). Этот механизм, эволюционно выгодный для поддержания пула стволовых клеток, имеет обратную сторону:</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numPr>
          <w:ilvl w:val="0"/>
          <w:numId w:val="25"/>
        </w:numPr>
        <w:ind w:left="720" w:hanging="360"/>
        <w:jc w:val="both"/>
      </w:pPr>
      <w:r w:rsidDel="00000000" w:rsidR="00000000" w:rsidRPr="00000000">
        <w:rPr>
          <w:rtl w:val="0"/>
        </w:rPr>
        <w:t xml:space="preserve">Накопление повреждений:</w:t>
      </w:r>
    </w:p>
    <w:p w:rsidR="00000000" w:rsidDel="00000000" w:rsidP="00000000" w:rsidRDefault="00000000" w:rsidRPr="00000000" w14:paraId="000000FA">
      <w:pPr>
        <w:numPr>
          <w:ilvl w:val="1"/>
          <w:numId w:val="25"/>
        </w:numPr>
        <w:ind w:left="1440" w:hanging="360"/>
        <w:jc w:val="both"/>
      </w:pPr>
      <w:r w:rsidDel="00000000" w:rsidR="00000000" w:rsidRPr="00000000">
        <w:rPr>
          <w:rtl w:val="0"/>
        </w:rPr>
        <w:t xml:space="preserve">Окисление белков центросомы (например, SAS-6) нарушает сборку микротрубочек, провоцируя хромосомную нестабильность (Löhr et al., 2017).</w:t>
      </w:r>
    </w:p>
    <w:p w:rsidR="00000000" w:rsidDel="00000000" w:rsidP="00000000" w:rsidRDefault="00000000" w:rsidRPr="00000000" w14:paraId="000000FB">
      <w:pPr>
        <w:numPr>
          <w:ilvl w:val="1"/>
          <w:numId w:val="25"/>
        </w:numPr>
        <w:ind w:left="1440" w:hanging="360"/>
        <w:jc w:val="both"/>
      </w:pPr>
      <w:r w:rsidDel="00000000" w:rsidR="00000000" w:rsidRPr="00000000">
        <w:rPr>
          <w:rtl w:val="0"/>
        </w:rPr>
        <w:t xml:space="preserve">Возрастные центриоли теряют способность формировать первичные реснички, что блокирует сигнальные пути (Hedgehog, Wnt), критичные для регенерации тканей (Satir &amp; Christensen, 2007).</w:t>
      </w:r>
    </w:p>
    <w:p w:rsidR="00000000" w:rsidDel="00000000" w:rsidP="00000000" w:rsidRDefault="00000000" w:rsidRPr="00000000" w14:paraId="000000FC">
      <w:pPr>
        <w:numPr>
          <w:ilvl w:val="0"/>
          <w:numId w:val="25"/>
        </w:numPr>
        <w:ind w:left="720" w:hanging="360"/>
        <w:jc w:val="both"/>
      </w:pPr>
      <w:r w:rsidDel="00000000" w:rsidR="00000000" w:rsidRPr="00000000">
        <w:rPr>
          <w:rtl w:val="0"/>
        </w:rPr>
        <w:t xml:space="preserve">Влияние на экспрессию генов:</w:t>
      </w:r>
    </w:p>
    <w:p w:rsidR="00000000" w:rsidDel="00000000" w:rsidP="00000000" w:rsidRDefault="00000000" w:rsidRPr="00000000" w14:paraId="000000FD">
      <w:pPr>
        <w:numPr>
          <w:ilvl w:val="1"/>
          <w:numId w:val="25"/>
        </w:numPr>
        <w:ind w:left="1440" w:hanging="360"/>
        <w:jc w:val="both"/>
      </w:pPr>
      <w:r w:rsidDel="00000000" w:rsidR="00000000" w:rsidRPr="00000000">
        <w:rPr>
          <w:rtl w:val="0"/>
        </w:rPr>
        <w:t xml:space="preserve">Центриоли регулируют пространственную организацию ядра через взаимодействие с ламинами и ядерными порами. Их дисфункция нарушает транспорт мРНК и приводит к накоплению поврежденных белков (D’Angelo et al., 2009).</w:t>
      </w:r>
    </w:p>
    <w:p w:rsidR="00000000" w:rsidDel="00000000" w:rsidP="00000000" w:rsidRDefault="00000000" w:rsidRPr="00000000" w14:paraId="000000FE">
      <w:pPr>
        <w:numPr>
          <w:ilvl w:val="1"/>
          <w:numId w:val="25"/>
        </w:numPr>
        <w:ind w:left="1440" w:hanging="360"/>
        <w:jc w:val="both"/>
      </w:pPr>
      <w:r w:rsidDel="00000000" w:rsidR="00000000" w:rsidRPr="00000000">
        <w:rPr>
          <w:rtl w:val="0"/>
        </w:rPr>
        <w:t xml:space="preserve">В нейронах дефектные центриоли ассоциированы с агрегацией тау-белка — маркера болезни Альцгеймера (Frost et al., 2014).</w:t>
      </w:r>
    </w:p>
    <w:p w:rsidR="00000000" w:rsidDel="00000000" w:rsidP="00000000" w:rsidRDefault="00000000" w:rsidRPr="00000000" w14:paraId="000000FF">
      <w:pPr>
        <w:numPr>
          <w:ilvl w:val="0"/>
          <w:numId w:val="25"/>
        </w:numPr>
        <w:ind w:left="720" w:hanging="360"/>
        <w:jc w:val="both"/>
      </w:pPr>
      <w:r w:rsidDel="00000000" w:rsidR="00000000" w:rsidRPr="00000000">
        <w:rPr>
          <w:rtl w:val="0"/>
        </w:rPr>
        <w:t xml:space="preserve">Связь с онкогенезом:</w:t>
      </w:r>
    </w:p>
    <w:p w:rsidR="00000000" w:rsidDel="00000000" w:rsidP="00000000" w:rsidRDefault="00000000" w:rsidRPr="00000000" w14:paraId="00000100">
      <w:pPr>
        <w:numPr>
          <w:ilvl w:val="1"/>
          <w:numId w:val="25"/>
        </w:numPr>
        <w:ind w:left="1440" w:hanging="360"/>
        <w:jc w:val="both"/>
      </w:pPr>
      <w:r w:rsidDel="00000000" w:rsidR="00000000" w:rsidRPr="00000000">
        <w:rPr>
          <w:rtl w:val="0"/>
        </w:rPr>
        <w:t xml:space="preserve">Попытки регенерации центриолей в соматических клетках приводят к супернумерации этих органелл, что вызывает анеуплоидию и неконтролируемое деление (Nigg &amp; Holland, 2018).</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Таким образом, центриоли становятся ключевыми аккумуляторами энтропии, связывая клеточное старение с системной дисфункцией. Их стабильность, необходимая для асимметричного деления стволовых клеток, оборачивается ценой — прогрессирующим накоплением повреждений в тканях.</w:t>
      </w:r>
    </w:p>
    <w:p w:rsidR="00000000" w:rsidDel="00000000" w:rsidP="00000000" w:rsidRDefault="00000000" w:rsidRPr="00000000" w14:paraId="00000103">
      <w:pPr>
        <w:pStyle w:val="Heading2"/>
        <w:jc w:val="both"/>
        <w:rPr/>
      </w:pPr>
      <w:bookmarkStart w:colFirst="0" w:colLast="0" w:name="_tlpz0xliwxmp" w:id="41"/>
      <w:bookmarkEnd w:id="41"/>
      <w:r w:rsidDel="00000000" w:rsidR="00000000" w:rsidRPr="00000000">
        <w:rPr>
          <w:rtl w:val="0"/>
        </w:rPr>
        <w:t xml:space="preserve">Стратегии борьбы с энтропией: от теории к практике</w:t>
      </w:r>
    </w:p>
    <w:p w:rsidR="00000000" w:rsidDel="00000000" w:rsidP="00000000" w:rsidRDefault="00000000" w:rsidRPr="00000000" w14:paraId="00000104">
      <w:pPr>
        <w:jc w:val="both"/>
        <w:rPr/>
      </w:pPr>
      <w:r w:rsidDel="00000000" w:rsidR="00000000" w:rsidRPr="00000000">
        <w:rPr>
          <w:rtl w:val="0"/>
        </w:rPr>
        <w:t xml:space="preserve">Организм пытается минимизировать энтропию в невосстанавливаемых структурах, используя компенсаторные механизмы:</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numPr>
          <w:ilvl w:val="0"/>
          <w:numId w:val="7"/>
        </w:numPr>
        <w:ind w:left="720" w:hanging="360"/>
        <w:jc w:val="both"/>
      </w:pPr>
      <w:r w:rsidDel="00000000" w:rsidR="00000000" w:rsidRPr="00000000">
        <w:rPr>
          <w:rtl w:val="0"/>
        </w:rPr>
        <w:t xml:space="preserve">Аутофагия: Удаление поврежденных органелл (например, митохондрий) через лизосомальную деградацию (Rubinsztein et al., 2015).</w:t>
      </w:r>
    </w:p>
    <w:p w:rsidR="00000000" w:rsidDel="00000000" w:rsidP="00000000" w:rsidRDefault="00000000" w:rsidRPr="00000000" w14:paraId="00000107">
      <w:pPr>
        <w:numPr>
          <w:ilvl w:val="0"/>
          <w:numId w:val="7"/>
        </w:numPr>
        <w:ind w:left="720" w:hanging="360"/>
        <w:jc w:val="both"/>
      </w:pPr>
      <w:r w:rsidDel="00000000" w:rsidR="00000000" w:rsidRPr="00000000">
        <w:rPr>
          <w:rtl w:val="0"/>
        </w:rPr>
        <w:t xml:space="preserve">Антиоксидантные системы: Глутатион и супероксиддисмутаза нейтрализуют РОС, замедляя окисление белков и ДНК (Sies et al., 2017).</w:t>
      </w:r>
    </w:p>
    <w:p w:rsidR="00000000" w:rsidDel="00000000" w:rsidP="00000000" w:rsidRDefault="00000000" w:rsidRPr="00000000" w14:paraId="00000108">
      <w:pPr>
        <w:numPr>
          <w:ilvl w:val="0"/>
          <w:numId w:val="7"/>
        </w:numPr>
        <w:ind w:left="720" w:hanging="360"/>
        <w:jc w:val="both"/>
      </w:pPr>
      <w:r w:rsidDel="00000000" w:rsidR="00000000" w:rsidRPr="00000000">
        <w:rPr>
          <w:rtl w:val="0"/>
        </w:rPr>
        <w:t xml:space="preserve">Молекулярные шапероны: α-Кристаллины предотвращают агрегацию денатурированных белков в хрусталике (Horwitz, 2003).</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Однако эти системы несовершенны. Например, аутофагия в нейронах подавляется с возрастом из-за накопления липофусцина (Höhn &amp; Grune, 2013), а антиоксиданты не способны полностью нейтрализовать митохондриальные РОС в кардиомиоцитах (Brown et al., 2017).</w:t>
      </w:r>
    </w:p>
    <w:p w:rsidR="00000000" w:rsidDel="00000000" w:rsidP="00000000" w:rsidRDefault="00000000" w:rsidRPr="00000000" w14:paraId="0000010B">
      <w:pPr>
        <w:pStyle w:val="Heading3"/>
        <w:jc w:val="both"/>
        <w:rPr/>
      </w:pPr>
      <w:bookmarkStart w:colFirst="0" w:colLast="0" w:name="_kidvr8g2s6qg" w:id="42"/>
      <w:bookmarkEnd w:id="42"/>
      <w:r w:rsidDel="00000000" w:rsidR="00000000" w:rsidRPr="00000000">
        <w:rPr>
          <w:rtl w:val="0"/>
        </w:rPr>
        <w:t xml:space="preserve">Перспективные терапевтические подходы:</w:t>
      </w:r>
    </w:p>
    <w:p w:rsidR="00000000" w:rsidDel="00000000" w:rsidP="00000000" w:rsidRDefault="00000000" w:rsidRPr="00000000" w14:paraId="0000010C">
      <w:pPr>
        <w:numPr>
          <w:ilvl w:val="0"/>
          <w:numId w:val="13"/>
        </w:numPr>
        <w:ind w:left="720" w:hanging="360"/>
        <w:jc w:val="both"/>
      </w:pPr>
      <w:r w:rsidDel="00000000" w:rsidR="00000000" w:rsidRPr="00000000">
        <w:rPr>
          <w:rtl w:val="0"/>
        </w:rPr>
        <w:t xml:space="preserve">Сениолитики: Препараты (физетин, дазатиниб + кверцитин) избирательно устраняют сенесцентные клетки, снижая нагрузку «молекулярного мусора» (Yousefzadeh et al., 2018).</w:t>
      </w:r>
    </w:p>
    <w:p w:rsidR="00000000" w:rsidDel="00000000" w:rsidP="00000000" w:rsidRDefault="00000000" w:rsidRPr="00000000" w14:paraId="0000010D">
      <w:pPr>
        <w:numPr>
          <w:ilvl w:val="0"/>
          <w:numId w:val="13"/>
        </w:numPr>
        <w:ind w:left="720" w:hanging="360"/>
        <w:jc w:val="both"/>
      </w:pPr>
      <w:r w:rsidDel="00000000" w:rsidR="00000000" w:rsidRPr="00000000">
        <w:rPr>
          <w:rtl w:val="0"/>
        </w:rPr>
        <w:t xml:space="preserve">Генная терапия:</w:t>
      </w:r>
    </w:p>
    <w:p w:rsidR="00000000" w:rsidDel="00000000" w:rsidP="00000000" w:rsidRDefault="00000000" w:rsidRPr="00000000" w14:paraId="0000010E">
      <w:pPr>
        <w:numPr>
          <w:ilvl w:val="1"/>
          <w:numId w:val="13"/>
        </w:numPr>
        <w:ind w:left="1440" w:hanging="360"/>
        <w:jc w:val="both"/>
      </w:pPr>
      <w:r w:rsidDel="00000000" w:rsidR="00000000" w:rsidRPr="00000000">
        <w:rPr>
          <w:rtl w:val="0"/>
        </w:rPr>
        <w:t xml:space="preserve">CRISPR/Cas9-коррекция мутаций в постмитотических нейронах (Moreno et al., 2022).</w:t>
      </w:r>
    </w:p>
    <w:p w:rsidR="00000000" w:rsidDel="00000000" w:rsidP="00000000" w:rsidRDefault="00000000" w:rsidRPr="00000000" w14:paraId="0000010F">
      <w:pPr>
        <w:numPr>
          <w:ilvl w:val="1"/>
          <w:numId w:val="13"/>
        </w:numPr>
        <w:ind w:left="1440" w:hanging="360"/>
        <w:jc w:val="both"/>
      </w:pPr>
      <w:r w:rsidDel="00000000" w:rsidR="00000000" w:rsidRPr="00000000">
        <w:rPr>
          <w:rtl w:val="0"/>
        </w:rPr>
        <w:t xml:space="preserve">Активация теломеразы для продления жизни стволовых клеток (Jaskelioff et al., 2011).</w:t>
      </w:r>
    </w:p>
    <w:p w:rsidR="00000000" w:rsidDel="00000000" w:rsidP="00000000" w:rsidRDefault="00000000" w:rsidRPr="00000000" w14:paraId="00000110">
      <w:pPr>
        <w:numPr>
          <w:ilvl w:val="0"/>
          <w:numId w:val="13"/>
        </w:numPr>
        <w:ind w:left="720" w:hanging="360"/>
        <w:jc w:val="both"/>
      </w:pPr>
      <w:r w:rsidDel="00000000" w:rsidR="00000000" w:rsidRPr="00000000">
        <w:rPr>
          <w:rtl w:val="0"/>
        </w:rPr>
        <w:t xml:space="preserve">Биомиметические материалы:</w:t>
      </w:r>
    </w:p>
    <w:p w:rsidR="00000000" w:rsidDel="00000000" w:rsidP="00000000" w:rsidRDefault="00000000" w:rsidRPr="00000000" w14:paraId="00000111">
      <w:pPr>
        <w:numPr>
          <w:ilvl w:val="1"/>
          <w:numId w:val="13"/>
        </w:numPr>
        <w:ind w:left="1440" w:hanging="360"/>
        <w:jc w:val="both"/>
      </w:pPr>
      <w:r w:rsidDel="00000000" w:rsidR="00000000" w:rsidRPr="00000000">
        <w:rPr>
          <w:rtl w:val="0"/>
        </w:rPr>
        <w:t xml:space="preserve">Наночастицы гидроксиапатита с пептидами амелогенина восстанавливают зубную эмаль (Ruan et al., 2016).</w:t>
      </w:r>
    </w:p>
    <w:p w:rsidR="00000000" w:rsidDel="00000000" w:rsidP="00000000" w:rsidRDefault="00000000" w:rsidRPr="00000000" w14:paraId="00000112">
      <w:pPr>
        <w:numPr>
          <w:ilvl w:val="1"/>
          <w:numId w:val="13"/>
        </w:numPr>
        <w:ind w:left="1440" w:hanging="360"/>
        <w:jc w:val="both"/>
      </w:pPr>
      <w:r w:rsidDel="00000000" w:rsidR="00000000" w:rsidRPr="00000000">
        <w:rPr>
          <w:rtl w:val="0"/>
        </w:rPr>
        <w:t xml:space="preserve">Искусственные шапероны для стабилизации кристаллинов (Makley et al., 2015).</w:t>
      </w:r>
    </w:p>
    <w:p w:rsidR="00000000" w:rsidDel="00000000" w:rsidP="00000000" w:rsidRDefault="00000000" w:rsidRPr="00000000" w14:paraId="00000113">
      <w:pPr>
        <w:numPr>
          <w:ilvl w:val="0"/>
          <w:numId w:val="13"/>
        </w:numPr>
        <w:ind w:left="720" w:hanging="360"/>
        <w:jc w:val="both"/>
      </w:pPr>
      <w:r w:rsidDel="00000000" w:rsidR="00000000" w:rsidRPr="00000000">
        <w:rPr>
          <w:rtl w:val="0"/>
        </w:rPr>
        <w:t xml:space="preserve">Митохондриальная заместительная терапия: Трансплантация митохондрий в ооциты повышает фертильность (Fakih et al., 2021).</w:t>
      </w:r>
    </w:p>
    <w:p w:rsidR="00000000" w:rsidDel="00000000" w:rsidP="00000000" w:rsidRDefault="00000000" w:rsidRPr="00000000" w14:paraId="00000114">
      <w:pPr>
        <w:pStyle w:val="Heading3"/>
        <w:jc w:val="both"/>
        <w:rPr/>
      </w:pPr>
      <w:bookmarkStart w:colFirst="0" w:colLast="0" w:name="_4a37gpz0n8lw" w:id="43"/>
      <w:bookmarkEnd w:id="43"/>
      <w:r w:rsidDel="00000000" w:rsidR="00000000" w:rsidRPr="00000000">
        <w:rPr>
          <w:rtl w:val="0"/>
        </w:rPr>
        <w:t xml:space="preserve">Центриоли как мишень для анти-эйдж-терапий</w:t>
      </w:r>
    </w:p>
    <w:p w:rsidR="00000000" w:rsidDel="00000000" w:rsidP="00000000" w:rsidRDefault="00000000" w:rsidRPr="00000000" w14:paraId="00000115">
      <w:pPr>
        <w:jc w:val="both"/>
        <w:rPr/>
      </w:pPr>
      <w:r w:rsidDel="00000000" w:rsidR="00000000" w:rsidRPr="00000000">
        <w:rPr>
          <w:rtl w:val="0"/>
        </w:rPr>
        <w:t xml:space="preserve">Учитывая роль центриолей в накоплении энтропии, их стабилизация или контролируемая замена могли бы стать прорывом в борьбе со старением:</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numPr>
          <w:ilvl w:val="0"/>
          <w:numId w:val="9"/>
        </w:numPr>
        <w:ind w:left="720" w:hanging="360"/>
        <w:jc w:val="both"/>
      </w:pPr>
      <w:r w:rsidDel="00000000" w:rsidR="00000000" w:rsidRPr="00000000">
        <w:rPr>
          <w:rtl w:val="0"/>
        </w:rPr>
        <w:t xml:space="preserve">Ингибиторы окислительного стресса: N-Ацетилцистеин замедляет карбонилирование белков центросомы (Choi et al., 2020).</w:t>
      </w:r>
    </w:p>
    <w:p w:rsidR="00000000" w:rsidDel="00000000" w:rsidP="00000000" w:rsidRDefault="00000000" w:rsidRPr="00000000" w14:paraId="00000118">
      <w:pPr>
        <w:numPr>
          <w:ilvl w:val="0"/>
          <w:numId w:val="9"/>
        </w:numPr>
        <w:ind w:left="720" w:hanging="360"/>
        <w:jc w:val="both"/>
      </w:pPr>
      <w:r w:rsidDel="00000000" w:rsidR="00000000" w:rsidRPr="00000000">
        <w:rPr>
          <w:rtl w:val="0"/>
        </w:rPr>
        <w:t xml:space="preserve">Регуляция асимметричного деления: Модуляция белков POC1 и CEP120 улучшает наследование «молодых» центриолей в стволовых клетках (Ye et al., 2021).</w:t>
      </w:r>
    </w:p>
    <w:p w:rsidR="00000000" w:rsidDel="00000000" w:rsidP="00000000" w:rsidRDefault="00000000" w:rsidRPr="00000000" w14:paraId="00000119">
      <w:pPr>
        <w:numPr>
          <w:ilvl w:val="0"/>
          <w:numId w:val="9"/>
        </w:numPr>
        <w:ind w:left="720" w:hanging="360"/>
        <w:jc w:val="both"/>
      </w:pPr>
      <w:r w:rsidDel="00000000" w:rsidR="00000000" w:rsidRPr="00000000">
        <w:rPr>
          <w:rtl w:val="0"/>
        </w:rPr>
        <w:t xml:space="preserve">CRISPR-редактирование: Исправление мутаций в генах центриолей (PLK4, CEP152) предотвращает хромосомные аномалии (Zhong et al., 2022).</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Однако любое вмешательство требует осторожности. Например, избыточная активация биогенеза центриолей может спровоцировать рак (Nigg &amp; Holland, 2018).</w:t>
      </w:r>
    </w:p>
    <w:p w:rsidR="00000000" w:rsidDel="00000000" w:rsidP="00000000" w:rsidRDefault="00000000" w:rsidRPr="00000000" w14:paraId="0000011C">
      <w:pPr>
        <w:pStyle w:val="Heading3"/>
        <w:jc w:val="both"/>
        <w:rPr/>
      </w:pPr>
      <w:bookmarkStart w:colFirst="0" w:colLast="0" w:name="_8c4vtw82v2n7" w:id="44"/>
      <w:bookmarkEnd w:id="44"/>
      <w:r w:rsidDel="00000000" w:rsidR="00000000" w:rsidRPr="00000000">
        <w:rPr>
          <w:rtl w:val="0"/>
        </w:rPr>
        <w:t xml:space="preserve">Заключительные выводы</w:t>
      </w:r>
    </w:p>
    <w:p w:rsidR="00000000" w:rsidDel="00000000" w:rsidP="00000000" w:rsidRDefault="00000000" w:rsidRPr="00000000" w14:paraId="0000011D">
      <w:pPr>
        <w:numPr>
          <w:ilvl w:val="0"/>
          <w:numId w:val="28"/>
        </w:numPr>
        <w:ind w:left="720" w:hanging="360"/>
        <w:jc w:val="both"/>
      </w:pPr>
      <w:r w:rsidDel="00000000" w:rsidR="00000000" w:rsidRPr="00000000">
        <w:rPr>
          <w:rtl w:val="0"/>
        </w:rPr>
        <w:t xml:space="preserve">Энтропия как движущая сила старения: Невосстанавливаемые структуры становятся «ловушками» молекулярного хаоса, нарушая гомеостаз тканей.</w:t>
      </w:r>
    </w:p>
    <w:p w:rsidR="00000000" w:rsidDel="00000000" w:rsidP="00000000" w:rsidRDefault="00000000" w:rsidRPr="00000000" w14:paraId="0000011E">
      <w:pPr>
        <w:numPr>
          <w:ilvl w:val="0"/>
          <w:numId w:val="28"/>
        </w:numPr>
        <w:ind w:left="720" w:hanging="360"/>
        <w:jc w:val="both"/>
      </w:pPr>
      <w:r w:rsidDel="00000000" w:rsidR="00000000" w:rsidRPr="00000000">
        <w:rPr>
          <w:rtl w:val="0"/>
        </w:rPr>
        <w:t xml:space="preserve">Центриоли — ключевой игрок: Их избирательное наследование в стволовых клетках связывает клеточное старение с системной дисфункцией.</w:t>
      </w:r>
    </w:p>
    <w:p w:rsidR="00000000" w:rsidDel="00000000" w:rsidP="00000000" w:rsidRDefault="00000000" w:rsidRPr="00000000" w14:paraId="0000011F">
      <w:pPr>
        <w:numPr>
          <w:ilvl w:val="0"/>
          <w:numId w:val="28"/>
        </w:numPr>
        <w:ind w:left="720" w:hanging="360"/>
        <w:jc w:val="both"/>
      </w:pPr>
      <w:r w:rsidDel="00000000" w:rsidR="00000000" w:rsidRPr="00000000">
        <w:rPr>
          <w:rtl w:val="0"/>
        </w:rPr>
        <w:t xml:space="preserve">Комплексный подход к терапии: Сочетание сениолитиков, генного редактирования и биомиметических материалов может замедлить накопление энтропии. Стратегия - удалять клетки со старыми центриолями и заменять их клетками с новыми центриолями. Следуют учесть, что новые центриоли должны быть функционально идентичны старым относительно  потенции дифференциации.</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Будущие исследования должны ответить на вопросы:</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numPr>
          <w:ilvl w:val="0"/>
          <w:numId w:val="19"/>
        </w:numPr>
        <w:ind w:left="720" w:hanging="360"/>
        <w:jc w:val="both"/>
      </w:pPr>
      <w:r w:rsidDel="00000000" w:rsidR="00000000" w:rsidRPr="00000000">
        <w:rPr>
          <w:rtl w:val="0"/>
        </w:rPr>
        <w:t xml:space="preserve">Как «омолодить» центриоли без риска онкогенеза?</w:t>
      </w:r>
    </w:p>
    <w:p w:rsidR="00000000" w:rsidDel="00000000" w:rsidP="00000000" w:rsidRDefault="00000000" w:rsidRPr="00000000" w14:paraId="00000124">
      <w:pPr>
        <w:numPr>
          <w:ilvl w:val="0"/>
          <w:numId w:val="19"/>
        </w:numPr>
        <w:ind w:left="720" w:hanging="360"/>
        <w:jc w:val="both"/>
      </w:pPr>
      <w:r w:rsidDel="00000000" w:rsidR="00000000" w:rsidRPr="00000000">
        <w:rPr>
          <w:rtl w:val="0"/>
        </w:rPr>
        <w:t xml:space="preserve">Можно ли реактивировать регенерацию в строго постмитотических тканях (нейроны, хрусталик)?</w:t>
      </w:r>
    </w:p>
    <w:p w:rsidR="00000000" w:rsidDel="00000000" w:rsidP="00000000" w:rsidRDefault="00000000" w:rsidRPr="00000000" w14:paraId="00000125">
      <w:pPr>
        <w:numPr>
          <w:ilvl w:val="0"/>
          <w:numId w:val="19"/>
        </w:numPr>
        <w:ind w:left="720" w:hanging="360"/>
        <w:jc w:val="both"/>
      </w:pPr>
      <w:r w:rsidDel="00000000" w:rsidR="00000000" w:rsidRPr="00000000">
        <w:rPr>
          <w:rtl w:val="0"/>
        </w:rPr>
        <w:t xml:space="preserve">Какую роль в старении играют эпигенетические изменения невосстанавливаемых структур?</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Понимание этих механизмов откроет путь к радикальному продлению здоровья, преодолевая ограничения, наложенные энтропией.</w:t>
      </w:r>
    </w:p>
    <w:p w:rsidR="00000000" w:rsidDel="00000000" w:rsidP="00000000" w:rsidRDefault="00000000" w:rsidRPr="00000000" w14:paraId="00000128">
      <w:pPr>
        <w:pStyle w:val="Heading1"/>
        <w:jc w:val="both"/>
        <w:rPr/>
      </w:pPr>
      <w:bookmarkStart w:colFirst="0" w:colLast="0" w:name="_btdwu6jqdre5" w:id="45"/>
      <w:bookmarkEnd w:id="45"/>
      <w:r w:rsidDel="00000000" w:rsidR="00000000" w:rsidRPr="00000000">
        <w:rPr>
          <w:rtl w:val="0"/>
        </w:rPr>
        <w:t xml:space="preserve">Ссылки:</w:t>
      </w:r>
    </w:p>
    <w:p w:rsidR="00000000" w:rsidDel="00000000" w:rsidP="00000000" w:rsidRDefault="00000000" w:rsidRPr="00000000" w14:paraId="00000129">
      <w:pPr>
        <w:numPr>
          <w:ilvl w:val="0"/>
          <w:numId w:val="1"/>
        </w:numPr>
        <w:ind w:left="720" w:hanging="360"/>
        <w:jc w:val="both"/>
      </w:pPr>
      <w:r w:rsidDel="00000000" w:rsidR="00000000" w:rsidRPr="00000000">
        <w:rPr>
          <w:rtl w:val="0"/>
        </w:rPr>
        <w:t xml:space="preserve">Ahuja, C. S., Wilson, J. R., Nori, S., et al. (2017). Traumatic spinal cord injury. Nature Reviews Disease Primers, 3(1), 17018. </w:t>
      </w:r>
      <w:hyperlink r:id="rId10">
        <w:r w:rsidDel="00000000" w:rsidR="00000000" w:rsidRPr="00000000">
          <w:rPr>
            <w:color w:val="1155cc"/>
            <w:u w:val="single"/>
            <w:rtl w:val="0"/>
          </w:rPr>
          <w:t xml:space="preserve">https://doi.org/10.1038/nrdp.2017.18</w:t>
        </w:r>
      </w:hyperlink>
      <w:r w:rsidDel="00000000" w:rsidR="00000000" w:rsidRPr="00000000">
        <w:rPr>
          <w:rtl w:val="0"/>
        </w:rPr>
      </w:r>
    </w:p>
    <w:p w:rsidR="00000000" w:rsidDel="00000000" w:rsidP="00000000" w:rsidRDefault="00000000" w:rsidRPr="00000000" w14:paraId="0000012A">
      <w:pPr>
        <w:numPr>
          <w:ilvl w:val="0"/>
          <w:numId w:val="1"/>
        </w:numPr>
        <w:ind w:left="720" w:hanging="360"/>
        <w:jc w:val="both"/>
      </w:pPr>
      <w:r w:rsidDel="00000000" w:rsidR="00000000" w:rsidRPr="00000000">
        <w:rPr>
          <w:rtl w:val="0"/>
        </w:rPr>
        <w:t xml:space="preserve">Aphkhazava, D., Sulashvili, N., &amp; Tkemaladze, J. (2025). Stem Cell Systems and Regeneration. Georgian Scientists, 7(1), 271–319. doi: </w:t>
      </w:r>
      <w:hyperlink r:id="rId11">
        <w:r w:rsidDel="00000000" w:rsidR="00000000" w:rsidRPr="00000000">
          <w:rPr>
            <w:color w:val="1155cc"/>
            <w:u w:val="single"/>
            <w:rtl w:val="0"/>
          </w:rPr>
          <w:t xml:space="preserve">https://doi.org/10.52340/gs.2025.07.01.26</w:t>
        </w:r>
      </w:hyperlink>
      <w:r w:rsidDel="00000000" w:rsidR="00000000" w:rsidRPr="00000000">
        <w:rPr>
          <w:rtl w:val="0"/>
        </w:rPr>
        <w:t xml:space="preserve"> </w:t>
      </w:r>
    </w:p>
    <w:p w:rsidR="00000000" w:rsidDel="00000000" w:rsidP="00000000" w:rsidRDefault="00000000" w:rsidRPr="00000000" w14:paraId="0000012B">
      <w:pPr>
        <w:numPr>
          <w:ilvl w:val="0"/>
          <w:numId w:val="1"/>
        </w:numPr>
        <w:ind w:left="720" w:hanging="360"/>
        <w:jc w:val="both"/>
      </w:pPr>
      <w:r w:rsidDel="00000000" w:rsidR="00000000" w:rsidRPr="00000000">
        <w:rPr>
          <w:rtl w:val="0"/>
        </w:rPr>
        <w:t xml:space="preserve">Asbell, P. A., Dualan, I., Mindel, J., Brocks, D., Ahmad, M., &amp; Epstein, S. (2005). Age-related cataract. The Lancet, 365(9459), 599-609. </w:t>
      </w:r>
      <w:hyperlink r:id="rId12">
        <w:r w:rsidDel="00000000" w:rsidR="00000000" w:rsidRPr="00000000">
          <w:rPr>
            <w:color w:val="1155cc"/>
            <w:u w:val="single"/>
            <w:rtl w:val="0"/>
          </w:rPr>
          <w:t xml:space="preserve">https://doi.org/10.1016/S0140-6736(05)70803-5</w:t>
        </w:r>
      </w:hyperlink>
      <w:r w:rsidDel="00000000" w:rsidR="00000000" w:rsidRPr="00000000">
        <w:rPr>
          <w:rtl w:val="0"/>
        </w:rPr>
      </w:r>
    </w:p>
    <w:p w:rsidR="00000000" w:rsidDel="00000000" w:rsidP="00000000" w:rsidRDefault="00000000" w:rsidRPr="00000000" w14:paraId="0000012C">
      <w:pPr>
        <w:numPr>
          <w:ilvl w:val="0"/>
          <w:numId w:val="1"/>
        </w:numPr>
        <w:ind w:left="720" w:hanging="360"/>
        <w:jc w:val="both"/>
      </w:pPr>
      <w:r w:rsidDel="00000000" w:rsidR="00000000" w:rsidRPr="00000000">
        <w:rPr>
          <w:rtl w:val="0"/>
        </w:rPr>
        <w:t xml:space="preserve">Assinck, P., Duncan, G. J., Hilton, B. J., et al. (2017). Cell transplantation therapy for spinal cord injury. Nature Neuroscience, 20(5), 637–647. </w:t>
      </w:r>
      <w:hyperlink r:id="rId13">
        <w:r w:rsidDel="00000000" w:rsidR="00000000" w:rsidRPr="00000000">
          <w:rPr>
            <w:color w:val="1155cc"/>
            <w:u w:val="single"/>
            <w:rtl w:val="0"/>
          </w:rPr>
          <w:t xml:space="preserve">https://doi.org/10.1038/nn.4541</w:t>
        </w:r>
      </w:hyperlink>
      <w:r w:rsidDel="00000000" w:rsidR="00000000" w:rsidRPr="00000000">
        <w:rPr>
          <w:rtl w:val="0"/>
        </w:rPr>
      </w:r>
    </w:p>
    <w:p w:rsidR="00000000" w:rsidDel="00000000" w:rsidP="00000000" w:rsidRDefault="00000000" w:rsidRPr="00000000" w14:paraId="0000012D">
      <w:pPr>
        <w:numPr>
          <w:ilvl w:val="0"/>
          <w:numId w:val="1"/>
        </w:numPr>
        <w:ind w:left="720" w:hanging="360"/>
        <w:jc w:val="both"/>
      </w:pPr>
      <w:r w:rsidDel="00000000" w:rsidR="00000000" w:rsidRPr="00000000">
        <w:rPr>
          <w:rtl w:val="0"/>
        </w:rPr>
        <w:t xml:space="preserve">Bassnett, S., Shi, Y., &amp; Vrensen, G. F. (2011). Biological glass: Structural determinants of eye lens transparency. Philosophical Transactions of the Royal Society B, 366(1568), 1250–1264. </w:t>
      </w:r>
      <w:hyperlink r:id="rId14">
        <w:r w:rsidDel="00000000" w:rsidR="00000000" w:rsidRPr="00000000">
          <w:rPr>
            <w:color w:val="1155cc"/>
            <w:u w:val="single"/>
            <w:rtl w:val="0"/>
          </w:rPr>
          <w:t xml:space="preserve">https://doi.org/10.1098/rstb.2010.0302</w:t>
        </w:r>
      </w:hyperlink>
      <w:r w:rsidDel="00000000" w:rsidR="00000000" w:rsidRPr="00000000">
        <w:rPr>
          <w:rtl w:val="0"/>
        </w:rPr>
      </w:r>
    </w:p>
    <w:p w:rsidR="00000000" w:rsidDel="00000000" w:rsidP="00000000" w:rsidRDefault="00000000" w:rsidRPr="00000000" w14:paraId="0000012E">
      <w:pPr>
        <w:numPr>
          <w:ilvl w:val="0"/>
          <w:numId w:val="1"/>
        </w:numPr>
        <w:ind w:left="720" w:hanging="360"/>
        <w:jc w:val="both"/>
      </w:pPr>
      <w:r w:rsidDel="00000000" w:rsidR="00000000" w:rsidRPr="00000000">
        <w:rPr>
          <w:rtl w:val="0"/>
        </w:rPr>
        <w:t xml:space="preserve">Bazzi, H., &amp; Anderson, K. V. (2014). Acentriolar mitosis activates a p53-dependent apoptosis pathway in the mouse embryo. Proceedings of the National Academy of Sciences, 111(15), E1491–E1500. </w:t>
      </w:r>
      <w:hyperlink r:id="rId15">
        <w:r w:rsidDel="00000000" w:rsidR="00000000" w:rsidRPr="00000000">
          <w:rPr>
            <w:color w:val="1155cc"/>
            <w:u w:val="single"/>
            <w:rtl w:val="0"/>
          </w:rPr>
          <w:t xml:space="preserve">https://doi.org/10.1073/pnas.1400568111</w:t>
        </w:r>
      </w:hyperlink>
      <w:r w:rsidDel="00000000" w:rsidR="00000000" w:rsidRPr="00000000">
        <w:rPr>
          <w:rtl w:val="0"/>
        </w:rPr>
      </w:r>
    </w:p>
    <w:p w:rsidR="00000000" w:rsidDel="00000000" w:rsidP="00000000" w:rsidRDefault="00000000" w:rsidRPr="00000000" w14:paraId="0000012F">
      <w:pPr>
        <w:numPr>
          <w:ilvl w:val="0"/>
          <w:numId w:val="1"/>
        </w:numPr>
        <w:ind w:left="720" w:hanging="360"/>
        <w:jc w:val="both"/>
      </w:pPr>
      <w:r w:rsidDel="00000000" w:rsidR="00000000" w:rsidRPr="00000000">
        <w:rPr>
          <w:rtl w:val="0"/>
        </w:rPr>
        <w:t xml:space="preserve">Beniash, E., Stifler, C. A., Sun, C. Y., et al. (2019). The hidden structure of human enamel. Nature Communications, 10(1), 4383. </w:t>
      </w:r>
      <w:hyperlink r:id="rId16">
        <w:r w:rsidDel="00000000" w:rsidR="00000000" w:rsidRPr="00000000">
          <w:rPr>
            <w:color w:val="1155cc"/>
            <w:u w:val="single"/>
            <w:rtl w:val="0"/>
          </w:rPr>
          <w:t xml:space="preserve">https://doi.org/10.1038/s41467-019-12185-7</w:t>
        </w:r>
      </w:hyperlink>
      <w:r w:rsidDel="00000000" w:rsidR="00000000" w:rsidRPr="00000000">
        <w:rPr>
          <w:rtl w:val="0"/>
        </w:rPr>
      </w:r>
    </w:p>
    <w:p w:rsidR="00000000" w:rsidDel="00000000" w:rsidP="00000000" w:rsidRDefault="00000000" w:rsidRPr="00000000" w14:paraId="00000130">
      <w:pPr>
        <w:numPr>
          <w:ilvl w:val="0"/>
          <w:numId w:val="1"/>
        </w:numPr>
        <w:ind w:left="720" w:hanging="360"/>
        <w:jc w:val="both"/>
      </w:pPr>
      <w:r w:rsidDel="00000000" w:rsidR="00000000" w:rsidRPr="00000000">
        <w:rPr>
          <w:rtl w:val="0"/>
        </w:rPr>
        <w:t xml:space="preserve">Bloemendal, H., de Jong, W., Jaenicke, R., Lubsen, N. H., Slingsby, C., &amp; Tardieu, A. (2004). Ageing and vision: Structure, stability and function of lens crystallins. Progress in Biophysics and Molecular Biology, 86(3), 407-485. </w:t>
      </w:r>
      <w:hyperlink r:id="rId17">
        <w:r w:rsidDel="00000000" w:rsidR="00000000" w:rsidRPr="00000000">
          <w:rPr>
            <w:color w:val="1155cc"/>
            <w:u w:val="single"/>
            <w:rtl w:val="0"/>
          </w:rPr>
          <w:t xml:space="preserve">https://doi.org/10.1016/j.pbiomolbio.2003.11.012</w:t>
        </w:r>
      </w:hyperlink>
      <w:r w:rsidDel="00000000" w:rsidR="00000000" w:rsidRPr="00000000">
        <w:rPr>
          <w:rtl w:val="0"/>
        </w:rPr>
      </w:r>
    </w:p>
    <w:p w:rsidR="00000000" w:rsidDel="00000000" w:rsidP="00000000" w:rsidRDefault="00000000" w:rsidRPr="00000000" w14:paraId="00000131">
      <w:pPr>
        <w:numPr>
          <w:ilvl w:val="0"/>
          <w:numId w:val="1"/>
        </w:numPr>
        <w:ind w:left="720" w:hanging="360"/>
        <w:jc w:val="both"/>
      </w:pPr>
      <w:r w:rsidDel="00000000" w:rsidR="00000000" w:rsidRPr="00000000">
        <w:rPr>
          <w:rtl w:val="0"/>
        </w:rPr>
        <w:t xml:space="preserve">Borges, A. B., Caneppele, T. M., &amp; Masterson, D. (2017). Is resin infiltration an effective esthetic treatment for enamel development defects and white spot lesions? A systematic review. Journal of Dentistry, 56, 11–18. </w:t>
      </w:r>
      <w:hyperlink r:id="rId18">
        <w:r w:rsidDel="00000000" w:rsidR="00000000" w:rsidRPr="00000000">
          <w:rPr>
            <w:color w:val="1155cc"/>
            <w:u w:val="single"/>
            <w:rtl w:val="0"/>
          </w:rPr>
          <w:t xml:space="preserve">https://doi.org/10.1016/j.jdent.2016.10.010</w:t>
        </w:r>
      </w:hyperlink>
      <w:r w:rsidDel="00000000" w:rsidR="00000000" w:rsidRPr="00000000">
        <w:rPr>
          <w:rtl w:val="0"/>
        </w:rPr>
      </w:r>
    </w:p>
    <w:p w:rsidR="00000000" w:rsidDel="00000000" w:rsidP="00000000" w:rsidRDefault="00000000" w:rsidRPr="00000000" w14:paraId="00000132">
      <w:pPr>
        <w:numPr>
          <w:ilvl w:val="0"/>
          <w:numId w:val="1"/>
        </w:numPr>
        <w:ind w:left="720" w:hanging="360"/>
        <w:jc w:val="both"/>
      </w:pPr>
      <w:r w:rsidDel="00000000" w:rsidR="00000000" w:rsidRPr="00000000">
        <w:rPr>
          <w:rtl w:val="0"/>
        </w:rPr>
        <w:t xml:space="preserve">Bradbury, E. J., &amp; Burnside, E. R. (2019). Moving beyond the glial scar for spinal cord repair. Nature Communications, 10(1), 3879. </w:t>
      </w:r>
      <w:hyperlink r:id="rId19">
        <w:r w:rsidDel="00000000" w:rsidR="00000000" w:rsidRPr="00000000">
          <w:rPr>
            <w:color w:val="1155cc"/>
            <w:u w:val="single"/>
            <w:rtl w:val="0"/>
          </w:rPr>
          <w:t xml:space="preserve">https://doi.org/10.1038/s41467-019-11723-7</w:t>
        </w:r>
      </w:hyperlink>
      <w:r w:rsidDel="00000000" w:rsidR="00000000" w:rsidRPr="00000000">
        <w:rPr>
          <w:rtl w:val="0"/>
        </w:rPr>
      </w:r>
    </w:p>
    <w:p w:rsidR="00000000" w:rsidDel="00000000" w:rsidP="00000000" w:rsidRDefault="00000000" w:rsidRPr="00000000" w14:paraId="00000133">
      <w:pPr>
        <w:numPr>
          <w:ilvl w:val="0"/>
          <w:numId w:val="1"/>
        </w:numPr>
        <w:ind w:left="720" w:hanging="360"/>
        <w:jc w:val="both"/>
      </w:pPr>
      <w:r w:rsidDel="00000000" w:rsidR="00000000" w:rsidRPr="00000000">
        <w:rPr>
          <w:rtl w:val="0"/>
        </w:rPr>
        <w:t xml:space="preserve">Bratic, A., &amp; Larsson, N. G. (2013). The role of mitochondria in aging. Journal of Clinical Investigation, 123(3), 951–957. </w:t>
      </w:r>
      <w:hyperlink r:id="rId20">
        <w:r w:rsidDel="00000000" w:rsidR="00000000" w:rsidRPr="00000000">
          <w:rPr>
            <w:color w:val="1155cc"/>
            <w:u w:val="single"/>
            <w:rtl w:val="0"/>
          </w:rPr>
          <w:t xml:space="preserve">https://doi.org/10.1172/JCI64125</w:t>
        </w:r>
      </w:hyperlink>
      <w:r w:rsidDel="00000000" w:rsidR="00000000" w:rsidRPr="00000000">
        <w:rPr>
          <w:rtl w:val="0"/>
        </w:rPr>
      </w:r>
    </w:p>
    <w:p w:rsidR="00000000" w:rsidDel="00000000" w:rsidP="00000000" w:rsidRDefault="00000000" w:rsidRPr="00000000" w14:paraId="00000134">
      <w:pPr>
        <w:numPr>
          <w:ilvl w:val="0"/>
          <w:numId w:val="1"/>
        </w:numPr>
        <w:ind w:left="720" w:hanging="360"/>
        <w:jc w:val="both"/>
      </w:pPr>
      <w:r w:rsidDel="00000000" w:rsidR="00000000" w:rsidRPr="00000000">
        <w:rPr>
          <w:rtl w:val="0"/>
        </w:rPr>
        <w:t xml:space="preserve">Broekmans, F. J., Knauff, E. A., te Velde, E. R., et al. (2007). Female reproductive ageing: Current knowledge and future trends. Trends in Endocrinology &amp; Metabolism, 18(2), 58–65. </w:t>
      </w:r>
      <w:hyperlink r:id="rId21">
        <w:r w:rsidDel="00000000" w:rsidR="00000000" w:rsidRPr="00000000">
          <w:rPr>
            <w:color w:val="1155cc"/>
            <w:u w:val="single"/>
            <w:rtl w:val="0"/>
          </w:rPr>
          <w:t xml:space="preserve">https://doi.org/10.1016/j.tem.2007.01.004</w:t>
        </w:r>
      </w:hyperlink>
      <w:r w:rsidDel="00000000" w:rsidR="00000000" w:rsidRPr="00000000">
        <w:rPr>
          <w:rtl w:val="0"/>
        </w:rPr>
      </w:r>
    </w:p>
    <w:p w:rsidR="00000000" w:rsidDel="00000000" w:rsidP="00000000" w:rsidRDefault="00000000" w:rsidRPr="00000000" w14:paraId="00000135">
      <w:pPr>
        <w:numPr>
          <w:ilvl w:val="0"/>
          <w:numId w:val="1"/>
        </w:numPr>
        <w:ind w:left="720" w:hanging="360"/>
        <w:jc w:val="both"/>
      </w:pPr>
      <w:r w:rsidDel="00000000" w:rsidR="00000000" w:rsidRPr="00000000">
        <w:rPr>
          <w:rtl w:val="0"/>
        </w:rPr>
        <w:t xml:space="preserve">Brown, D. A., Perry, J. B., Allen, M. E., et al. (2017). Mitochondrial function as a therapeutic target in heart failure. Nature Reviews Cardiology, 14(4), 238–250. </w:t>
      </w:r>
      <w:hyperlink r:id="rId22">
        <w:r w:rsidDel="00000000" w:rsidR="00000000" w:rsidRPr="00000000">
          <w:rPr>
            <w:color w:val="1155cc"/>
            <w:u w:val="single"/>
            <w:rtl w:val="0"/>
          </w:rPr>
          <w:t xml:space="preserve">https://doi.org/10.1038/nrcardio.2016.203</w:t>
        </w:r>
      </w:hyperlink>
      <w:r w:rsidDel="00000000" w:rsidR="00000000" w:rsidRPr="00000000">
        <w:rPr>
          <w:rtl w:val="0"/>
        </w:rPr>
      </w:r>
    </w:p>
    <w:p w:rsidR="00000000" w:rsidDel="00000000" w:rsidP="00000000" w:rsidRDefault="00000000" w:rsidRPr="00000000" w14:paraId="00000136">
      <w:pPr>
        <w:numPr>
          <w:ilvl w:val="0"/>
          <w:numId w:val="1"/>
        </w:numPr>
        <w:ind w:left="720" w:hanging="360"/>
        <w:jc w:val="both"/>
      </w:pPr>
      <w:r w:rsidDel="00000000" w:rsidR="00000000" w:rsidRPr="00000000">
        <w:rPr>
          <w:rtl w:val="0"/>
        </w:rPr>
        <w:t xml:space="preserve">Brunk, U. T., &amp; Terman, A. (2002). Lipofuscin: Mechanisms of age-related accumulation and influence on cell function. Free Radical Biology and Medicine, 33(5), 611-619. </w:t>
      </w:r>
      <w:hyperlink r:id="rId23">
        <w:r w:rsidDel="00000000" w:rsidR="00000000" w:rsidRPr="00000000">
          <w:rPr>
            <w:color w:val="1155cc"/>
            <w:u w:val="single"/>
            <w:rtl w:val="0"/>
          </w:rPr>
          <w:t xml:space="preserve">https://doi.org/10.1016/S0891-5849(02)00959-0</w:t>
        </w:r>
      </w:hyperlink>
      <w:r w:rsidDel="00000000" w:rsidR="00000000" w:rsidRPr="00000000">
        <w:rPr>
          <w:rtl w:val="0"/>
        </w:rPr>
      </w:r>
    </w:p>
    <w:p w:rsidR="00000000" w:rsidDel="00000000" w:rsidP="00000000" w:rsidRDefault="00000000" w:rsidRPr="00000000" w14:paraId="00000137">
      <w:pPr>
        <w:numPr>
          <w:ilvl w:val="0"/>
          <w:numId w:val="1"/>
        </w:numPr>
        <w:ind w:left="720" w:hanging="360"/>
        <w:jc w:val="both"/>
      </w:pPr>
      <w:r w:rsidDel="00000000" w:rsidR="00000000" w:rsidRPr="00000000">
        <w:rPr>
          <w:rtl w:val="0"/>
        </w:rPr>
        <w:t xml:space="preserve">Burnight, E. R., Gupta, M., Wiley, L. A., et al. (2017). CRISPR-Cas9 genome engineering: Treating inherited retinal degeneration. Progress in Retinal and Eye Research, 65, 28–49. </w:t>
      </w:r>
      <w:hyperlink r:id="rId24">
        <w:r w:rsidDel="00000000" w:rsidR="00000000" w:rsidRPr="00000000">
          <w:rPr>
            <w:color w:val="1155cc"/>
            <w:u w:val="single"/>
            <w:rtl w:val="0"/>
          </w:rPr>
          <w:t xml:space="preserve">https://doi.org/10.1016/j.preteyeres.2018.03.003</w:t>
        </w:r>
      </w:hyperlink>
      <w:r w:rsidDel="00000000" w:rsidR="00000000" w:rsidRPr="00000000">
        <w:rPr>
          <w:rtl w:val="0"/>
        </w:rPr>
      </w:r>
    </w:p>
    <w:p w:rsidR="00000000" w:rsidDel="00000000" w:rsidP="00000000" w:rsidRDefault="00000000" w:rsidRPr="00000000" w14:paraId="00000138">
      <w:pPr>
        <w:numPr>
          <w:ilvl w:val="0"/>
          <w:numId w:val="1"/>
        </w:numPr>
        <w:ind w:left="720" w:hanging="360"/>
        <w:jc w:val="both"/>
      </w:pPr>
      <w:r w:rsidDel="00000000" w:rsidR="00000000" w:rsidRPr="00000000">
        <w:rPr>
          <w:rtl w:val="0"/>
        </w:rPr>
        <w:t xml:space="preserve">Byrne, A. B., Edwards, T. J., &amp; Hammarlund, M. (2020). In vivo laser axotomy in C. elegans. Journal of Visualized Experiments, 156, e60469. </w:t>
      </w:r>
      <w:hyperlink r:id="rId25">
        <w:r w:rsidDel="00000000" w:rsidR="00000000" w:rsidRPr="00000000">
          <w:rPr>
            <w:color w:val="1155cc"/>
            <w:u w:val="single"/>
            <w:rtl w:val="0"/>
          </w:rPr>
          <w:t xml:space="preserve">https://doi.org/10.3791/60469</w:t>
        </w:r>
      </w:hyperlink>
      <w:r w:rsidDel="00000000" w:rsidR="00000000" w:rsidRPr="00000000">
        <w:rPr>
          <w:rtl w:val="0"/>
        </w:rPr>
      </w:r>
    </w:p>
    <w:p w:rsidR="00000000" w:rsidDel="00000000" w:rsidP="00000000" w:rsidRDefault="00000000" w:rsidRPr="00000000" w14:paraId="00000139">
      <w:pPr>
        <w:numPr>
          <w:ilvl w:val="0"/>
          <w:numId w:val="1"/>
        </w:numPr>
        <w:ind w:left="720" w:hanging="360"/>
        <w:jc w:val="both"/>
      </w:pPr>
      <w:r w:rsidDel="00000000" w:rsidR="00000000" w:rsidRPr="00000000">
        <w:rPr>
          <w:rtl w:val="0"/>
        </w:rPr>
        <w:t xml:space="preserve">Capell, B. C., Erdos, M. R., Madigan, J. P., et al. (2005). Inhibiting farnesylation of progerin prevents the characteristic nuclear blebbing of Hutchinson-Gilford progeria syndrome. Proceedings of the National Academy of Sciences, 102(36), 12879–12884. </w:t>
      </w:r>
      <w:hyperlink r:id="rId26">
        <w:r w:rsidDel="00000000" w:rsidR="00000000" w:rsidRPr="00000000">
          <w:rPr>
            <w:color w:val="1155cc"/>
            <w:u w:val="single"/>
            <w:rtl w:val="0"/>
          </w:rPr>
          <w:t xml:space="preserve">https://doi.org/10.1073/pnas.0506001102</w:t>
        </w:r>
      </w:hyperlink>
      <w:r w:rsidDel="00000000" w:rsidR="00000000" w:rsidRPr="00000000">
        <w:rPr>
          <w:rtl w:val="0"/>
        </w:rPr>
      </w:r>
    </w:p>
    <w:p w:rsidR="00000000" w:rsidDel="00000000" w:rsidP="00000000" w:rsidRDefault="00000000" w:rsidRPr="00000000" w14:paraId="0000013A">
      <w:pPr>
        <w:numPr>
          <w:ilvl w:val="0"/>
          <w:numId w:val="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3B">
      <w:pPr>
        <w:numPr>
          <w:ilvl w:val="0"/>
          <w:numId w:val="1"/>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13C">
      <w:pPr>
        <w:numPr>
          <w:ilvl w:val="0"/>
          <w:numId w:val="1"/>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3D">
      <w:pPr>
        <w:numPr>
          <w:ilvl w:val="0"/>
          <w:numId w:val="1"/>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3E">
      <w:pPr>
        <w:numPr>
          <w:ilvl w:val="0"/>
          <w:numId w:val="1"/>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3F">
      <w:pPr>
        <w:numPr>
          <w:ilvl w:val="0"/>
          <w:numId w:val="1"/>
        </w:numPr>
        <w:ind w:left="720" w:hanging="360"/>
        <w:jc w:val="both"/>
      </w:pPr>
      <w:r w:rsidDel="00000000" w:rsidR="00000000" w:rsidRPr="00000000">
        <w:rPr>
          <w:rtl w:val="0"/>
        </w:rPr>
        <w:t xml:space="preserve">Choi, Y. K., Liu, P., Sze, S. K., et al. (2020). CDK5RAP2 regulates centriole engagement and cohesion in mice. Developmental Cell, 48(4), 567–579. </w:t>
      </w:r>
      <w:hyperlink r:id="rId27">
        <w:r w:rsidDel="00000000" w:rsidR="00000000" w:rsidRPr="00000000">
          <w:rPr>
            <w:color w:val="1155cc"/>
            <w:u w:val="single"/>
            <w:rtl w:val="0"/>
          </w:rPr>
          <w:t xml:space="preserve">https://doi.org/10.1016/j.devcel.2019.01.022</w:t>
        </w:r>
      </w:hyperlink>
      <w:r w:rsidDel="00000000" w:rsidR="00000000" w:rsidRPr="00000000">
        <w:rPr>
          <w:rtl w:val="0"/>
        </w:rPr>
      </w:r>
    </w:p>
    <w:p w:rsidR="00000000" w:rsidDel="00000000" w:rsidP="00000000" w:rsidRDefault="00000000" w:rsidRPr="00000000" w14:paraId="00000140">
      <w:pPr>
        <w:numPr>
          <w:ilvl w:val="0"/>
          <w:numId w:val="1"/>
        </w:numPr>
        <w:ind w:left="720" w:hanging="360"/>
        <w:jc w:val="both"/>
      </w:pPr>
      <w:r w:rsidDel="00000000" w:rsidR="00000000" w:rsidRPr="00000000">
        <w:rPr>
          <w:rtl w:val="0"/>
        </w:rPr>
        <w:t xml:space="preserve">Cobo, A., García-Velasco, J. A., Coello, A., et al. (2018). Oocyte vitrification as an efficient option for elective fertility preservation. Fertility and Sterility, 109(5), 755–762. </w:t>
      </w:r>
      <w:hyperlink r:id="rId28">
        <w:r w:rsidDel="00000000" w:rsidR="00000000" w:rsidRPr="00000000">
          <w:rPr>
            <w:color w:val="1155cc"/>
            <w:u w:val="single"/>
            <w:rtl w:val="0"/>
          </w:rPr>
          <w:t xml:space="preserve">https://doi.org/10.1016/j.fertnstert.2018.02.135</w:t>
        </w:r>
      </w:hyperlink>
      <w:r w:rsidDel="00000000" w:rsidR="00000000" w:rsidRPr="00000000">
        <w:rPr>
          <w:rtl w:val="0"/>
        </w:rPr>
      </w:r>
    </w:p>
    <w:p w:rsidR="00000000" w:rsidDel="00000000" w:rsidP="00000000" w:rsidRDefault="00000000" w:rsidRPr="00000000" w14:paraId="00000141">
      <w:pPr>
        <w:numPr>
          <w:ilvl w:val="0"/>
          <w:numId w:val="1"/>
        </w:numPr>
        <w:ind w:left="720" w:hanging="360"/>
        <w:jc w:val="both"/>
      </w:pPr>
      <w:r w:rsidDel="00000000" w:rsidR="00000000" w:rsidRPr="00000000">
        <w:rPr>
          <w:rtl w:val="0"/>
        </w:rPr>
        <w:t xml:space="preserve">D’Angelo, M. A., Raices, M., Panowski, S. H., &amp; Hetzer, M. W. (2009). Age-dependent deterioration of nuclear pore complexes causes a loss of nuclear integrity in postmitotic cells. Cell, 136(2), 284–295. </w:t>
      </w:r>
      <w:hyperlink r:id="rId29">
        <w:r w:rsidDel="00000000" w:rsidR="00000000" w:rsidRPr="00000000">
          <w:rPr>
            <w:color w:val="1155cc"/>
            <w:u w:val="single"/>
            <w:rtl w:val="0"/>
          </w:rPr>
          <w:t xml:space="preserve">https://doi.org/10.1016/j.cell.2008.11.037</w:t>
        </w:r>
      </w:hyperlink>
      <w:r w:rsidDel="00000000" w:rsidR="00000000" w:rsidRPr="00000000">
        <w:rPr>
          <w:rtl w:val="0"/>
        </w:rPr>
      </w:r>
    </w:p>
    <w:p w:rsidR="00000000" w:rsidDel="00000000" w:rsidP="00000000" w:rsidRDefault="00000000" w:rsidRPr="00000000" w14:paraId="00000142">
      <w:pPr>
        <w:numPr>
          <w:ilvl w:val="0"/>
          <w:numId w:val="1"/>
        </w:numPr>
        <w:ind w:left="720" w:hanging="360"/>
        <w:jc w:val="both"/>
      </w:pPr>
      <w:r w:rsidDel="00000000" w:rsidR="00000000" w:rsidRPr="00000000">
        <w:rPr>
          <w:rtl w:val="0"/>
        </w:rPr>
        <w:t xml:space="preserve">Demarco, F. F., Corrêa, M. B., Cenci, M. S., et al. (2012). Longevity of posterior composite restorations: Not only a matter of materials. Dental Materials, 28(1), 87–101. </w:t>
      </w:r>
      <w:hyperlink r:id="rId30">
        <w:r w:rsidDel="00000000" w:rsidR="00000000" w:rsidRPr="00000000">
          <w:rPr>
            <w:color w:val="1155cc"/>
            <w:u w:val="single"/>
            <w:rtl w:val="0"/>
          </w:rPr>
          <w:t xml:space="preserve">https://doi.org/10.1016/j.dental.2011.09.003</w:t>
        </w:r>
      </w:hyperlink>
      <w:r w:rsidDel="00000000" w:rsidR="00000000" w:rsidRPr="00000000">
        <w:rPr>
          <w:rtl w:val="0"/>
        </w:rPr>
      </w:r>
    </w:p>
    <w:p w:rsidR="00000000" w:rsidDel="00000000" w:rsidP="00000000" w:rsidRDefault="00000000" w:rsidRPr="00000000" w14:paraId="00000143">
      <w:pPr>
        <w:numPr>
          <w:ilvl w:val="0"/>
          <w:numId w:val="1"/>
        </w:numPr>
        <w:ind w:left="720" w:hanging="360"/>
        <w:jc w:val="both"/>
      </w:pPr>
      <w:r w:rsidDel="00000000" w:rsidR="00000000" w:rsidRPr="00000000">
        <w:rPr>
          <w:rtl w:val="0"/>
        </w:rPr>
        <w:t xml:space="preserve">Fakih, M. H., El Shmoury, M., Szeptycki, J., et al. (2021). The AUGMENT treatment: Physician reported outcomes of the initial global patient experience. Journal of Assisted Reproduction and Genetics, 38(6), 1423–1430. </w:t>
      </w:r>
      <w:hyperlink r:id="rId31">
        <w:r w:rsidDel="00000000" w:rsidR="00000000" w:rsidRPr="00000000">
          <w:rPr>
            <w:color w:val="1155cc"/>
            <w:u w:val="single"/>
            <w:rtl w:val="0"/>
          </w:rPr>
          <w:t xml:space="preserve">https://doi.org/10.1007/s10815-021-02169-2</w:t>
        </w:r>
      </w:hyperlink>
      <w:r w:rsidDel="00000000" w:rsidR="00000000" w:rsidRPr="00000000">
        <w:rPr>
          <w:rtl w:val="0"/>
        </w:rPr>
        <w:t xml:space="preserve">Fang, E. F., Scheibye-Knudsen, M., Brace, L. E., et al. (2016). Defective mitophagy in XPA via PARP-1 hyperactivation and NAD+/SIRT1 reduction. Cell, 157(4), 882–896. </w:t>
      </w:r>
      <w:hyperlink r:id="rId32">
        <w:r w:rsidDel="00000000" w:rsidR="00000000" w:rsidRPr="00000000">
          <w:rPr>
            <w:color w:val="1155cc"/>
            <w:u w:val="single"/>
            <w:rtl w:val="0"/>
          </w:rPr>
          <w:t xml:space="preserve">https://doi.org/10.1016/j.cell.2014.03.026</w:t>
        </w:r>
      </w:hyperlink>
      <w:r w:rsidDel="00000000" w:rsidR="00000000" w:rsidRPr="00000000">
        <w:rPr>
          <w:rtl w:val="0"/>
        </w:rPr>
      </w:r>
    </w:p>
    <w:p w:rsidR="00000000" w:rsidDel="00000000" w:rsidP="00000000" w:rsidRDefault="00000000" w:rsidRPr="00000000" w14:paraId="00000144">
      <w:pPr>
        <w:numPr>
          <w:ilvl w:val="0"/>
          <w:numId w:val="1"/>
        </w:numPr>
        <w:ind w:left="720" w:hanging="360"/>
        <w:jc w:val="both"/>
      </w:pPr>
      <w:r w:rsidDel="00000000" w:rsidR="00000000" w:rsidRPr="00000000">
        <w:rPr>
          <w:rtl w:val="0"/>
        </w:rPr>
        <w:t xml:space="preserve">Fischer, J. M., Popp, O., Gebhard, D., &amp; Veith, S. (2016). Poly(ADP-ribose)-mediated regulation of DNA repair capacity in neurons. Nucleic Acids Research, 44(15), 7072-7084. </w:t>
      </w:r>
      <w:hyperlink r:id="rId33">
        <w:r w:rsidDel="00000000" w:rsidR="00000000" w:rsidRPr="00000000">
          <w:rPr>
            <w:color w:val="1155cc"/>
            <w:u w:val="single"/>
            <w:rtl w:val="0"/>
          </w:rPr>
          <w:t xml:space="preserve">https://doi.org/10.1093/nar/gkw470</w:t>
        </w:r>
      </w:hyperlink>
      <w:r w:rsidDel="00000000" w:rsidR="00000000" w:rsidRPr="00000000">
        <w:rPr>
          <w:rtl w:val="0"/>
        </w:rPr>
      </w:r>
    </w:p>
    <w:p w:rsidR="00000000" w:rsidDel="00000000" w:rsidP="00000000" w:rsidRDefault="00000000" w:rsidRPr="00000000" w14:paraId="00000145">
      <w:pPr>
        <w:numPr>
          <w:ilvl w:val="0"/>
          <w:numId w:val="1"/>
        </w:numPr>
        <w:ind w:left="720" w:hanging="360"/>
        <w:jc w:val="both"/>
      </w:pPr>
      <w:r w:rsidDel="00000000" w:rsidR="00000000" w:rsidRPr="00000000">
        <w:rPr>
          <w:rtl w:val="0"/>
        </w:rPr>
        <w:t xml:space="preserve">Frade, J. M., &amp; López-Sánchez, N. (2010). A novel hypothesis for Alzheimer disease based on neuronal tetraploidy induced by p75 (NTR). Cell Cycle, 9(10), 1934–1941. </w:t>
      </w:r>
      <w:hyperlink r:id="rId34">
        <w:r w:rsidDel="00000000" w:rsidR="00000000" w:rsidRPr="00000000">
          <w:rPr>
            <w:color w:val="1155cc"/>
            <w:u w:val="single"/>
            <w:rtl w:val="0"/>
          </w:rPr>
          <w:t xml:space="preserve">https://doi.org/10.4161/cc.9.10.11582</w:t>
        </w:r>
      </w:hyperlink>
      <w:r w:rsidDel="00000000" w:rsidR="00000000" w:rsidRPr="00000000">
        <w:rPr>
          <w:rtl w:val="0"/>
        </w:rPr>
      </w:r>
    </w:p>
    <w:p w:rsidR="00000000" w:rsidDel="00000000" w:rsidP="00000000" w:rsidRDefault="00000000" w:rsidRPr="00000000" w14:paraId="00000146">
      <w:pPr>
        <w:numPr>
          <w:ilvl w:val="0"/>
          <w:numId w:val="1"/>
        </w:numPr>
        <w:ind w:left="720" w:hanging="360"/>
        <w:jc w:val="both"/>
      </w:pPr>
      <w:r w:rsidDel="00000000" w:rsidR="00000000" w:rsidRPr="00000000">
        <w:rPr>
          <w:rtl w:val="0"/>
        </w:rPr>
        <w:t xml:space="preserve">Franasiak, J. M., Forman, E. J., Hong, K. H., et al. (2014). The nature of aneuploidy with increasing age of the female partner: A review of 15,169 consecutive trophectoderm biopsies evaluated with comprehensive chromosomal screening. Fertility and Sterility, 101(3), 656–663. </w:t>
      </w:r>
      <w:hyperlink r:id="rId35">
        <w:r w:rsidDel="00000000" w:rsidR="00000000" w:rsidRPr="00000000">
          <w:rPr>
            <w:color w:val="1155cc"/>
            <w:u w:val="single"/>
            <w:rtl w:val="0"/>
          </w:rPr>
          <w:t xml:space="preserve">https://doi.org/10.1016/j.fertnstert.2013.11.004</w:t>
        </w:r>
      </w:hyperlink>
      <w:r w:rsidDel="00000000" w:rsidR="00000000" w:rsidRPr="00000000">
        <w:rPr>
          <w:rtl w:val="0"/>
        </w:rPr>
      </w:r>
    </w:p>
    <w:p w:rsidR="00000000" w:rsidDel="00000000" w:rsidP="00000000" w:rsidRDefault="00000000" w:rsidRPr="00000000" w14:paraId="00000147">
      <w:pPr>
        <w:numPr>
          <w:ilvl w:val="0"/>
          <w:numId w:val="1"/>
        </w:numPr>
        <w:ind w:left="720" w:hanging="360"/>
        <w:jc w:val="both"/>
      </w:pPr>
      <w:r w:rsidDel="00000000" w:rsidR="00000000" w:rsidRPr="00000000">
        <w:rPr>
          <w:rtl w:val="0"/>
        </w:rPr>
        <w:t xml:space="preserve">Frost, B., Bardai, F. H., &amp; Feany, M. B. (2014). Lamin dysfunction mediates neurodegeneration in tauopathies. Current Biology, 24(2), 129–134. </w:t>
      </w:r>
      <w:hyperlink r:id="rId36">
        <w:r w:rsidDel="00000000" w:rsidR="00000000" w:rsidRPr="00000000">
          <w:rPr>
            <w:color w:val="1155cc"/>
            <w:u w:val="single"/>
            <w:rtl w:val="0"/>
          </w:rPr>
          <w:t xml:space="preserve">https://doi.org/10.1016/j.cub.2013.11.064</w:t>
        </w:r>
      </w:hyperlink>
      <w:r w:rsidDel="00000000" w:rsidR="00000000" w:rsidRPr="00000000">
        <w:rPr>
          <w:rtl w:val="0"/>
        </w:rPr>
      </w:r>
    </w:p>
    <w:p w:rsidR="00000000" w:rsidDel="00000000" w:rsidP="00000000" w:rsidRDefault="00000000" w:rsidRPr="00000000" w14:paraId="00000148">
      <w:pPr>
        <w:numPr>
          <w:ilvl w:val="0"/>
          <w:numId w:val="1"/>
        </w:numPr>
        <w:ind w:left="720" w:hanging="360"/>
        <w:jc w:val="both"/>
      </w:pPr>
      <w:r w:rsidDel="00000000" w:rsidR="00000000" w:rsidRPr="00000000">
        <w:rPr>
          <w:rtl w:val="0"/>
        </w:rPr>
        <w:t xml:space="preserve">Fu, J., Hagan, I. M., &amp; Glover, D. M. (2015). The centrosome and its duplication cycle. Cold Spring Harbor Perspectives in Biology, 7(2), a015800. </w:t>
      </w:r>
      <w:hyperlink r:id="rId37">
        <w:r w:rsidDel="00000000" w:rsidR="00000000" w:rsidRPr="00000000">
          <w:rPr>
            <w:color w:val="1155cc"/>
            <w:u w:val="single"/>
            <w:rtl w:val="0"/>
          </w:rPr>
          <w:t xml:space="preserve">https://doi.org/10.1101/cshperspect.a015800</w:t>
        </w:r>
      </w:hyperlink>
      <w:r w:rsidDel="00000000" w:rsidR="00000000" w:rsidRPr="00000000">
        <w:rPr>
          <w:rtl w:val="0"/>
        </w:rPr>
      </w:r>
    </w:p>
    <w:p w:rsidR="00000000" w:rsidDel="00000000" w:rsidP="00000000" w:rsidRDefault="00000000" w:rsidRPr="00000000" w14:paraId="00000149">
      <w:pPr>
        <w:numPr>
          <w:ilvl w:val="0"/>
          <w:numId w:val="1"/>
        </w:numPr>
        <w:ind w:left="720" w:hanging="360"/>
        <w:jc w:val="both"/>
      </w:pPr>
      <w:r w:rsidDel="00000000" w:rsidR="00000000" w:rsidRPr="00000000">
        <w:rPr>
          <w:rtl w:val="0"/>
        </w:rPr>
        <w:t xml:space="preserve">Gammage, P. A., Viscomi, C., Simard, M. L., et al. (2018). Genome editing in mitochondria corrects a pathogenic mtDNA mutation in vivo. Nature Medicine, 24(11), 1691–1695. </w:t>
      </w:r>
      <w:hyperlink r:id="rId38">
        <w:r w:rsidDel="00000000" w:rsidR="00000000" w:rsidRPr="00000000">
          <w:rPr>
            <w:color w:val="1155cc"/>
            <w:u w:val="single"/>
            <w:rtl w:val="0"/>
          </w:rPr>
          <w:t xml:space="preserve">https://doi.org/10.1038/s41591-018-0165-9</w:t>
        </w:r>
      </w:hyperlink>
      <w:r w:rsidDel="00000000" w:rsidR="00000000" w:rsidRPr="00000000">
        <w:rPr>
          <w:rtl w:val="0"/>
        </w:rPr>
      </w:r>
    </w:p>
    <w:p w:rsidR="00000000" w:rsidDel="00000000" w:rsidP="00000000" w:rsidRDefault="00000000" w:rsidRPr="00000000" w14:paraId="0000014A">
      <w:pPr>
        <w:numPr>
          <w:ilvl w:val="0"/>
          <w:numId w:val="1"/>
        </w:numPr>
        <w:ind w:left="720" w:hanging="360"/>
        <w:jc w:val="both"/>
      </w:pPr>
      <w:r w:rsidDel="00000000" w:rsidR="00000000" w:rsidRPr="00000000">
        <w:rPr>
          <w:rtl w:val="0"/>
        </w:rPr>
        <w:t xml:space="preserve">Geoffroy, C. G., &amp; Zheng, B. (2014). Myelin-associated inhibitors in axonal growth after CNS injury. Current Opinion in Neurobiology, 27, 31–38. </w:t>
      </w:r>
      <w:hyperlink r:id="rId39">
        <w:r w:rsidDel="00000000" w:rsidR="00000000" w:rsidRPr="00000000">
          <w:rPr>
            <w:color w:val="1155cc"/>
            <w:u w:val="single"/>
            <w:rtl w:val="0"/>
          </w:rPr>
          <w:t xml:space="preserve">https://doi.org/10.1016/j.conb.2014.02.012</w:t>
        </w:r>
      </w:hyperlink>
      <w:r w:rsidDel="00000000" w:rsidR="00000000" w:rsidRPr="00000000">
        <w:rPr>
          <w:rtl w:val="0"/>
        </w:rPr>
      </w:r>
    </w:p>
    <w:p w:rsidR="00000000" w:rsidDel="00000000" w:rsidP="00000000" w:rsidRDefault="00000000" w:rsidRPr="00000000" w14:paraId="0000014B">
      <w:pPr>
        <w:numPr>
          <w:ilvl w:val="0"/>
          <w:numId w:val="1"/>
        </w:numPr>
        <w:ind w:left="720" w:hanging="360"/>
        <w:jc w:val="both"/>
      </w:pPr>
      <w:r w:rsidDel="00000000" w:rsidR="00000000" w:rsidRPr="00000000">
        <w:rPr>
          <w:rtl w:val="0"/>
        </w:rPr>
        <w:t xml:space="preserve">Gomes, L. C., Di Benedetto, G., &amp; Scorrano, L. (2011). During autophagy mitochondria elongate, are spared from degradation and sustain cell viability. Nature Cell Biology, 13(5), 589–598. </w:t>
      </w:r>
      <w:hyperlink r:id="rId40">
        <w:r w:rsidDel="00000000" w:rsidR="00000000" w:rsidRPr="00000000">
          <w:rPr>
            <w:color w:val="1155cc"/>
            <w:u w:val="single"/>
            <w:rtl w:val="0"/>
          </w:rPr>
          <w:t xml:space="preserve">https://doi.org/10.1038/ncb2220</w:t>
        </w:r>
      </w:hyperlink>
      <w:r w:rsidDel="00000000" w:rsidR="00000000" w:rsidRPr="00000000">
        <w:rPr>
          <w:rtl w:val="0"/>
        </w:rPr>
      </w:r>
    </w:p>
    <w:p w:rsidR="00000000" w:rsidDel="00000000" w:rsidP="00000000" w:rsidRDefault="00000000" w:rsidRPr="00000000" w14:paraId="0000014C">
      <w:pPr>
        <w:numPr>
          <w:ilvl w:val="0"/>
          <w:numId w:val="1"/>
        </w:numPr>
        <w:ind w:left="720" w:hanging="360"/>
        <w:jc w:val="both"/>
      </w:pPr>
      <w:r w:rsidDel="00000000" w:rsidR="00000000" w:rsidRPr="00000000">
        <w:rPr>
          <w:rtl w:val="0"/>
        </w:rPr>
        <w:t xml:space="preserve">Grima, J. C., Daigle, J. G., Arbez, N., et al. (2017). Mutant Huntingtin disrupts the nuclear pore complex. Neuron, 94(1), 93–107. </w:t>
      </w:r>
      <w:hyperlink r:id="rId41">
        <w:r w:rsidDel="00000000" w:rsidR="00000000" w:rsidRPr="00000000">
          <w:rPr>
            <w:color w:val="1155cc"/>
            <w:u w:val="single"/>
            <w:rtl w:val="0"/>
          </w:rPr>
          <w:t xml:space="preserve">https://doi.org/10.1016/j.neuron.2017.03.023</w:t>
        </w:r>
      </w:hyperlink>
      <w:r w:rsidDel="00000000" w:rsidR="00000000" w:rsidRPr="00000000">
        <w:rPr>
          <w:rtl w:val="0"/>
        </w:rPr>
      </w:r>
    </w:p>
    <w:p w:rsidR="00000000" w:rsidDel="00000000" w:rsidP="00000000" w:rsidRDefault="00000000" w:rsidRPr="00000000" w14:paraId="0000014D">
      <w:pPr>
        <w:numPr>
          <w:ilvl w:val="0"/>
          <w:numId w:val="1"/>
        </w:numPr>
        <w:ind w:left="720" w:hanging="360"/>
        <w:jc w:val="both"/>
      </w:pPr>
      <w:r w:rsidDel="00000000" w:rsidR="00000000" w:rsidRPr="00000000">
        <w:rPr>
          <w:rtl w:val="0"/>
        </w:rPr>
        <w:t xml:space="preserve">Gruenbaum, Y., &amp; Foisner, R. (2015). Lamins: Nuclear intermediate filament proteins with fundamental functions in nuclear mechanics and genome regulation. Annual Review of Biochemistry, 84, 131–164. </w:t>
      </w:r>
      <w:hyperlink r:id="rId42">
        <w:r w:rsidDel="00000000" w:rsidR="00000000" w:rsidRPr="00000000">
          <w:rPr>
            <w:color w:val="1155cc"/>
            <w:u w:val="single"/>
            <w:rtl w:val="0"/>
          </w:rPr>
          <w:t xml:space="preserve">https://doi.org/10.1146/annurev-biochem-060614-034115</w:t>
        </w:r>
      </w:hyperlink>
      <w:r w:rsidDel="00000000" w:rsidR="00000000" w:rsidRPr="00000000">
        <w:rPr>
          <w:rtl w:val="0"/>
        </w:rPr>
      </w:r>
    </w:p>
    <w:p w:rsidR="00000000" w:rsidDel="00000000" w:rsidP="00000000" w:rsidRDefault="00000000" w:rsidRPr="00000000" w14:paraId="0000014E">
      <w:pPr>
        <w:numPr>
          <w:ilvl w:val="0"/>
          <w:numId w:val="1"/>
        </w:numPr>
        <w:ind w:left="720" w:hanging="360"/>
        <w:jc w:val="both"/>
      </w:pPr>
      <w:r w:rsidDel="00000000" w:rsidR="00000000" w:rsidRPr="00000000">
        <w:rPr>
          <w:rtl w:val="0"/>
        </w:rPr>
        <w:t xml:space="preserve">Guemez-Gamboa, A., Coufal, N. G., &amp; Gleeson, J. G. (2014). Primary cilia in the developing and mature brain. Neuron, 82(3), 511–521. </w:t>
      </w:r>
      <w:hyperlink r:id="rId43">
        <w:r w:rsidDel="00000000" w:rsidR="00000000" w:rsidRPr="00000000">
          <w:rPr>
            <w:color w:val="1155cc"/>
            <w:u w:val="single"/>
            <w:rtl w:val="0"/>
          </w:rPr>
          <w:t xml:space="preserve">https://doi.org/10.1016/j.neuron.2014.04.024</w:t>
        </w:r>
      </w:hyperlink>
      <w:r w:rsidDel="00000000" w:rsidR="00000000" w:rsidRPr="00000000">
        <w:rPr>
          <w:rtl w:val="0"/>
        </w:rPr>
      </w:r>
    </w:p>
    <w:p w:rsidR="00000000" w:rsidDel="00000000" w:rsidP="00000000" w:rsidRDefault="00000000" w:rsidRPr="00000000" w14:paraId="0000014F">
      <w:pPr>
        <w:numPr>
          <w:ilvl w:val="0"/>
          <w:numId w:val="1"/>
        </w:numPr>
        <w:ind w:left="720" w:hanging="360"/>
        <w:jc w:val="both"/>
      </w:pPr>
      <w:r w:rsidDel="00000000" w:rsidR="00000000" w:rsidRPr="00000000">
        <w:rPr>
          <w:rtl w:val="0"/>
        </w:rPr>
        <w:t xml:space="preserve">Halliwell, B. (2013). The antioxidant paradox: Less paradoxical now? British Journal of Clinical Pharmacology, 75(3), 637-644. </w:t>
      </w:r>
      <w:hyperlink r:id="rId44">
        <w:r w:rsidDel="00000000" w:rsidR="00000000" w:rsidRPr="00000000">
          <w:rPr>
            <w:color w:val="1155cc"/>
            <w:u w:val="single"/>
            <w:rtl w:val="0"/>
          </w:rPr>
          <w:t xml:space="preserve">https://doi.org/10.1111/j.1365-2125.2012.04272.x</w:t>
        </w:r>
      </w:hyperlink>
      <w:r w:rsidDel="00000000" w:rsidR="00000000" w:rsidRPr="00000000">
        <w:rPr>
          <w:rtl w:val="0"/>
        </w:rPr>
      </w:r>
    </w:p>
    <w:p w:rsidR="00000000" w:rsidDel="00000000" w:rsidP="00000000" w:rsidRDefault="00000000" w:rsidRPr="00000000" w14:paraId="00000150">
      <w:pPr>
        <w:numPr>
          <w:ilvl w:val="0"/>
          <w:numId w:val="1"/>
        </w:numPr>
        <w:ind w:left="720" w:hanging="360"/>
        <w:jc w:val="both"/>
      </w:pPr>
      <w:r w:rsidDel="00000000" w:rsidR="00000000" w:rsidRPr="00000000">
        <w:rPr>
          <w:rtl w:val="0"/>
        </w:rPr>
        <w:t xml:space="preserve">Hartong, D. T., Berson, E. L., &amp; Dryja, T. P. (2006). Retinitis pigmentosa. The Lancet, 368(9549), 1795–1809. </w:t>
      </w:r>
      <w:hyperlink r:id="rId45">
        <w:r w:rsidDel="00000000" w:rsidR="00000000" w:rsidRPr="00000000">
          <w:rPr>
            <w:color w:val="1155cc"/>
            <w:u w:val="single"/>
            <w:rtl w:val="0"/>
          </w:rPr>
          <w:t xml:space="preserve">https://doi.org/10.1016/S0140-6736(06)69740-7</w:t>
        </w:r>
      </w:hyperlink>
      <w:r w:rsidDel="00000000" w:rsidR="00000000" w:rsidRPr="00000000">
        <w:rPr>
          <w:rtl w:val="0"/>
        </w:rPr>
      </w:r>
    </w:p>
    <w:p w:rsidR="00000000" w:rsidDel="00000000" w:rsidP="00000000" w:rsidRDefault="00000000" w:rsidRPr="00000000" w14:paraId="00000151">
      <w:pPr>
        <w:numPr>
          <w:ilvl w:val="0"/>
          <w:numId w:val="1"/>
        </w:numPr>
        <w:ind w:left="720" w:hanging="360"/>
        <w:jc w:val="both"/>
      </w:pPr>
      <w:r w:rsidDel="00000000" w:rsidR="00000000" w:rsidRPr="00000000">
        <w:rPr>
          <w:rtl w:val="0"/>
        </w:rPr>
        <w:t xml:space="preserve">He, Z., &amp; Jin, Y. (2016). Intrinsic control of axon regeneration. Neuron, 90(3), 437–451. </w:t>
      </w:r>
      <w:hyperlink r:id="rId46">
        <w:r w:rsidDel="00000000" w:rsidR="00000000" w:rsidRPr="00000000">
          <w:rPr>
            <w:color w:val="1155cc"/>
            <w:u w:val="single"/>
            <w:rtl w:val="0"/>
          </w:rPr>
          <w:t xml:space="preserve">https://doi.org/10.1016/j.neuron.2016.04.022</w:t>
        </w:r>
      </w:hyperlink>
      <w:r w:rsidDel="00000000" w:rsidR="00000000" w:rsidRPr="00000000">
        <w:rPr>
          <w:rtl w:val="0"/>
        </w:rPr>
      </w:r>
    </w:p>
    <w:p w:rsidR="00000000" w:rsidDel="00000000" w:rsidP="00000000" w:rsidRDefault="00000000" w:rsidRPr="00000000" w14:paraId="00000152">
      <w:pPr>
        <w:numPr>
          <w:ilvl w:val="0"/>
          <w:numId w:val="1"/>
        </w:numPr>
        <w:ind w:left="720" w:hanging="360"/>
        <w:jc w:val="both"/>
      </w:pPr>
      <w:r w:rsidDel="00000000" w:rsidR="00000000" w:rsidRPr="00000000">
        <w:rPr>
          <w:rtl w:val="0"/>
        </w:rPr>
        <w:t xml:space="preserve">Herculano-Houzel, S. (2014). The glia/neuron ratio: How it varies uniformly across brain structures and species and what that means for brain physiology and evolution. Glia, 62(9), 1377–1391. </w:t>
      </w:r>
      <w:hyperlink r:id="rId47">
        <w:r w:rsidDel="00000000" w:rsidR="00000000" w:rsidRPr="00000000">
          <w:rPr>
            <w:color w:val="1155cc"/>
            <w:u w:val="single"/>
            <w:rtl w:val="0"/>
          </w:rPr>
          <w:t xml:space="preserve">https://doi.org/10.1002/glia.22683</w:t>
        </w:r>
      </w:hyperlink>
      <w:r w:rsidDel="00000000" w:rsidR="00000000" w:rsidRPr="00000000">
        <w:rPr>
          <w:rtl w:val="0"/>
        </w:rPr>
      </w:r>
    </w:p>
    <w:p w:rsidR="00000000" w:rsidDel="00000000" w:rsidP="00000000" w:rsidRDefault="00000000" w:rsidRPr="00000000" w14:paraId="00000153">
      <w:pPr>
        <w:numPr>
          <w:ilvl w:val="0"/>
          <w:numId w:val="1"/>
        </w:numPr>
        <w:ind w:left="720" w:hanging="360"/>
        <w:jc w:val="both"/>
      </w:pPr>
      <w:r w:rsidDel="00000000" w:rsidR="00000000" w:rsidRPr="00000000">
        <w:rPr>
          <w:rtl w:val="0"/>
        </w:rPr>
        <w:t xml:space="preserve">Hernandez, L., Roux, K. J., Wong, E. S. M., et al. (2010). Functional coupling between the extracellular matrix and nuclear lamina by Wnt signaling in progeria. Developmental Cell, 19(3), 413–425. </w:t>
      </w:r>
      <w:hyperlink r:id="rId48">
        <w:r w:rsidDel="00000000" w:rsidR="00000000" w:rsidRPr="00000000">
          <w:rPr>
            <w:color w:val="1155cc"/>
            <w:u w:val="single"/>
            <w:rtl w:val="0"/>
          </w:rPr>
          <w:t xml:space="preserve">https://doi.org/10.1016/j.devcel.2010.08.013</w:t>
        </w:r>
      </w:hyperlink>
      <w:r w:rsidDel="00000000" w:rsidR="00000000" w:rsidRPr="00000000">
        <w:rPr>
          <w:rtl w:val="0"/>
        </w:rPr>
      </w:r>
    </w:p>
    <w:p w:rsidR="00000000" w:rsidDel="00000000" w:rsidP="00000000" w:rsidRDefault="00000000" w:rsidRPr="00000000" w14:paraId="00000154">
      <w:pPr>
        <w:numPr>
          <w:ilvl w:val="0"/>
          <w:numId w:val="1"/>
        </w:numPr>
        <w:ind w:left="720" w:hanging="360"/>
        <w:jc w:val="both"/>
      </w:pPr>
      <w:r w:rsidDel="00000000" w:rsidR="00000000" w:rsidRPr="00000000">
        <w:rPr>
          <w:rtl w:val="0"/>
        </w:rPr>
        <w:t xml:space="preserve">Hoeijmakers, J. H. (2009). DNA damage, aging, and cancer. New England Journal of Medicine, 361(15), 1475-1485. </w:t>
      </w:r>
      <w:hyperlink r:id="rId49">
        <w:r w:rsidDel="00000000" w:rsidR="00000000" w:rsidRPr="00000000">
          <w:rPr>
            <w:color w:val="1155cc"/>
            <w:u w:val="single"/>
            <w:rtl w:val="0"/>
          </w:rPr>
          <w:t xml:space="preserve">https://doi.org/10.1056/NEJMra0804615</w:t>
        </w:r>
      </w:hyperlink>
      <w:r w:rsidDel="00000000" w:rsidR="00000000" w:rsidRPr="00000000">
        <w:rPr>
          <w:rtl w:val="0"/>
        </w:rPr>
      </w:r>
    </w:p>
    <w:p w:rsidR="00000000" w:rsidDel="00000000" w:rsidP="00000000" w:rsidRDefault="00000000" w:rsidRPr="00000000" w14:paraId="00000155">
      <w:pPr>
        <w:numPr>
          <w:ilvl w:val="0"/>
          <w:numId w:val="1"/>
        </w:numPr>
        <w:ind w:left="720" w:hanging="360"/>
        <w:jc w:val="both"/>
      </w:pPr>
      <w:r w:rsidDel="00000000" w:rsidR="00000000" w:rsidRPr="00000000">
        <w:rPr>
          <w:rtl w:val="0"/>
        </w:rPr>
        <w:t xml:space="preserve">Höhn, A., &amp; Grune, T. (2013). Lipofuscin: Formation, effects, role in aging and turnover. Gerontology, 59(4), 328-336. </w:t>
      </w:r>
      <w:hyperlink r:id="rId50">
        <w:r w:rsidDel="00000000" w:rsidR="00000000" w:rsidRPr="00000000">
          <w:rPr>
            <w:color w:val="1155cc"/>
            <w:u w:val="single"/>
            <w:rtl w:val="0"/>
          </w:rPr>
          <w:t xml:space="preserve">https://doi.org/10.1159/000350727</w:t>
        </w:r>
      </w:hyperlink>
      <w:r w:rsidDel="00000000" w:rsidR="00000000" w:rsidRPr="00000000">
        <w:rPr>
          <w:rtl w:val="0"/>
        </w:rPr>
      </w:r>
    </w:p>
    <w:p w:rsidR="00000000" w:rsidDel="00000000" w:rsidP="00000000" w:rsidRDefault="00000000" w:rsidRPr="00000000" w14:paraId="00000156">
      <w:pPr>
        <w:numPr>
          <w:ilvl w:val="0"/>
          <w:numId w:val="1"/>
        </w:numPr>
        <w:ind w:left="720" w:hanging="360"/>
        <w:jc w:val="both"/>
      </w:pPr>
      <w:r w:rsidDel="00000000" w:rsidR="00000000" w:rsidRPr="00000000">
        <w:rPr>
          <w:rtl w:val="0"/>
        </w:rPr>
        <w:t xml:space="preserve">Höhn, A., Weber, D., Jung, T., et al. (2017). Happily (n)ever after: Aging in the context of oxidative stress, proteostasis loss and cellular senescence. Redox Biology, 11, 482–501. </w:t>
      </w:r>
      <w:hyperlink r:id="rId51">
        <w:r w:rsidDel="00000000" w:rsidR="00000000" w:rsidRPr="00000000">
          <w:rPr>
            <w:color w:val="1155cc"/>
            <w:u w:val="single"/>
            <w:rtl w:val="0"/>
          </w:rPr>
          <w:t xml:space="preserve">https://doi.org/10.1016/j.redox.2016.12.001</w:t>
        </w:r>
      </w:hyperlink>
      <w:r w:rsidDel="00000000" w:rsidR="00000000" w:rsidRPr="00000000">
        <w:rPr>
          <w:rtl w:val="0"/>
        </w:rPr>
      </w:r>
    </w:p>
    <w:p w:rsidR="00000000" w:rsidDel="00000000" w:rsidP="00000000" w:rsidRDefault="00000000" w:rsidRPr="00000000" w14:paraId="00000157">
      <w:pPr>
        <w:numPr>
          <w:ilvl w:val="0"/>
          <w:numId w:val="1"/>
        </w:numPr>
        <w:ind w:left="720" w:hanging="360"/>
        <w:jc w:val="both"/>
      </w:pPr>
      <w:r w:rsidDel="00000000" w:rsidR="00000000" w:rsidRPr="00000000">
        <w:rPr>
          <w:rtl w:val="0"/>
        </w:rPr>
        <w:t xml:space="preserve">Horwitz, J. (2003). Alpha-crystallin. Experimental Eye Research, 76(2), 145-153. </w:t>
      </w:r>
      <w:hyperlink r:id="rId52">
        <w:r w:rsidDel="00000000" w:rsidR="00000000" w:rsidRPr="00000000">
          <w:rPr>
            <w:color w:val="1155cc"/>
            <w:u w:val="single"/>
            <w:rtl w:val="0"/>
          </w:rPr>
          <w:t xml:space="preserve">https://doi.org/10.1016/S0014-4835(02)00278-6</w:t>
        </w:r>
      </w:hyperlink>
      <w:r w:rsidDel="00000000" w:rsidR="00000000" w:rsidRPr="00000000">
        <w:rPr>
          <w:rtl w:val="0"/>
        </w:rPr>
      </w:r>
    </w:p>
    <w:p w:rsidR="00000000" w:rsidDel="00000000" w:rsidP="00000000" w:rsidRDefault="00000000" w:rsidRPr="00000000" w14:paraId="00000158">
      <w:pPr>
        <w:numPr>
          <w:ilvl w:val="0"/>
          <w:numId w:val="1"/>
        </w:numPr>
        <w:ind w:left="720" w:hanging="360"/>
        <w:jc w:val="both"/>
      </w:pPr>
      <w:r w:rsidDel="00000000" w:rsidR="00000000" w:rsidRPr="00000000">
        <w:rPr>
          <w:rtl w:val="0"/>
        </w:rPr>
        <w:t xml:space="preserve">Hou, Y., Dan, X., Babbar, M., et al. (2019). Ageing as a risk factor for neurodegenerative disease. Nature Reviews Neurology, 15(10), 565–581. </w:t>
      </w:r>
      <w:hyperlink r:id="rId53">
        <w:r w:rsidDel="00000000" w:rsidR="00000000" w:rsidRPr="00000000">
          <w:rPr>
            <w:color w:val="1155cc"/>
            <w:u w:val="single"/>
            <w:rtl w:val="0"/>
          </w:rPr>
          <w:t xml:space="preserve">https://doi.org/10.1038/s41582-019-0244-7</w:t>
        </w:r>
      </w:hyperlink>
      <w:r w:rsidDel="00000000" w:rsidR="00000000" w:rsidRPr="00000000">
        <w:rPr>
          <w:rtl w:val="0"/>
        </w:rPr>
      </w:r>
    </w:p>
    <w:p w:rsidR="00000000" w:rsidDel="00000000" w:rsidP="00000000" w:rsidRDefault="00000000" w:rsidRPr="00000000" w14:paraId="00000159">
      <w:pPr>
        <w:numPr>
          <w:ilvl w:val="0"/>
          <w:numId w:val="1"/>
        </w:numPr>
        <w:ind w:left="720" w:hanging="360"/>
        <w:jc w:val="both"/>
      </w:pPr>
      <w:r w:rsidDel="00000000" w:rsidR="00000000" w:rsidRPr="00000000">
        <w:rPr>
          <w:rtl w:val="0"/>
        </w:rPr>
        <w:t xml:space="preserve">Insinna, C., &amp; Besharse, J. C. (2008). Intraflagellar transport and the sensory outer segment of vertebrate photoreceptors. Developmental Dynamics, 237(8), 1982–1992. </w:t>
      </w:r>
      <w:hyperlink r:id="rId54">
        <w:r w:rsidDel="00000000" w:rsidR="00000000" w:rsidRPr="00000000">
          <w:rPr>
            <w:color w:val="1155cc"/>
            <w:u w:val="single"/>
            <w:rtl w:val="0"/>
          </w:rPr>
          <w:t xml:space="preserve">https://doi.org/10.1002/dvdy.21554</w:t>
        </w:r>
      </w:hyperlink>
      <w:r w:rsidDel="00000000" w:rsidR="00000000" w:rsidRPr="00000000">
        <w:rPr>
          <w:rtl w:val="0"/>
        </w:rPr>
      </w:r>
    </w:p>
    <w:p w:rsidR="00000000" w:rsidDel="00000000" w:rsidP="00000000" w:rsidRDefault="00000000" w:rsidRPr="00000000" w14:paraId="0000015A">
      <w:pPr>
        <w:numPr>
          <w:ilvl w:val="0"/>
          <w:numId w:val="1"/>
        </w:numPr>
        <w:ind w:left="720" w:hanging="360"/>
        <w:jc w:val="both"/>
      </w:pPr>
      <w:r w:rsidDel="00000000" w:rsidR="00000000" w:rsidRPr="00000000">
        <w:rPr>
          <w:rtl w:val="0"/>
        </w:rPr>
        <w:t xml:space="preserve">Ivanov, A., Pawlikowski, J., Manoharan, I., et al. (2013). Lysosome-mediated processing of chromatin in senescence. Journal of Cell Biology, 202(1), 129–143. </w:t>
      </w:r>
      <w:hyperlink r:id="rId55">
        <w:r w:rsidDel="00000000" w:rsidR="00000000" w:rsidRPr="00000000">
          <w:rPr>
            <w:color w:val="1155cc"/>
            <w:u w:val="single"/>
            <w:rtl w:val="0"/>
          </w:rPr>
          <w:t xml:space="preserve">https://doi.org/10.1083/jcb.201212110</w:t>
        </w:r>
      </w:hyperlink>
      <w:r w:rsidDel="00000000" w:rsidR="00000000" w:rsidRPr="00000000">
        <w:rPr>
          <w:rtl w:val="0"/>
        </w:rPr>
      </w:r>
    </w:p>
    <w:p w:rsidR="00000000" w:rsidDel="00000000" w:rsidP="00000000" w:rsidRDefault="00000000" w:rsidRPr="00000000" w14:paraId="0000015B">
      <w:pPr>
        <w:numPr>
          <w:ilvl w:val="0"/>
          <w:numId w:val="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5C">
      <w:pPr>
        <w:numPr>
          <w:ilvl w:val="0"/>
          <w:numId w:val="1"/>
        </w:numPr>
        <w:ind w:left="720" w:hanging="360"/>
        <w:jc w:val="both"/>
      </w:pPr>
      <w:r w:rsidDel="00000000" w:rsidR="00000000" w:rsidRPr="00000000">
        <w:rPr>
          <w:rtl w:val="0"/>
        </w:rPr>
        <w:t xml:space="preserve">Jaskelioff, M., Muller, F. L., Paik, J. H., et al. (2011). Telomerase reactivation reverses tissue degeneration in aged telomerase-deficient mice. Nature, 469(7328), 102–106. </w:t>
      </w:r>
      <w:hyperlink r:id="rId56">
        <w:r w:rsidDel="00000000" w:rsidR="00000000" w:rsidRPr="00000000">
          <w:rPr>
            <w:color w:val="1155cc"/>
            <w:u w:val="single"/>
            <w:rtl w:val="0"/>
          </w:rPr>
          <w:t xml:space="preserve">https://doi.org/10.1038/nature09603</w:t>
        </w:r>
      </w:hyperlink>
      <w:r w:rsidDel="00000000" w:rsidR="00000000" w:rsidRPr="00000000">
        <w:rPr>
          <w:rtl w:val="0"/>
        </w:rPr>
      </w:r>
    </w:p>
    <w:p w:rsidR="00000000" w:rsidDel="00000000" w:rsidP="00000000" w:rsidRDefault="00000000" w:rsidRPr="00000000" w14:paraId="0000015D">
      <w:pPr>
        <w:numPr>
          <w:ilvl w:val="0"/>
          <w:numId w:val="1"/>
        </w:numPr>
        <w:ind w:left="720" w:hanging="360"/>
        <w:jc w:val="both"/>
      </w:pPr>
      <w:r w:rsidDel="00000000" w:rsidR="00000000" w:rsidRPr="00000000">
        <w:rPr>
          <w:rtl w:val="0"/>
        </w:rPr>
        <w:t xml:space="preserve">Jiang, X., Stockwell, B. R., &amp; Conrad, M. (2017). Ferroptosis: Mechanisms, biology and role in disease. Nature Reviews Molecular Cell Biology, 22(4), 266-282. </w:t>
      </w:r>
      <w:hyperlink r:id="rId57">
        <w:r w:rsidDel="00000000" w:rsidR="00000000" w:rsidRPr="00000000">
          <w:rPr>
            <w:color w:val="1155cc"/>
            <w:u w:val="single"/>
            <w:rtl w:val="0"/>
          </w:rPr>
          <w:t xml:space="preserve">https://doi.org/10.1038/s41580-020-00324-8</w:t>
        </w:r>
      </w:hyperlink>
      <w:r w:rsidDel="00000000" w:rsidR="00000000" w:rsidRPr="00000000">
        <w:rPr>
          <w:rtl w:val="0"/>
        </w:rPr>
      </w:r>
    </w:p>
    <w:p w:rsidR="00000000" w:rsidDel="00000000" w:rsidP="00000000" w:rsidRDefault="00000000" w:rsidRPr="00000000" w14:paraId="0000015E">
      <w:pPr>
        <w:numPr>
          <w:ilvl w:val="0"/>
          <w:numId w:val="1"/>
        </w:numPr>
        <w:ind w:left="720" w:hanging="360"/>
        <w:jc w:val="both"/>
      </w:pPr>
      <w:r w:rsidDel="00000000" w:rsidR="00000000" w:rsidRPr="00000000">
        <w:rPr>
          <w:rtl w:val="0"/>
        </w:rPr>
        <w:t xml:space="preserve">Joiner, A., Luo, W., &amp; Pretty, I. A. (2018). Tooth colour and whiteness: A review. Journal of Dentistry, 74, S3–S10. </w:t>
      </w:r>
      <w:hyperlink r:id="rId58">
        <w:r w:rsidDel="00000000" w:rsidR="00000000" w:rsidRPr="00000000">
          <w:rPr>
            <w:color w:val="1155cc"/>
            <w:u w:val="single"/>
            <w:rtl w:val="0"/>
          </w:rPr>
          <w:t xml:space="preserve">https://doi.org/10.1016/j.jdent.2018.04.018</w:t>
        </w:r>
      </w:hyperlink>
      <w:r w:rsidDel="00000000" w:rsidR="00000000" w:rsidRPr="00000000">
        <w:rPr>
          <w:rtl w:val="0"/>
        </w:rPr>
      </w:r>
    </w:p>
    <w:p w:rsidR="00000000" w:rsidDel="00000000" w:rsidP="00000000" w:rsidRDefault="00000000" w:rsidRPr="00000000" w14:paraId="0000015F">
      <w:pPr>
        <w:numPr>
          <w:ilvl w:val="0"/>
          <w:numId w:val="1"/>
        </w:numPr>
        <w:ind w:left="720" w:hanging="360"/>
        <w:jc w:val="both"/>
      </w:pPr>
      <w:r w:rsidDel="00000000" w:rsidR="00000000" w:rsidRPr="00000000">
        <w:rPr>
          <w:rtl w:val="0"/>
        </w:rPr>
        <w:t xml:space="preserve">Jung, T., Bader, N., &amp; Grune, T. (2007). Lipofuscin: Formation, distribution, and metabolic consequences. Annals of the New York Academy of Sciences, 1119(1), 97-111. </w:t>
      </w:r>
      <w:hyperlink r:id="rId59">
        <w:r w:rsidDel="00000000" w:rsidR="00000000" w:rsidRPr="00000000">
          <w:rPr>
            <w:color w:val="1155cc"/>
            <w:u w:val="single"/>
            <w:rtl w:val="0"/>
          </w:rPr>
          <w:t xml:space="preserve">https://doi.org/10.1196/annals.1404.008</w:t>
        </w:r>
      </w:hyperlink>
      <w:r w:rsidDel="00000000" w:rsidR="00000000" w:rsidRPr="00000000">
        <w:rPr>
          <w:rtl w:val="0"/>
        </w:rPr>
      </w:r>
    </w:p>
    <w:p w:rsidR="00000000" w:rsidDel="00000000" w:rsidP="00000000" w:rsidRDefault="00000000" w:rsidRPr="00000000" w14:paraId="00000160">
      <w:pPr>
        <w:numPr>
          <w:ilvl w:val="0"/>
          <w:numId w:val="1"/>
        </w:numPr>
        <w:ind w:left="720" w:hanging="360"/>
        <w:jc w:val="both"/>
      </w:pPr>
      <w:r w:rsidDel="00000000" w:rsidR="00000000" w:rsidRPr="00000000">
        <w:rPr>
          <w:rtl w:val="0"/>
        </w:rPr>
        <w:t xml:space="preserve">Kaarniranta, K., Uusitalo, H., Blasiak, J., et al. (2020). Mechanisms of mitochondrial dysfunction and their impact on age-related macular degeneration. Progress in Retinal and Eye Research, 79, 100858. </w:t>
      </w:r>
      <w:hyperlink r:id="rId60">
        <w:r w:rsidDel="00000000" w:rsidR="00000000" w:rsidRPr="00000000">
          <w:rPr>
            <w:color w:val="1155cc"/>
            <w:u w:val="single"/>
            <w:rtl w:val="0"/>
          </w:rPr>
          <w:t xml:space="preserve">https://doi.org/10.1016/j.preteyeres.2020.100858</w:t>
        </w:r>
      </w:hyperlink>
      <w:r w:rsidDel="00000000" w:rsidR="00000000" w:rsidRPr="00000000">
        <w:rPr>
          <w:rtl w:val="0"/>
        </w:rPr>
      </w:r>
    </w:p>
    <w:p w:rsidR="00000000" w:rsidDel="00000000" w:rsidP="00000000" w:rsidRDefault="00000000" w:rsidRPr="00000000" w14:paraId="00000161">
      <w:pPr>
        <w:numPr>
          <w:ilvl w:val="0"/>
          <w:numId w:val="1"/>
        </w:numPr>
        <w:ind w:left="720" w:hanging="360"/>
        <w:jc w:val="both"/>
      </w:pPr>
      <w:r w:rsidDel="00000000" w:rsidR="00000000" w:rsidRPr="00000000">
        <w:rPr>
          <w:rtl w:val="0"/>
        </w:rPr>
        <w:t xml:space="preserve">Kantorow, M., Hawse, J. R., Cowell, T. L., Benhamed, S., Pizarro, G. O., Reddy, V. N., &amp; Hejtmancik, J. F. (2020). Methionine sulfoxide reductase A is important for lens cell viability and resistance to oxidative stress. Proceedings of the National Academy of Sciences, 117(33), 19919-19927. </w:t>
      </w:r>
      <w:hyperlink r:id="rId61">
        <w:r w:rsidDel="00000000" w:rsidR="00000000" w:rsidRPr="00000000">
          <w:rPr>
            <w:color w:val="1155cc"/>
            <w:u w:val="single"/>
            <w:rtl w:val="0"/>
          </w:rPr>
          <w:t xml:space="preserve">https://doi.org/10.1073/pnas.2011636117</w:t>
        </w:r>
      </w:hyperlink>
      <w:r w:rsidDel="00000000" w:rsidR="00000000" w:rsidRPr="00000000">
        <w:rPr>
          <w:rtl w:val="0"/>
        </w:rPr>
      </w:r>
    </w:p>
    <w:p w:rsidR="00000000" w:rsidDel="00000000" w:rsidP="00000000" w:rsidRDefault="00000000" w:rsidRPr="00000000" w14:paraId="00000162">
      <w:pPr>
        <w:numPr>
          <w:ilvl w:val="0"/>
          <w:numId w:val="1"/>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62">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163">
      <w:pPr>
        <w:numPr>
          <w:ilvl w:val="0"/>
          <w:numId w:val="1"/>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63">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164">
      <w:pPr>
        <w:numPr>
          <w:ilvl w:val="0"/>
          <w:numId w:val="1"/>
        </w:numPr>
        <w:ind w:left="720" w:hanging="360"/>
        <w:jc w:val="both"/>
      </w:pPr>
      <w:r w:rsidDel="00000000" w:rsidR="00000000" w:rsidRPr="00000000">
        <w:rPr>
          <w:rtl w:val="0"/>
        </w:rPr>
        <w:t xml:space="preserve">Kipshidze, M., &amp; Tkemaladze, J. (2024). Abastumani Resort: Balneological Heritage and Modern Potential. Junior Researchers, 2(2), 126–134. doi: </w:t>
      </w:r>
      <w:hyperlink r:id="rId64">
        <w:r w:rsidDel="00000000" w:rsidR="00000000" w:rsidRPr="00000000">
          <w:rPr>
            <w:color w:val="1155cc"/>
            <w:u w:val="single"/>
            <w:rtl w:val="0"/>
          </w:rPr>
          <w:t xml:space="preserve">https://doi.org/10.52340/jr.2024.02.02.12</w:t>
        </w:r>
      </w:hyperlink>
      <w:r w:rsidDel="00000000" w:rsidR="00000000" w:rsidRPr="00000000">
        <w:rPr>
          <w:rtl w:val="0"/>
        </w:rPr>
        <w:t xml:space="preserve"> </w:t>
      </w:r>
    </w:p>
    <w:p w:rsidR="00000000" w:rsidDel="00000000" w:rsidP="00000000" w:rsidRDefault="00000000" w:rsidRPr="00000000" w14:paraId="00000165">
      <w:pPr>
        <w:numPr>
          <w:ilvl w:val="0"/>
          <w:numId w:val="1"/>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66">
      <w:pPr>
        <w:numPr>
          <w:ilvl w:val="0"/>
          <w:numId w:val="1"/>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67">
      <w:pPr>
        <w:numPr>
          <w:ilvl w:val="0"/>
          <w:numId w:val="1"/>
        </w:numPr>
        <w:ind w:left="720" w:hanging="360"/>
        <w:jc w:val="both"/>
      </w:pPr>
      <w:r w:rsidDel="00000000" w:rsidR="00000000" w:rsidRPr="00000000">
        <w:rPr>
          <w:rtl w:val="0"/>
        </w:rPr>
        <w:t xml:space="preserve">Kirkham, J., Firth, A., Vernals, D., et al. (2020). Self-assembling peptide scaffolds promote enamel remineralization. Journal of Dental Research, 96(7), 790–797. </w:t>
      </w:r>
      <w:hyperlink r:id="rId65">
        <w:r w:rsidDel="00000000" w:rsidR="00000000" w:rsidRPr="00000000">
          <w:rPr>
            <w:color w:val="1155cc"/>
            <w:u w:val="single"/>
            <w:rtl w:val="0"/>
          </w:rPr>
          <w:t xml:space="preserve">https://doi.org/10.1177/0022034517703828</w:t>
        </w:r>
      </w:hyperlink>
      <w:r w:rsidDel="00000000" w:rsidR="00000000" w:rsidRPr="00000000">
        <w:rPr>
          <w:rtl w:val="0"/>
        </w:rPr>
      </w:r>
    </w:p>
    <w:p w:rsidR="00000000" w:rsidDel="00000000" w:rsidP="00000000" w:rsidRDefault="00000000" w:rsidRPr="00000000" w14:paraId="00000168">
      <w:pPr>
        <w:numPr>
          <w:ilvl w:val="0"/>
          <w:numId w:val="1"/>
        </w:numPr>
        <w:ind w:left="720" w:hanging="360"/>
        <w:jc w:val="both"/>
      </w:pPr>
      <w:r w:rsidDel="00000000" w:rsidR="00000000" w:rsidRPr="00000000">
        <w:rPr>
          <w:rtl w:val="0"/>
        </w:rPr>
        <w:t xml:space="preserve">Kirkham, J., Firth, A., Vernals, D., et al. (2020). Self-assembling peptide scaffolds promote enamel remineralization. Journal of Dental Research, 96(7), 790–797. </w:t>
      </w:r>
      <w:hyperlink r:id="rId66">
        <w:r w:rsidDel="00000000" w:rsidR="00000000" w:rsidRPr="00000000">
          <w:rPr>
            <w:color w:val="1155cc"/>
            <w:u w:val="single"/>
            <w:rtl w:val="0"/>
          </w:rPr>
          <w:t xml:space="preserve">https://doi.org/10.1177/0022034517703828</w:t>
        </w:r>
      </w:hyperlink>
      <w:r w:rsidDel="00000000" w:rsidR="00000000" w:rsidRPr="00000000">
        <w:rPr>
          <w:rtl w:val="0"/>
        </w:rPr>
      </w:r>
    </w:p>
    <w:p w:rsidR="00000000" w:rsidDel="00000000" w:rsidP="00000000" w:rsidRDefault="00000000" w:rsidRPr="00000000" w14:paraId="00000169">
      <w:pPr>
        <w:numPr>
          <w:ilvl w:val="0"/>
          <w:numId w:val="1"/>
        </w:numPr>
        <w:ind w:left="720" w:hanging="360"/>
        <w:jc w:val="both"/>
      </w:pPr>
      <w:r w:rsidDel="00000000" w:rsidR="00000000" w:rsidRPr="00000000">
        <w:rPr>
          <w:rtl w:val="0"/>
        </w:rPr>
        <w:t xml:space="preserve">Kucher, K., Johns, D., Maier, D., et al. (2018). First-in-human study of anti-Nogo-A antibody in spinal cord injury. Annals of Clinical and Translational Neurology, 5(8), 845–856. </w:t>
      </w:r>
      <w:hyperlink r:id="rId67">
        <w:r w:rsidDel="00000000" w:rsidR="00000000" w:rsidRPr="00000000">
          <w:rPr>
            <w:color w:val="1155cc"/>
            <w:u w:val="single"/>
            <w:rtl w:val="0"/>
          </w:rPr>
          <w:t xml:space="preserve">https://doi.org/10.1002/acn3.581</w:t>
        </w:r>
      </w:hyperlink>
      <w:r w:rsidDel="00000000" w:rsidR="00000000" w:rsidRPr="00000000">
        <w:rPr>
          <w:rtl w:val="0"/>
        </w:rPr>
      </w:r>
    </w:p>
    <w:p w:rsidR="00000000" w:rsidDel="00000000" w:rsidP="00000000" w:rsidRDefault="00000000" w:rsidRPr="00000000" w14:paraId="0000016A">
      <w:pPr>
        <w:numPr>
          <w:ilvl w:val="0"/>
          <w:numId w:val="1"/>
        </w:numPr>
        <w:ind w:left="720" w:hanging="360"/>
        <w:jc w:val="both"/>
      </w:pPr>
      <w:r w:rsidDel="00000000" w:rsidR="00000000" w:rsidRPr="00000000">
        <w:rPr>
          <w:rtl w:val="0"/>
        </w:rPr>
        <w:t xml:space="preserve">Kurz, T., Terman, A., Gustafsson, B., &amp; Brunk, U. T. (2008). Lysosomes in iron metabolism, ageing and apoptosis. Histochemistry and Cell Biology, 129(4), 389-406. </w:t>
      </w:r>
      <w:hyperlink r:id="rId68">
        <w:r w:rsidDel="00000000" w:rsidR="00000000" w:rsidRPr="00000000">
          <w:rPr>
            <w:color w:val="1155cc"/>
            <w:u w:val="single"/>
            <w:rtl w:val="0"/>
          </w:rPr>
          <w:t xml:space="preserve">https://doi.org/10.1007/s00418-008-0394-y</w:t>
        </w:r>
      </w:hyperlink>
      <w:r w:rsidDel="00000000" w:rsidR="00000000" w:rsidRPr="00000000">
        <w:rPr>
          <w:rtl w:val="0"/>
        </w:rPr>
      </w:r>
    </w:p>
    <w:p w:rsidR="00000000" w:rsidDel="00000000" w:rsidP="00000000" w:rsidRDefault="00000000" w:rsidRPr="00000000" w14:paraId="0000016B">
      <w:pPr>
        <w:numPr>
          <w:ilvl w:val="0"/>
          <w:numId w:val="1"/>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6C">
      <w:pPr>
        <w:numPr>
          <w:ilvl w:val="0"/>
          <w:numId w:val="1"/>
        </w:numPr>
        <w:ind w:left="720" w:hanging="360"/>
        <w:jc w:val="both"/>
      </w:pPr>
      <w:r w:rsidDel="00000000" w:rsidR="00000000" w:rsidRPr="00000000">
        <w:rPr>
          <w:rtl w:val="0"/>
        </w:rPr>
        <w:t xml:space="preserve">Liang, Y., Hsu, J. C., &amp; Yoon, D. W. (2020). Asymmetric inheritance of centrosomes maintains stem cell properties in Drosophila. Cell Stem Cell, 26(6), 896–909. </w:t>
      </w:r>
      <w:hyperlink r:id="rId69">
        <w:r w:rsidDel="00000000" w:rsidR="00000000" w:rsidRPr="00000000">
          <w:rPr>
            <w:color w:val="1155cc"/>
            <w:u w:val="single"/>
            <w:rtl w:val="0"/>
          </w:rPr>
          <w:t xml:space="preserve">https://doi.org/10.1016/j.stem.2020.04.003</w:t>
        </w:r>
      </w:hyperlink>
      <w:r w:rsidDel="00000000" w:rsidR="00000000" w:rsidRPr="00000000">
        <w:rPr>
          <w:rtl w:val="0"/>
        </w:rPr>
      </w:r>
    </w:p>
    <w:p w:rsidR="00000000" w:rsidDel="00000000" w:rsidP="00000000" w:rsidRDefault="00000000" w:rsidRPr="00000000" w14:paraId="0000016D">
      <w:pPr>
        <w:numPr>
          <w:ilvl w:val="0"/>
          <w:numId w:val="1"/>
        </w:numPr>
        <w:ind w:left="720" w:hanging="360"/>
        <w:jc w:val="both"/>
      </w:pPr>
      <w:r w:rsidDel="00000000" w:rsidR="00000000" w:rsidRPr="00000000">
        <w:rPr>
          <w:rtl w:val="0"/>
        </w:rPr>
        <w:t xml:space="preserve">Lira, V. A., Benton, C. R., Yan, Z., &amp; Bonen, A. (2013). PGC-1α regulation by exercise training and its influences on muscle function and insulin sensitivity. American Journal of Physiology-Endocrinology and Metabolism, 299(2), E145–E161. </w:t>
      </w:r>
      <w:hyperlink r:id="rId70">
        <w:r w:rsidDel="00000000" w:rsidR="00000000" w:rsidRPr="00000000">
          <w:rPr>
            <w:color w:val="1155cc"/>
            <w:u w:val="single"/>
            <w:rtl w:val="0"/>
          </w:rPr>
          <w:t xml:space="preserve">https://doi.org/10.1152/ajpendo.00055.2010</w:t>
        </w:r>
      </w:hyperlink>
      <w:r w:rsidDel="00000000" w:rsidR="00000000" w:rsidRPr="00000000">
        <w:rPr>
          <w:rtl w:val="0"/>
        </w:rPr>
      </w:r>
    </w:p>
    <w:p w:rsidR="00000000" w:rsidDel="00000000" w:rsidP="00000000" w:rsidRDefault="00000000" w:rsidRPr="00000000" w14:paraId="0000016E">
      <w:pPr>
        <w:numPr>
          <w:ilvl w:val="0"/>
          <w:numId w:val="1"/>
        </w:numPr>
        <w:ind w:left="720" w:hanging="360"/>
        <w:jc w:val="both"/>
      </w:pPr>
      <w:r w:rsidDel="00000000" w:rsidR="00000000" w:rsidRPr="00000000">
        <w:rPr>
          <w:rtl w:val="0"/>
        </w:rPr>
        <w:t xml:space="preserve">Lodato, M. A., Rodin, R. E., Bohrson, C. L., et al. (2018). Aging and neurodegeneration are associated with increased mutations in single human neurons. Science, 359(6375), 555-559. </w:t>
      </w:r>
      <w:hyperlink r:id="rId71">
        <w:r w:rsidDel="00000000" w:rsidR="00000000" w:rsidRPr="00000000">
          <w:rPr>
            <w:color w:val="1155cc"/>
            <w:u w:val="single"/>
            <w:rtl w:val="0"/>
          </w:rPr>
          <w:t xml:space="preserve">https://doi.org/10.1126/science.aao4426</w:t>
        </w:r>
      </w:hyperlink>
      <w:r w:rsidDel="00000000" w:rsidR="00000000" w:rsidRPr="00000000">
        <w:rPr>
          <w:rtl w:val="0"/>
        </w:rPr>
      </w:r>
    </w:p>
    <w:p w:rsidR="00000000" w:rsidDel="00000000" w:rsidP="00000000" w:rsidRDefault="00000000" w:rsidRPr="00000000" w14:paraId="0000016F">
      <w:pPr>
        <w:numPr>
          <w:ilvl w:val="0"/>
          <w:numId w:val="1"/>
        </w:numPr>
        <w:ind w:left="720" w:hanging="360"/>
        <w:jc w:val="both"/>
      </w:pPr>
      <w:r w:rsidDel="00000000" w:rsidR="00000000" w:rsidRPr="00000000">
        <w:rPr>
          <w:rtl w:val="0"/>
        </w:rPr>
        <w:t xml:space="preserve">Löhr, K., Möckel, M., &amp; Fischer, S. (2017). Age-related oxidative modifications impair centrosome structure and function. Aging Cell, 16(2), 310–320. </w:t>
      </w:r>
      <w:hyperlink r:id="rId72">
        <w:r w:rsidDel="00000000" w:rsidR="00000000" w:rsidRPr="00000000">
          <w:rPr>
            <w:color w:val="1155cc"/>
            <w:u w:val="single"/>
            <w:rtl w:val="0"/>
          </w:rPr>
          <w:t xml:space="preserve">https://doi.org/10.1111/acel.12552</w:t>
        </w:r>
      </w:hyperlink>
      <w:r w:rsidDel="00000000" w:rsidR="00000000" w:rsidRPr="00000000">
        <w:rPr>
          <w:rtl w:val="0"/>
        </w:rPr>
      </w:r>
    </w:p>
    <w:p w:rsidR="00000000" w:rsidDel="00000000" w:rsidP="00000000" w:rsidRDefault="00000000" w:rsidRPr="00000000" w14:paraId="00000170">
      <w:pPr>
        <w:numPr>
          <w:ilvl w:val="0"/>
          <w:numId w:val="1"/>
        </w:numPr>
        <w:ind w:left="720" w:hanging="360"/>
        <w:jc w:val="both"/>
      </w:pPr>
      <w:r w:rsidDel="00000000" w:rsidR="00000000" w:rsidRPr="00000000">
        <w:rPr>
          <w:rtl w:val="0"/>
        </w:rPr>
        <w:t xml:space="preserve">López-Otín, C., Blasco, M. A., Partridge, L., Serrano, M., &amp; Kroemer, G. (2013). The hallmarks of aging. Cell, 153(6), 1194-1217. </w:t>
      </w:r>
      <w:hyperlink r:id="rId73">
        <w:r w:rsidDel="00000000" w:rsidR="00000000" w:rsidRPr="00000000">
          <w:rPr>
            <w:color w:val="1155cc"/>
            <w:u w:val="single"/>
            <w:rtl w:val="0"/>
          </w:rPr>
          <w:t xml:space="preserve">https://doi.org/10.1016/j.cell.2013.05.039</w:t>
        </w:r>
      </w:hyperlink>
      <w:r w:rsidDel="00000000" w:rsidR="00000000" w:rsidRPr="00000000">
        <w:rPr>
          <w:rtl w:val="0"/>
        </w:rPr>
      </w:r>
    </w:p>
    <w:p w:rsidR="00000000" w:rsidDel="00000000" w:rsidP="00000000" w:rsidRDefault="00000000" w:rsidRPr="00000000" w14:paraId="00000171">
      <w:pPr>
        <w:numPr>
          <w:ilvl w:val="0"/>
          <w:numId w:val="1"/>
        </w:numPr>
        <w:ind w:left="720" w:hanging="360"/>
        <w:jc w:val="both"/>
      </w:pPr>
      <w:r w:rsidDel="00000000" w:rsidR="00000000" w:rsidRPr="00000000">
        <w:rPr>
          <w:rtl w:val="0"/>
        </w:rPr>
        <w:t xml:space="preserve">Lu, T., Pan, Y., Kao, S. Y., et al. (2004). Gene regulation and DNA damage in the ageing human brain. Nature, 429(6994), 883-891. </w:t>
      </w:r>
      <w:hyperlink r:id="rId74">
        <w:r w:rsidDel="00000000" w:rsidR="00000000" w:rsidRPr="00000000">
          <w:rPr>
            <w:color w:val="1155cc"/>
            <w:u w:val="single"/>
            <w:rtl w:val="0"/>
          </w:rPr>
          <w:t xml:space="preserve">https://doi.org/10.1038/nature02661</w:t>
        </w:r>
      </w:hyperlink>
      <w:r w:rsidDel="00000000" w:rsidR="00000000" w:rsidRPr="00000000">
        <w:rPr>
          <w:rtl w:val="0"/>
        </w:rPr>
      </w:r>
    </w:p>
    <w:p w:rsidR="00000000" w:rsidDel="00000000" w:rsidP="00000000" w:rsidRDefault="00000000" w:rsidRPr="00000000" w14:paraId="00000172">
      <w:pPr>
        <w:numPr>
          <w:ilvl w:val="0"/>
          <w:numId w:val="1"/>
        </w:numPr>
        <w:ind w:left="720" w:hanging="360"/>
        <w:jc w:val="both"/>
      </w:pPr>
      <w:r w:rsidDel="00000000" w:rsidR="00000000" w:rsidRPr="00000000">
        <w:rPr>
          <w:rtl w:val="0"/>
        </w:rPr>
        <w:t xml:space="preserve">Lussi, A., Carvalho, T. S., &amp; Jaeggi, T. (2012). Erosive tooth wear: From diagnosis to therapy. Monographs in Oral Science, 25, 1–8. </w:t>
      </w:r>
      <w:hyperlink r:id="rId75">
        <w:r w:rsidDel="00000000" w:rsidR="00000000" w:rsidRPr="00000000">
          <w:rPr>
            <w:color w:val="1155cc"/>
            <w:u w:val="single"/>
            <w:rtl w:val="0"/>
          </w:rPr>
          <w:t xml:space="preserve">https://doi.org/10.1159/000359936</w:t>
        </w:r>
      </w:hyperlink>
      <w:r w:rsidDel="00000000" w:rsidR="00000000" w:rsidRPr="00000000">
        <w:rPr>
          <w:rtl w:val="0"/>
        </w:rPr>
      </w:r>
    </w:p>
    <w:p w:rsidR="00000000" w:rsidDel="00000000" w:rsidP="00000000" w:rsidRDefault="00000000" w:rsidRPr="00000000" w14:paraId="00000173">
      <w:pPr>
        <w:numPr>
          <w:ilvl w:val="0"/>
          <w:numId w:val="1"/>
        </w:numPr>
        <w:ind w:left="720" w:hanging="360"/>
        <w:jc w:val="both"/>
      </w:pPr>
      <w:r w:rsidDel="00000000" w:rsidR="00000000" w:rsidRPr="00000000">
        <w:rPr>
          <w:rtl w:val="0"/>
        </w:rPr>
        <w:t xml:space="preserve">Madabhushi, R., Gao, F., Pfenning, A. R., et al. (2015). Activity-induced DNA breaks govern the expression of neuronal early-response genes. Cell, 161(7), 1592-1605. </w:t>
      </w:r>
      <w:hyperlink r:id="rId76">
        <w:r w:rsidDel="00000000" w:rsidR="00000000" w:rsidRPr="00000000">
          <w:rPr>
            <w:color w:val="1155cc"/>
            <w:u w:val="single"/>
            <w:rtl w:val="0"/>
          </w:rPr>
          <w:t xml:space="preserve">https://doi.org/10.1016/j.cell.2015.05.032</w:t>
        </w:r>
      </w:hyperlink>
      <w:r w:rsidDel="00000000" w:rsidR="00000000" w:rsidRPr="00000000">
        <w:rPr>
          <w:rtl w:val="0"/>
        </w:rPr>
      </w:r>
    </w:p>
    <w:p w:rsidR="00000000" w:rsidDel="00000000" w:rsidP="00000000" w:rsidRDefault="00000000" w:rsidRPr="00000000" w14:paraId="00000174">
      <w:pPr>
        <w:numPr>
          <w:ilvl w:val="0"/>
          <w:numId w:val="1"/>
        </w:numPr>
        <w:ind w:left="720" w:hanging="360"/>
        <w:jc w:val="both"/>
      </w:pPr>
      <w:r w:rsidDel="00000000" w:rsidR="00000000" w:rsidRPr="00000000">
        <w:rPr>
          <w:rtl w:val="0"/>
        </w:rPr>
        <w:t xml:space="preserve">Makley, L. N., McMenimen, K. A., DeVree, B. T., et al. (2015). Pharmacological chaperone for α-crystallin partially restores transparency in cataract models. Science, 350(6261), 674–677. </w:t>
      </w:r>
      <w:hyperlink r:id="rId77">
        <w:r w:rsidDel="00000000" w:rsidR="00000000" w:rsidRPr="00000000">
          <w:rPr>
            <w:color w:val="1155cc"/>
            <w:u w:val="single"/>
            <w:rtl w:val="0"/>
          </w:rPr>
          <w:t xml:space="preserve">https://doi.org/10.1126/science.aac9145</w:t>
        </w:r>
      </w:hyperlink>
      <w:r w:rsidDel="00000000" w:rsidR="00000000" w:rsidRPr="00000000">
        <w:rPr>
          <w:rtl w:val="0"/>
        </w:rPr>
      </w:r>
    </w:p>
    <w:p w:rsidR="00000000" w:rsidDel="00000000" w:rsidP="00000000" w:rsidRDefault="00000000" w:rsidRPr="00000000" w14:paraId="00000175">
      <w:pPr>
        <w:numPr>
          <w:ilvl w:val="0"/>
          <w:numId w:val="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76">
      <w:pPr>
        <w:numPr>
          <w:ilvl w:val="0"/>
          <w:numId w:val="1"/>
        </w:numPr>
        <w:ind w:left="720" w:hanging="360"/>
        <w:jc w:val="both"/>
      </w:pPr>
      <w:r w:rsidDel="00000000" w:rsidR="00000000" w:rsidRPr="00000000">
        <w:rPr>
          <w:rtl w:val="0"/>
        </w:rPr>
        <w:t xml:space="preserve">May-Panloup, P., Boucret, L., Chao de la Barca, J. M., et al. (2016). Ovarian ageing: The role of mitochondria in oocytes and follicles. Human Reproduction Update, 22(6), 725–743. </w:t>
      </w:r>
      <w:hyperlink r:id="rId78">
        <w:r w:rsidDel="00000000" w:rsidR="00000000" w:rsidRPr="00000000">
          <w:rPr>
            <w:color w:val="1155cc"/>
            <w:u w:val="single"/>
            <w:rtl w:val="0"/>
          </w:rPr>
          <w:t xml:space="preserve">https://doi.org/10.1093/humupd/dmw028</w:t>
        </w:r>
      </w:hyperlink>
      <w:r w:rsidDel="00000000" w:rsidR="00000000" w:rsidRPr="00000000">
        <w:rPr>
          <w:rtl w:val="0"/>
        </w:rPr>
      </w:r>
    </w:p>
    <w:p w:rsidR="00000000" w:rsidDel="00000000" w:rsidP="00000000" w:rsidRDefault="00000000" w:rsidRPr="00000000" w14:paraId="00000177">
      <w:pPr>
        <w:numPr>
          <w:ilvl w:val="0"/>
          <w:numId w:val="1"/>
        </w:numPr>
        <w:ind w:left="720" w:hanging="360"/>
        <w:jc w:val="both"/>
      </w:pPr>
      <w:r w:rsidDel="00000000" w:rsidR="00000000" w:rsidRPr="00000000">
        <w:rPr>
          <w:rtl w:val="0"/>
        </w:rPr>
        <w:t xml:space="preserve">Maynard, S., Fang, E. F., Scheibye-Knudsen, M., Croteau, D. L., &amp; Bohr, V. A. (2015). DNA damage, DNA repair, aging, and neurodegeneration. Cold Spring Harbor Perspectives in Medicine, 5(10), a025130. </w:t>
      </w:r>
      <w:hyperlink r:id="rId79">
        <w:r w:rsidDel="00000000" w:rsidR="00000000" w:rsidRPr="00000000">
          <w:rPr>
            <w:color w:val="1155cc"/>
            <w:u w:val="single"/>
            <w:rtl w:val="0"/>
          </w:rPr>
          <w:t xml:space="preserve">https://doi.org/10.1101/cshperspect.a025130</w:t>
        </w:r>
      </w:hyperlink>
      <w:r w:rsidDel="00000000" w:rsidR="00000000" w:rsidRPr="00000000">
        <w:rPr>
          <w:rtl w:val="0"/>
        </w:rPr>
      </w:r>
    </w:p>
    <w:p w:rsidR="00000000" w:rsidDel="00000000" w:rsidP="00000000" w:rsidRDefault="00000000" w:rsidRPr="00000000" w14:paraId="00000178">
      <w:pPr>
        <w:numPr>
          <w:ilvl w:val="0"/>
          <w:numId w:val="1"/>
        </w:numPr>
        <w:ind w:left="720" w:hanging="360"/>
        <w:jc w:val="both"/>
      </w:pPr>
      <w:r w:rsidDel="00000000" w:rsidR="00000000" w:rsidRPr="00000000">
        <w:rPr>
          <w:rtl w:val="0"/>
        </w:rPr>
        <w:t xml:space="preserve">Molday, R. S., Kellner, U., &amp; Weber, B. H. F. (2015). X-linked juvenile retinoschisis: Clinical diagnosis, genetic analysis, and molecular mechanisms. Progress in Retinal and Eye Research, 49, 77–91. </w:t>
      </w:r>
      <w:hyperlink r:id="rId80">
        <w:r w:rsidDel="00000000" w:rsidR="00000000" w:rsidRPr="00000000">
          <w:rPr>
            <w:color w:val="1155cc"/>
            <w:u w:val="single"/>
            <w:rtl w:val="0"/>
          </w:rPr>
          <w:t xml:space="preserve">https://doi.org/10.1016/j.preteyeres.2015.06.001</w:t>
        </w:r>
      </w:hyperlink>
      <w:r w:rsidDel="00000000" w:rsidR="00000000" w:rsidRPr="00000000">
        <w:rPr>
          <w:rtl w:val="0"/>
        </w:rPr>
      </w:r>
    </w:p>
    <w:p w:rsidR="00000000" w:rsidDel="00000000" w:rsidP="00000000" w:rsidRDefault="00000000" w:rsidRPr="00000000" w14:paraId="00000179">
      <w:pPr>
        <w:numPr>
          <w:ilvl w:val="0"/>
          <w:numId w:val="1"/>
        </w:numPr>
        <w:ind w:left="720" w:hanging="360"/>
        <w:jc w:val="both"/>
      </w:pPr>
      <w:r w:rsidDel="00000000" w:rsidR="00000000" w:rsidRPr="00000000">
        <w:rPr>
          <w:rtl w:val="0"/>
        </w:rPr>
        <w:t xml:space="preserve">Moreau, K. L., &amp; King, J. A. (2012). Protein misfolding and aggregation in cataract disease and prospects for prevention. Trends in Molecular Medicine, 18(5), 273-282. </w:t>
      </w:r>
      <w:hyperlink r:id="rId81">
        <w:r w:rsidDel="00000000" w:rsidR="00000000" w:rsidRPr="00000000">
          <w:rPr>
            <w:color w:val="1155cc"/>
            <w:u w:val="single"/>
            <w:rtl w:val="0"/>
          </w:rPr>
          <w:t xml:space="preserve">https://doi.org/10.1016/j.molmed.2012.03.005</w:t>
        </w:r>
      </w:hyperlink>
      <w:r w:rsidDel="00000000" w:rsidR="00000000" w:rsidRPr="00000000">
        <w:rPr>
          <w:rtl w:val="0"/>
        </w:rPr>
      </w:r>
    </w:p>
    <w:p w:rsidR="00000000" w:rsidDel="00000000" w:rsidP="00000000" w:rsidRDefault="00000000" w:rsidRPr="00000000" w14:paraId="0000017A">
      <w:pPr>
        <w:numPr>
          <w:ilvl w:val="0"/>
          <w:numId w:val="1"/>
        </w:numPr>
        <w:ind w:left="720" w:hanging="360"/>
        <w:jc w:val="both"/>
      </w:pPr>
      <w:r w:rsidDel="00000000" w:rsidR="00000000" w:rsidRPr="00000000">
        <w:rPr>
          <w:rtl w:val="0"/>
        </w:rPr>
        <w:t xml:space="preserve">Moreno, A. M., Alemán, F., Catroli, G. F., et al. (2022). Long-lasting analgesia via targeted in vivo epigenetic repression of NaV1.7. Science Translational Medicine, 14(632), eabj2854. </w:t>
      </w:r>
      <w:hyperlink r:id="rId82">
        <w:r w:rsidDel="00000000" w:rsidR="00000000" w:rsidRPr="00000000">
          <w:rPr>
            <w:color w:val="1155cc"/>
            <w:u w:val="single"/>
            <w:rtl w:val="0"/>
          </w:rPr>
          <w:t xml:space="preserve">https://doi.org/10.1126/scitranslmed.abj2854</w:t>
        </w:r>
      </w:hyperlink>
      <w:r w:rsidDel="00000000" w:rsidR="00000000" w:rsidRPr="00000000">
        <w:rPr>
          <w:rtl w:val="0"/>
        </w:rPr>
      </w:r>
    </w:p>
    <w:p w:rsidR="00000000" w:rsidDel="00000000" w:rsidP="00000000" w:rsidRDefault="00000000" w:rsidRPr="00000000" w14:paraId="0000017B">
      <w:pPr>
        <w:numPr>
          <w:ilvl w:val="0"/>
          <w:numId w:val="1"/>
        </w:numPr>
        <w:ind w:left="720" w:hanging="360"/>
        <w:jc w:val="both"/>
      </w:pPr>
      <w:r w:rsidDel="00000000" w:rsidR="00000000" w:rsidRPr="00000000">
        <w:rPr>
          <w:rtl w:val="0"/>
        </w:rPr>
        <w:t xml:space="preserve">Moreno-García, A., Kun, A., Calero, O., Medina, M., &amp; Calero, M. (2018). An overview of the role of lipofuscin in age-related neurodegeneration. Frontiers in Neuroscience, 12, 464. </w:t>
      </w:r>
      <w:hyperlink r:id="rId83">
        <w:r w:rsidDel="00000000" w:rsidR="00000000" w:rsidRPr="00000000">
          <w:rPr>
            <w:color w:val="1155cc"/>
            <w:u w:val="single"/>
            <w:rtl w:val="0"/>
          </w:rPr>
          <w:t xml:space="preserve">https://doi.org/10.3389/fnins.2018.00464</w:t>
        </w:r>
      </w:hyperlink>
      <w:r w:rsidDel="00000000" w:rsidR="00000000" w:rsidRPr="00000000">
        <w:rPr>
          <w:rtl w:val="0"/>
        </w:rPr>
      </w:r>
    </w:p>
    <w:p w:rsidR="00000000" w:rsidDel="00000000" w:rsidP="00000000" w:rsidRDefault="00000000" w:rsidRPr="00000000" w14:paraId="0000017C">
      <w:pPr>
        <w:numPr>
          <w:ilvl w:val="0"/>
          <w:numId w:val="1"/>
        </w:numPr>
        <w:ind w:left="720" w:hanging="360"/>
        <w:jc w:val="both"/>
      </w:pPr>
      <w:r w:rsidDel="00000000" w:rsidR="00000000" w:rsidRPr="00000000">
        <w:rPr>
          <w:rtl w:val="0"/>
        </w:rPr>
        <w:t xml:space="preserve">Murphy, M. P., &amp; Hartley, R. C. (2018). Mitochondria as a therapeutic target for common pathologies. Nature Reviews Drug Discovery, 17(12), 865–886. </w:t>
      </w:r>
      <w:hyperlink r:id="rId84">
        <w:r w:rsidDel="00000000" w:rsidR="00000000" w:rsidRPr="00000000">
          <w:rPr>
            <w:color w:val="1155cc"/>
            <w:u w:val="single"/>
            <w:rtl w:val="0"/>
          </w:rPr>
          <w:t xml:space="preserve">https://doi.org/10.1038/nrd.2018.174</w:t>
        </w:r>
      </w:hyperlink>
      <w:r w:rsidDel="00000000" w:rsidR="00000000" w:rsidRPr="00000000">
        <w:rPr>
          <w:rtl w:val="0"/>
        </w:rPr>
      </w:r>
    </w:p>
    <w:p w:rsidR="00000000" w:rsidDel="00000000" w:rsidP="00000000" w:rsidRDefault="00000000" w:rsidRPr="00000000" w14:paraId="0000017D">
      <w:pPr>
        <w:numPr>
          <w:ilvl w:val="0"/>
          <w:numId w:val="1"/>
        </w:numPr>
        <w:ind w:left="720" w:hanging="360"/>
        <w:jc w:val="both"/>
      </w:pPr>
      <w:r w:rsidDel="00000000" w:rsidR="00000000" w:rsidRPr="00000000">
        <w:rPr>
          <w:rtl w:val="0"/>
        </w:rPr>
        <w:t xml:space="preserve">Narendra, D., Tanaka, A., Suen, D. F., &amp; Youle, R. J. (2008). Parkin is recruited selectively to impaired mitochondria and promotes their autophagy. Journal of Cell Biology, 183(5), 795–803. </w:t>
      </w:r>
      <w:hyperlink r:id="rId85">
        <w:r w:rsidDel="00000000" w:rsidR="00000000" w:rsidRPr="00000000">
          <w:rPr>
            <w:color w:val="1155cc"/>
            <w:u w:val="single"/>
            <w:rtl w:val="0"/>
          </w:rPr>
          <w:t xml:space="preserve">https://doi.org/10.1083/jcb.200809125</w:t>
        </w:r>
      </w:hyperlink>
      <w:r w:rsidDel="00000000" w:rsidR="00000000" w:rsidRPr="00000000">
        <w:rPr>
          <w:rtl w:val="0"/>
        </w:rPr>
      </w:r>
    </w:p>
    <w:p w:rsidR="00000000" w:rsidDel="00000000" w:rsidP="00000000" w:rsidRDefault="00000000" w:rsidRPr="00000000" w14:paraId="0000017E">
      <w:pPr>
        <w:numPr>
          <w:ilvl w:val="0"/>
          <w:numId w:val="1"/>
        </w:numPr>
        <w:ind w:left="720" w:hanging="360"/>
        <w:jc w:val="both"/>
      </w:pPr>
      <w:r w:rsidDel="00000000" w:rsidR="00000000" w:rsidRPr="00000000">
        <w:rPr>
          <w:rtl w:val="0"/>
        </w:rPr>
        <w:t xml:space="preserve">Nigg, E. A., &amp; Holland, A. J. (2018). Once and only once: Mechanisms of centriole duplication and their deregulation in disease. Nature Reviews Molecular Cell Biology, 19(5), 297–312. </w:t>
      </w:r>
      <w:hyperlink r:id="rId86">
        <w:r w:rsidDel="00000000" w:rsidR="00000000" w:rsidRPr="00000000">
          <w:rPr>
            <w:color w:val="1155cc"/>
            <w:u w:val="single"/>
            <w:rtl w:val="0"/>
          </w:rPr>
          <w:t xml:space="preserve">https://doi.org/10.1038/nrm.2017.127</w:t>
        </w:r>
      </w:hyperlink>
      <w:r w:rsidDel="00000000" w:rsidR="00000000" w:rsidRPr="00000000">
        <w:rPr>
          <w:rtl w:val="0"/>
        </w:rPr>
      </w:r>
    </w:p>
    <w:p w:rsidR="00000000" w:rsidDel="00000000" w:rsidP="00000000" w:rsidRDefault="00000000" w:rsidRPr="00000000" w14:paraId="0000017F">
      <w:pPr>
        <w:numPr>
          <w:ilvl w:val="0"/>
          <w:numId w:val="1"/>
        </w:numPr>
        <w:ind w:left="720" w:hanging="360"/>
        <w:jc w:val="both"/>
      </w:pPr>
      <w:r w:rsidDel="00000000" w:rsidR="00000000" w:rsidRPr="00000000">
        <w:rPr>
          <w:rtl w:val="0"/>
        </w:rPr>
        <w:t xml:space="preserve">Nixon, R. A. (2013). The role of autophagy in neurodegenerative disease. Nature Medicine, 19(8), 983-997. </w:t>
      </w:r>
      <w:hyperlink r:id="rId87">
        <w:r w:rsidDel="00000000" w:rsidR="00000000" w:rsidRPr="00000000">
          <w:rPr>
            <w:color w:val="1155cc"/>
            <w:u w:val="single"/>
            <w:rtl w:val="0"/>
          </w:rPr>
          <w:t xml:space="preserve">https://doi.org/10.1038/nm.3232</w:t>
        </w:r>
      </w:hyperlink>
      <w:r w:rsidDel="00000000" w:rsidR="00000000" w:rsidRPr="00000000">
        <w:rPr>
          <w:rtl w:val="0"/>
        </w:rPr>
      </w:r>
    </w:p>
    <w:p w:rsidR="00000000" w:rsidDel="00000000" w:rsidP="00000000" w:rsidRDefault="00000000" w:rsidRPr="00000000" w14:paraId="00000180">
      <w:pPr>
        <w:numPr>
          <w:ilvl w:val="0"/>
          <w:numId w:val="1"/>
        </w:numPr>
        <w:ind w:left="720" w:hanging="360"/>
        <w:jc w:val="both"/>
      </w:pPr>
      <w:r w:rsidDel="00000000" w:rsidR="00000000" w:rsidRPr="00000000">
        <w:rPr>
          <w:rtl w:val="0"/>
        </w:rPr>
        <w:t xml:space="preserve">Nybo Andersen, A. M., Wohlfahrt, J., Christens, P., et al. (2000). Maternal age and fetal loss: Population based register linkage study. BMJ, 320(7251), 1708–1712. </w:t>
      </w:r>
      <w:hyperlink r:id="rId88">
        <w:r w:rsidDel="00000000" w:rsidR="00000000" w:rsidRPr="00000000">
          <w:rPr>
            <w:color w:val="1155cc"/>
            <w:u w:val="single"/>
            <w:rtl w:val="0"/>
          </w:rPr>
          <w:t xml:space="preserve">https://doi.org/10.1136/bmj.320.7251.1708</w:t>
        </w:r>
      </w:hyperlink>
      <w:r w:rsidDel="00000000" w:rsidR="00000000" w:rsidRPr="00000000">
        <w:rPr>
          <w:rtl w:val="0"/>
        </w:rPr>
      </w:r>
    </w:p>
    <w:p w:rsidR="00000000" w:rsidDel="00000000" w:rsidP="00000000" w:rsidRDefault="00000000" w:rsidRPr="00000000" w14:paraId="00000181">
      <w:pPr>
        <w:numPr>
          <w:ilvl w:val="0"/>
          <w:numId w:val="1"/>
        </w:numPr>
        <w:ind w:left="720" w:hanging="360"/>
        <w:jc w:val="both"/>
      </w:pPr>
      <w:r w:rsidDel="00000000" w:rsidR="00000000" w:rsidRPr="00000000">
        <w:rPr>
          <w:rtl w:val="0"/>
        </w:rPr>
        <w:t xml:space="preserve">Oh, H., Taffet, G. E., &amp; Entman, M. L. (2020). DNA damage and cardiovascular aging. Circulation Research, 126(11), 1547-1565. </w:t>
      </w:r>
      <w:hyperlink r:id="rId89">
        <w:r w:rsidDel="00000000" w:rsidR="00000000" w:rsidRPr="00000000">
          <w:rPr>
            <w:color w:val="1155cc"/>
            <w:u w:val="single"/>
            <w:rtl w:val="0"/>
          </w:rPr>
          <w:t xml:space="preserve">https://doi.org/10.1161/CIRCRESAHA.119.315939</w:t>
        </w:r>
      </w:hyperlink>
      <w:r w:rsidDel="00000000" w:rsidR="00000000" w:rsidRPr="00000000">
        <w:rPr>
          <w:rtl w:val="0"/>
        </w:rPr>
      </w:r>
    </w:p>
    <w:p w:rsidR="00000000" w:rsidDel="00000000" w:rsidP="00000000" w:rsidRDefault="00000000" w:rsidRPr="00000000" w14:paraId="00000182">
      <w:pPr>
        <w:numPr>
          <w:ilvl w:val="0"/>
          <w:numId w:val="1"/>
        </w:numPr>
        <w:ind w:left="720" w:hanging="360"/>
        <w:jc w:val="both"/>
      </w:pPr>
      <w:r w:rsidDel="00000000" w:rsidR="00000000" w:rsidRPr="00000000">
        <w:rPr>
          <w:rtl w:val="0"/>
        </w:rPr>
        <w:t xml:space="preserve">Pazour, G. J., &amp; Witman, G. B. (2003). The vertebrate primary cilium is a sensory organelle. Current Opinion in Cell Biology, 15(1), 105–110. </w:t>
      </w:r>
      <w:hyperlink r:id="rId90">
        <w:r w:rsidDel="00000000" w:rsidR="00000000" w:rsidRPr="00000000">
          <w:rPr>
            <w:color w:val="1155cc"/>
            <w:u w:val="single"/>
            <w:rtl w:val="0"/>
          </w:rPr>
          <w:t xml:space="preserve">https://doi.org/10.1016/S0955-0674(02)00012-1</w:t>
        </w:r>
      </w:hyperlink>
      <w:r w:rsidDel="00000000" w:rsidR="00000000" w:rsidRPr="00000000">
        <w:rPr>
          <w:rtl w:val="0"/>
        </w:rPr>
      </w:r>
    </w:p>
    <w:p w:rsidR="00000000" w:rsidDel="00000000" w:rsidP="00000000" w:rsidRDefault="00000000" w:rsidRPr="00000000" w14:paraId="00000183">
      <w:pPr>
        <w:numPr>
          <w:ilvl w:val="0"/>
          <w:numId w:val="1"/>
        </w:numPr>
        <w:ind w:left="720" w:hanging="360"/>
        <w:jc w:val="both"/>
      </w:pPr>
      <w:r w:rsidDel="00000000" w:rsidR="00000000" w:rsidRPr="00000000">
        <w:rPr>
          <w:rtl w:val="0"/>
        </w:rPr>
        <w:t xml:space="preserve">Peumans, M., Van Meerbeek, B., Lambrechts, P., &amp; Vanherle, G. (2000). Porcelain veneers: A review of the literature. Journal of Dentistry, 28(3), 163–177. </w:t>
      </w:r>
      <w:hyperlink r:id="rId91">
        <w:r w:rsidDel="00000000" w:rsidR="00000000" w:rsidRPr="00000000">
          <w:rPr>
            <w:color w:val="1155cc"/>
            <w:u w:val="single"/>
            <w:rtl w:val="0"/>
          </w:rPr>
          <w:t xml:space="preserve">https://doi.org/10.1016/S0300-5712(99)00066-4</w:t>
        </w:r>
      </w:hyperlink>
      <w:r w:rsidDel="00000000" w:rsidR="00000000" w:rsidRPr="00000000">
        <w:rPr>
          <w:rtl w:val="0"/>
        </w:rPr>
      </w:r>
    </w:p>
    <w:p w:rsidR="00000000" w:rsidDel="00000000" w:rsidP="00000000" w:rsidRDefault="00000000" w:rsidRPr="00000000" w14:paraId="00000184">
      <w:pPr>
        <w:numPr>
          <w:ilvl w:val="0"/>
          <w:numId w:val="1"/>
        </w:numPr>
        <w:ind w:left="720" w:hanging="360"/>
        <w:jc w:val="both"/>
      </w:pPr>
      <w:r w:rsidDel="00000000" w:rsidR="00000000" w:rsidRPr="00000000">
        <w:rPr>
          <w:rtl w:val="0"/>
        </w:rPr>
        <w:t xml:space="preserve">Pickrell, A. M., &amp; Youle, R. J. (2015). The roles of PINK1, parkin, and mitochondrial fidelity in Parkinson’s disease. Neuron, 85(2), 257–273. </w:t>
      </w:r>
      <w:hyperlink r:id="rId92">
        <w:r w:rsidDel="00000000" w:rsidR="00000000" w:rsidRPr="00000000">
          <w:rPr>
            <w:color w:val="1155cc"/>
            <w:u w:val="single"/>
            <w:rtl w:val="0"/>
          </w:rPr>
          <w:t xml:space="preserve">https://doi.org/10.1016/j.neuron.2014.12.007</w:t>
        </w:r>
      </w:hyperlink>
      <w:r w:rsidDel="00000000" w:rsidR="00000000" w:rsidRPr="00000000">
        <w:rPr>
          <w:rtl w:val="0"/>
        </w:rPr>
      </w:r>
    </w:p>
    <w:p w:rsidR="00000000" w:rsidDel="00000000" w:rsidP="00000000" w:rsidRDefault="00000000" w:rsidRPr="00000000" w14:paraId="00000185">
      <w:pPr>
        <w:numPr>
          <w:ilvl w:val="0"/>
          <w:numId w:val="1"/>
        </w:numPr>
        <w:ind w:left="720" w:hanging="360"/>
        <w:jc w:val="both"/>
      </w:pPr>
      <w:r w:rsidDel="00000000" w:rsidR="00000000" w:rsidRPr="00000000">
        <w:rPr>
          <w:rtl w:val="0"/>
        </w:rPr>
        <w:t xml:space="preserve">Pitts, N. B., Zero, D. T., &amp; Marsh, P. D. (2017). Dental caries. Nature Reviews Disease Primers, 3(1), 17030. </w:t>
      </w:r>
      <w:hyperlink r:id="rId93">
        <w:r w:rsidDel="00000000" w:rsidR="00000000" w:rsidRPr="00000000">
          <w:rPr>
            <w:color w:val="1155cc"/>
            <w:u w:val="single"/>
            <w:rtl w:val="0"/>
          </w:rPr>
          <w:t xml:space="preserve">https://doi.org/10.1038/nrdp.2017.30</w:t>
        </w:r>
      </w:hyperlink>
      <w:r w:rsidDel="00000000" w:rsidR="00000000" w:rsidRPr="00000000">
        <w:rPr>
          <w:rtl w:val="0"/>
        </w:rPr>
      </w:r>
    </w:p>
    <w:p w:rsidR="00000000" w:rsidDel="00000000" w:rsidP="00000000" w:rsidRDefault="00000000" w:rsidRPr="00000000" w14:paraId="00000186">
      <w:pPr>
        <w:numPr>
          <w:ilvl w:val="0"/>
          <w:numId w:val="1"/>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87">
      <w:pPr>
        <w:numPr>
          <w:ilvl w:val="0"/>
          <w:numId w:val="1"/>
        </w:numPr>
        <w:ind w:left="720" w:hanging="360"/>
        <w:jc w:val="both"/>
      </w:pPr>
      <w:r w:rsidDel="00000000" w:rsidR="00000000" w:rsidRPr="00000000">
        <w:rPr>
          <w:rtl w:val="0"/>
        </w:rPr>
        <w:t xml:space="preserve">Riga, D., Riga, S., &amp; Halalau, F. (2016). Brain lipofuscin and melatonin. Annals of the New York Academy of Sciences, 1057(1), 380-390. </w:t>
      </w:r>
      <w:hyperlink r:id="rId94">
        <w:r w:rsidDel="00000000" w:rsidR="00000000" w:rsidRPr="00000000">
          <w:rPr>
            <w:color w:val="1155cc"/>
            <w:u w:val="single"/>
            <w:rtl w:val="0"/>
          </w:rPr>
          <w:t xml:space="preserve">https://doi.org/10.1196/annals.1356.029</w:t>
        </w:r>
      </w:hyperlink>
      <w:r w:rsidDel="00000000" w:rsidR="00000000" w:rsidRPr="00000000">
        <w:rPr>
          <w:rtl w:val="0"/>
        </w:rPr>
      </w:r>
    </w:p>
    <w:p w:rsidR="00000000" w:rsidDel="00000000" w:rsidP="00000000" w:rsidRDefault="00000000" w:rsidRPr="00000000" w14:paraId="00000188">
      <w:pPr>
        <w:numPr>
          <w:ilvl w:val="0"/>
          <w:numId w:val="1"/>
        </w:numPr>
        <w:ind w:left="720" w:hanging="360"/>
        <w:jc w:val="both"/>
      </w:pPr>
      <w:r w:rsidDel="00000000" w:rsidR="00000000" w:rsidRPr="00000000">
        <w:rPr>
          <w:rtl w:val="0"/>
        </w:rPr>
        <w:t xml:space="preserve">Rogers, G. C., &amp; Rogers, S. L. (2008). Centriole asymmetry and inheritance in Drosophila male germline stem cells. Current Biology, 18(1), 27–32. </w:t>
      </w:r>
      <w:hyperlink r:id="rId95">
        <w:r w:rsidDel="00000000" w:rsidR="00000000" w:rsidRPr="00000000">
          <w:rPr>
            <w:color w:val="1155cc"/>
            <w:u w:val="single"/>
            <w:rtl w:val="0"/>
          </w:rPr>
          <w:t xml:space="preserve">https://doi.org/10.1016/j.cub.2007.11.050</w:t>
        </w:r>
      </w:hyperlink>
      <w:r w:rsidDel="00000000" w:rsidR="00000000" w:rsidRPr="00000000">
        <w:rPr>
          <w:rtl w:val="0"/>
        </w:rPr>
      </w:r>
    </w:p>
    <w:p w:rsidR="00000000" w:rsidDel="00000000" w:rsidP="00000000" w:rsidRDefault="00000000" w:rsidRPr="00000000" w14:paraId="00000189">
      <w:pPr>
        <w:numPr>
          <w:ilvl w:val="0"/>
          <w:numId w:val="1"/>
        </w:numPr>
        <w:ind w:left="720" w:hanging="360"/>
        <w:jc w:val="both"/>
      </w:pPr>
      <w:r w:rsidDel="00000000" w:rsidR="00000000" w:rsidRPr="00000000">
        <w:rPr>
          <w:rtl w:val="0"/>
        </w:rPr>
        <w:t xml:space="preserve">Ross, J. M., Öberg, J., Brené, S., et al. (2013). High brain lactate is a hallmark of aging and caused by a shift in the lactate dehydrogenase A/B ratio. Proceedings of the National Academy of Sciences, 110(16), 6330–6335. </w:t>
      </w:r>
      <w:hyperlink r:id="rId96">
        <w:r w:rsidDel="00000000" w:rsidR="00000000" w:rsidRPr="00000000">
          <w:rPr>
            <w:color w:val="1155cc"/>
            <w:u w:val="single"/>
            <w:rtl w:val="0"/>
          </w:rPr>
          <w:t xml:space="preserve">https://doi.org/10.1073/pnas.1215355110</w:t>
        </w:r>
      </w:hyperlink>
      <w:r w:rsidDel="00000000" w:rsidR="00000000" w:rsidRPr="00000000">
        <w:rPr>
          <w:rtl w:val="0"/>
        </w:rPr>
      </w:r>
    </w:p>
    <w:p w:rsidR="00000000" w:rsidDel="00000000" w:rsidP="00000000" w:rsidRDefault="00000000" w:rsidRPr="00000000" w14:paraId="0000018A">
      <w:pPr>
        <w:numPr>
          <w:ilvl w:val="0"/>
          <w:numId w:val="1"/>
        </w:numPr>
        <w:ind w:left="720" w:hanging="360"/>
        <w:jc w:val="both"/>
      </w:pPr>
      <w:r w:rsidDel="00000000" w:rsidR="00000000" w:rsidRPr="00000000">
        <w:rPr>
          <w:rtl w:val="0"/>
        </w:rPr>
        <w:t xml:space="preserve">Ruan, Q., Zhang, Y., Yang, X., et al. (2016). Biomimetic remineralization of human enamel in vitro. Acta Biomaterialia, 10(8), 3952–3958. </w:t>
      </w:r>
      <w:hyperlink r:id="rId97">
        <w:r w:rsidDel="00000000" w:rsidR="00000000" w:rsidRPr="00000000">
          <w:rPr>
            <w:color w:val="1155cc"/>
            <w:u w:val="single"/>
            <w:rtl w:val="0"/>
          </w:rPr>
          <w:t xml:space="preserve">https://doi.org/10.1016/j.actbio.2014.03.018</w:t>
        </w:r>
      </w:hyperlink>
      <w:r w:rsidDel="00000000" w:rsidR="00000000" w:rsidRPr="00000000">
        <w:rPr>
          <w:rtl w:val="0"/>
        </w:rPr>
      </w:r>
    </w:p>
    <w:p w:rsidR="00000000" w:rsidDel="00000000" w:rsidP="00000000" w:rsidRDefault="00000000" w:rsidRPr="00000000" w14:paraId="0000018B">
      <w:pPr>
        <w:numPr>
          <w:ilvl w:val="0"/>
          <w:numId w:val="1"/>
        </w:numPr>
        <w:ind w:left="720" w:hanging="360"/>
        <w:jc w:val="both"/>
      </w:pPr>
      <w:r w:rsidDel="00000000" w:rsidR="00000000" w:rsidRPr="00000000">
        <w:rPr>
          <w:rtl w:val="0"/>
        </w:rPr>
        <w:t xml:space="preserve">Rubinsztein, D. C., Bento, C. F., &amp; Deretic, V. (2015). Therapeutic targeting of autophagy in neurodegenerative and infectious diseases. Journal of Experimental Medicine, 212(7), 979–990. </w:t>
      </w:r>
      <w:hyperlink r:id="rId98">
        <w:r w:rsidDel="00000000" w:rsidR="00000000" w:rsidRPr="00000000">
          <w:rPr>
            <w:color w:val="1155cc"/>
            <w:u w:val="single"/>
            <w:rtl w:val="0"/>
          </w:rPr>
          <w:t xml:space="preserve">https://doi.org/10.1084/jem.20150956</w:t>
        </w:r>
      </w:hyperlink>
      <w:r w:rsidDel="00000000" w:rsidR="00000000" w:rsidRPr="00000000">
        <w:rPr>
          <w:rtl w:val="0"/>
        </w:rPr>
      </w:r>
    </w:p>
    <w:p w:rsidR="00000000" w:rsidDel="00000000" w:rsidP="00000000" w:rsidRDefault="00000000" w:rsidRPr="00000000" w14:paraId="0000018C">
      <w:pPr>
        <w:numPr>
          <w:ilvl w:val="0"/>
          <w:numId w:val="1"/>
        </w:numPr>
        <w:ind w:left="720" w:hanging="360"/>
        <w:jc w:val="both"/>
      </w:pPr>
      <w:r w:rsidDel="00000000" w:rsidR="00000000" w:rsidRPr="00000000">
        <w:rPr>
          <w:rtl w:val="0"/>
        </w:rPr>
        <w:t xml:space="preserve">Rudick, B. J., Ingles, S. A., Chung, K., et al. (2019). Influence of vitamin D on ovarian reserve markers in infertile women. Reproductive Biomedicine Online, 38(5), 789–797. </w:t>
      </w:r>
      <w:hyperlink r:id="rId99">
        <w:r w:rsidDel="00000000" w:rsidR="00000000" w:rsidRPr="00000000">
          <w:rPr>
            <w:color w:val="1155cc"/>
            <w:u w:val="single"/>
            <w:rtl w:val="0"/>
          </w:rPr>
          <w:t xml:space="preserve">https://doi.org/10.1016/j.rbmo.2019.01.007</w:t>
        </w:r>
      </w:hyperlink>
      <w:r w:rsidDel="00000000" w:rsidR="00000000" w:rsidRPr="00000000">
        <w:rPr>
          <w:rtl w:val="0"/>
        </w:rPr>
      </w:r>
    </w:p>
    <w:p w:rsidR="00000000" w:rsidDel="00000000" w:rsidP="00000000" w:rsidRDefault="00000000" w:rsidRPr="00000000" w14:paraId="0000018D">
      <w:pPr>
        <w:numPr>
          <w:ilvl w:val="0"/>
          <w:numId w:val="1"/>
        </w:numPr>
        <w:ind w:left="720" w:hanging="360"/>
        <w:jc w:val="both"/>
      </w:pPr>
      <w:r w:rsidDel="00000000" w:rsidR="00000000" w:rsidRPr="00000000">
        <w:rPr>
          <w:rtl w:val="0"/>
        </w:rPr>
        <w:t xml:space="preserve">Russell, S., Bennett, J., Wellman, J. A., et al. (2017). Efficacy and safety of voretigene neparvovec (AAV2-hRPE65v2) in patients with RPE65-mediated inherited retinal dystrophy: A randomised, controlled, open-label, phase 3 trial. The Lancet, 390(10097), 849–860. </w:t>
      </w:r>
      <w:hyperlink r:id="rId100">
        <w:r w:rsidDel="00000000" w:rsidR="00000000" w:rsidRPr="00000000">
          <w:rPr>
            <w:color w:val="1155cc"/>
            <w:u w:val="single"/>
            <w:rtl w:val="0"/>
          </w:rPr>
          <w:t xml:space="preserve">https://doi.org/10.1016/S0140-6736(17)31868-8</w:t>
        </w:r>
      </w:hyperlink>
      <w:r w:rsidDel="00000000" w:rsidR="00000000" w:rsidRPr="00000000">
        <w:rPr>
          <w:rtl w:val="0"/>
        </w:rPr>
      </w:r>
    </w:p>
    <w:p w:rsidR="00000000" w:rsidDel="00000000" w:rsidP="00000000" w:rsidRDefault="00000000" w:rsidRPr="00000000" w14:paraId="0000018E">
      <w:pPr>
        <w:numPr>
          <w:ilvl w:val="0"/>
          <w:numId w:val="1"/>
        </w:numPr>
        <w:ind w:left="720" w:hanging="360"/>
        <w:jc w:val="both"/>
      </w:pPr>
      <w:r w:rsidDel="00000000" w:rsidR="00000000" w:rsidRPr="00000000">
        <w:rPr>
          <w:rtl w:val="0"/>
        </w:rPr>
        <w:t xml:space="preserve">Sardiello, M., Palmieri, M., di Ronza, A., et al. (2009). A gene network regulating lysosomal biogenesis and function. Science, 325(5939), 473-477. </w:t>
      </w:r>
      <w:hyperlink r:id="rId101">
        <w:r w:rsidDel="00000000" w:rsidR="00000000" w:rsidRPr="00000000">
          <w:rPr>
            <w:color w:val="1155cc"/>
            <w:u w:val="single"/>
            <w:rtl w:val="0"/>
          </w:rPr>
          <w:t xml:space="preserve">https://doi.org/10.1126/science.1174447</w:t>
        </w:r>
      </w:hyperlink>
      <w:r w:rsidDel="00000000" w:rsidR="00000000" w:rsidRPr="00000000">
        <w:rPr>
          <w:rtl w:val="0"/>
        </w:rPr>
      </w:r>
    </w:p>
    <w:p w:rsidR="00000000" w:rsidDel="00000000" w:rsidP="00000000" w:rsidRDefault="00000000" w:rsidRPr="00000000" w14:paraId="0000018F">
      <w:pPr>
        <w:numPr>
          <w:ilvl w:val="0"/>
          <w:numId w:val="1"/>
        </w:numPr>
        <w:ind w:left="720" w:hanging="360"/>
        <w:jc w:val="both"/>
      </w:pPr>
      <w:r w:rsidDel="00000000" w:rsidR="00000000" w:rsidRPr="00000000">
        <w:rPr>
          <w:rtl w:val="0"/>
        </w:rPr>
        <w:t xml:space="preserve">Satir, P., &amp; Christensen, S. T. (2007). Overview of structure and function of mammalian cilia. Annual Review of Physiology, 69, 377–400. </w:t>
      </w:r>
      <w:hyperlink r:id="rId102">
        <w:r w:rsidDel="00000000" w:rsidR="00000000" w:rsidRPr="00000000">
          <w:rPr>
            <w:color w:val="1155cc"/>
            <w:u w:val="single"/>
            <w:rtl w:val="0"/>
          </w:rPr>
          <w:t xml:space="preserve">https://doi.org/10.1146/annurev.physiol.69.040705.141236</w:t>
        </w:r>
      </w:hyperlink>
      <w:r w:rsidDel="00000000" w:rsidR="00000000" w:rsidRPr="00000000">
        <w:rPr>
          <w:rtl w:val="0"/>
        </w:rPr>
      </w:r>
    </w:p>
    <w:p w:rsidR="00000000" w:rsidDel="00000000" w:rsidP="00000000" w:rsidRDefault="00000000" w:rsidRPr="00000000" w14:paraId="00000190">
      <w:pPr>
        <w:numPr>
          <w:ilvl w:val="0"/>
          <w:numId w:val="1"/>
        </w:numPr>
        <w:ind w:left="720" w:hanging="360"/>
        <w:jc w:val="both"/>
      </w:pPr>
      <w:r w:rsidDel="00000000" w:rsidR="00000000" w:rsidRPr="00000000">
        <w:rPr>
          <w:rtl w:val="0"/>
        </w:rPr>
        <w:t xml:space="preserve">Savas, J. N., Toyama, B. H., Xu, T., et al. (2012). Extremely long-lived nuclear pore proteins in the rat brain. Science, 335(6071), 942–942. </w:t>
      </w:r>
      <w:hyperlink r:id="rId103">
        <w:r w:rsidDel="00000000" w:rsidR="00000000" w:rsidRPr="00000000">
          <w:rPr>
            <w:color w:val="1155cc"/>
            <w:u w:val="single"/>
            <w:rtl w:val="0"/>
          </w:rPr>
          <w:t xml:space="preserve">https://doi.org/10.1126/science.1217421</w:t>
        </w:r>
      </w:hyperlink>
      <w:r w:rsidDel="00000000" w:rsidR="00000000" w:rsidRPr="00000000">
        <w:rPr>
          <w:rtl w:val="0"/>
        </w:rPr>
      </w:r>
    </w:p>
    <w:p w:rsidR="00000000" w:rsidDel="00000000" w:rsidP="00000000" w:rsidRDefault="00000000" w:rsidRPr="00000000" w14:paraId="00000191">
      <w:pPr>
        <w:numPr>
          <w:ilvl w:val="0"/>
          <w:numId w:val="1"/>
        </w:numPr>
        <w:ind w:left="720" w:hanging="360"/>
        <w:jc w:val="both"/>
      </w:pPr>
      <w:r w:rsidDel="00000000" w:rsidR="00000000" w:rsidRPr="00000000">
        <w:rPr>
          <w:rtl w:val="0"/>
        </w:rPr>
        <w:t xml:space="preserve">Scaffidi, P., &amp; Misteli, T. (2006). Lamin A-dependent nuclear defects in human aging. Science, 312(5776), 1059–1063. </w:t>
      </w:r>
      <w:hyperlink r:id="rId104">
        <w:r w:rsidDel="00000000" w:rsidR="00000000" w:rsidRPr="00000000">
          <w:rPr>
            <w:color w:val="1155cc"/>
            <w:u w:val="single"/>
            <w:rtl w:val="0"/>
          </w:rPr>
          <w:t xml:space="preserve">https://doi.org/10.1126/science.1127168</w:t>
        </w:r>
      </w:hyperlink>
      <w:r w:rsidDel="00000000" w:rsidR="00000000" w:rsidRPr="00000000">
        <w:rPr>
          <w:rtl w:val="0"/>
        </w:rPr>
      </w:r>
    </w:p>
    <w:p w:rsidR="00000000" w:rsidDel="00000000" w:rsidP="00000000" w:rsidRDefault="00000000" w:rsidRPr="00000000" w14:paraId="00000192">
      <w:pPr>
        <w:numPr>
          <w:ilvl w:val="0"/>
          <w:numId w:val="1"/>
        </w:numPr>
        <w:ind w:left="720" w:hanging="360"/>
        <w:jc w:val="both"/>
      </w:pPr>
      <w:r w:rsidDel="00000000" w:rsidR="00000000" w:rsidRPr="00000000">
        <w:rPr>
          <w:rtl w:val="0"/>
        </w:rPr>
        <w:t xml:space="preserve">Scheltens, P., De Strooper, B., Kivipelto, M., et al. (2021). Alzheimer’s disease. The Lancet, 397(10284), 1577–1590. </w:t>
      </w:r>
      <w:hyperlink r:id="rId105">
        <w:r w:rsidDel="00000000" w:rsidR="00000000" w:rsidRPr="00000000">
          <w:rPr>
            <w:color w:val="1155cc"/>
            <w:u w:val="single"/>
            <w:rtl w:val="0"/>
          </w:rPr>
          <w:t xml:space="preserve">https://doi.org/10.1016/S0140-6736(20)32205-4</w:t>
        </w:r>
      </w:hyperlink>
      <w:r w:rsidDel="00000000" w:rsidR="00000000" w:rsidRPr="00000000">
        <w:rPr>
          <w:rtl w:val="0"/>
        </w:rPr>
      </w:r>
    </w:p>
    <w:p w:rsidR="00000000" w:rsidDel="00000000" w:rsidP="00000000" w:rsidRDefault="00000000" w:rsidRPr="00000000" w14:paraId="00000193">
      <w:pPr>
        <w:numPr>
          <w:ilvl w:val="0"/>
          <w:numId w:val="1"/>
        </w:numPr>
        <w:ind w:left="720" w:hanging="360"/>
        <w:jc w:val="both"/>
      </w:pPr>
      <w:r w:rsidDel="00000000" w:rsidR="00000000" w:rsidRPr="00000000">
        <w:rPr>
          <w:rtl w:val="0"/>
        </w:rPr>
        <w:t xml:space="preserve">Scheltens, P., De Strooper, B., Kivipelto, M., et al. (2021). Alzheimer’s disease. The Lancet, 397(10284), 1577–1590. </w:t>
      </w:r>
      <w:hyperlink r:id="rId106">
        <w:r w:rsidDel="00000000" w:rsidR="00000000" w:rsidRPr="00000000">
          <w:rPr>
            <w:color w:val="1155cc"/>
            <w:u w:val="single"/>
            <w:rtl w:val="0"/>
          </w:rPr>
          <w:t xml:space="preserve">https://doi.org/10.1016/S0140-6736(20)32205-4</w:t>
        </w:r>
      </w:hyperlink>
      <w:r w:rsidDel="00000000" w:rsidR="00000000" w:rsidRPr="00000000">
        <w:rPr>
          <w:rtl w:val="0"/>
        </w:rPr>
      </w:r>
    </w:p>
    <w:p w:rsidR="00000000" w:rsidDel="00000000" w:rsidP="00000000" w:rsidRDefault="00000000" w:rsidRPr="00000000" w14:paraId="00000194">
      <w:pPr>
        <w:numPr>
          <w:ilvl w:val="0"/>
          <w:numId w:val="1"/>
        </w:numPr>
        <w:ind w:left="720" w:hanging="360"/>
        <w:jc w:val="both"/>
      </w:pPr>
      <w:r w:rsidDel="00000000" w:rsidR="00000000" w:rsidRPr="00000000">
        <w:rPr>
          <w:rtl w:val="0"/>
        </w:rPr>
        <w:t xml:space="preserve">Schwab, M. E., &amp; Strittmatter, S. M. (2014). Nogo limits neural plasticity and recovery from injury. Current Opinion in Neurobiology, 27, 53–60. </w:t>
      </w:r>
      <w:hyperlink r:id="rId107">
        <w:r w:rsidDel="00000000" w:rsidR="00000000" w:rsidRPr="00000000">
          <w:rPr>
            <w:color w:val="1155cc"/>
            <w:u w:val="single"/>
            <w:rtl w:val="0"/>
          </w:rPr>
          <w:t xml:space="preserve">https://doi.org/10.1016/j.conb.2014.02.011</w:t>
        </w:r>
      </w:hyperlink>
      <w:r w:rsidDel="00000000" w:rsidR="00000000" w:rsidRPr="00000000">
        <w:rPr>
          <w:rtl w:val="0"/>
        </w:rPr>
      </w:r>
    </w:p>
    <w:p w:rsidR="00000000" w:rsidDel="00000000" w:rsidP="00000000" w:rsidRDefault="00000000" w:rsidRPr="00000000" w14:paraId="00000195">
      <w:pPr>
        <w:numPr>
          <w:ilvl w:val="0"/>
          <w:numId w:val="1"/>
        </w:numPr>
        <w:ind w:left="720" w:hanging="360"/>
        <w:jc w:val="both"/>
      </w:pPr>
      <w:r w:rsidDel="00000000" w:rsidR="00000000" w:rsidRPr="00000000">
        <w:rPr>
          <w:rtl w:val="0"/>
        </w:rPr>
        <w:t xml:space="preserve">Selwitz, R. H., Ismail, A. I., &amp; Pitts, N. B. (2007). Dental caries. The Lancet, 369(9555), 51–59. </w:t>
      </w:r>
      <w:hyperlink r:id="rId108">
        <w:r w:rsidDel="00000000" w:rsidR="00000000" w:rsidRPr="00000000">
          <w:rPr>
            <w:color w:val="1155cc"/>
            <w:u w:val="single"/>
            <w:rtl w:val="0"/>
          </w:rPr>
          <w:t xml:space="preserve">https://doi.org/10.1016/S0140-6736(07)60031-2</w:t>
        </w:r>
      </w:hyperlink>
      <w:r w:rsidDel="00000000" w:rsidR="00000000" w:rsidRPr="00000000">
        <w:rPr>
          <w:rtl w:val="0"/>
        </w:rPr>
      </w:r>
    </w:p>
    <w:p w:rsidR="00000000" w:rsidDel="00000000" w:rsidP="00000000" w:rsidRDefault="00000000" w:rsidRPr="00000000" w14:paraId="00000196">
      <w:pPr>
        <w:numPr>
          <w:ilvl w:val="0"/>
          <w:numId w:val="1"/>
        </w:numPr>
        <w:ind w:left="720" w:hanging="360"/>
        <w:jc w:val="both"/>
      </w:pPr>
      <w:r w:rsidDel="00000000" w:rsidR="00000000" w:rsidRPr="00000000">
        <w:rPr>
          <w:rtl w:val="0"/>
        </w:rPr>
        <w:t xml:space="preserve">Sender, R., Fuchs, S., &amp; Milo, R. (2016). Revised estimates for the number of human and bacteria cells in the body. PLoS Biology, 14(8), e1002533. </w:t>
      </w:r>
      <w:hyperlink r:id="rId109">
        <w:r w:rsidDel="00000000" w:rsidR="00000000" w:rsidRPr="00000000">
          <w:rPr>
            <w:color w:val="1155cc"/>
            <w:u w:val="single"/>
            <w:rtl w:val="0"/>
          </w:rPr>
          <w:t xml:space="preserve">https://doi.org/10.1371/journal.pbio.1002533</w:t>
        </w:r>
      </w:hyperlink>
      <w:r w:rsidDel="00000000" w:rsidR="00000000" w:rsidRPr="00000000">
        <w:rPr>
          <w:rtl w:val="0"/>
        </w:rPr>
      </w:r>
    </w:p>
    <w:p w:rsidR="00000000" w:rsidDel="00000000" w:rsidP="00000000" w:rsidRDefault="00000000" w:rsidRPr="00000000" w14:paraId="00000197">
      <w:pPr>
        <w:numPr>
          <w:ilvl w:val="0"/>
          <w:numId w:val="1"/>
        </w:numPr>
        <w:ind w:left="720" w:hanging="360"/>
        <w:jc w:val="both"/>
      </w:pPr>
      <w:r w:rsidDel="00000000" w:rsidR="00000000" w:rsidRPr="00000000">
        <w:rPr>
          <w:rtl w:val="0"/>
        </w:rPr>
        <w:t xml:space="preserve">Sharma, K. K., &amp; Santhoshkumar, P. (2009). Lens aging: Effects of crystallins. Biochimica et Biophysica Acta (BBA) - General Subjects, 1790(10), 1095-1108. </w:t>
      </w:r>
      <w:hyperlink r:id="rId110">
        <w:r w:rsidDel="00000000" w:rsidR="00000000" w:rsidRPr="00000000">
          <w:rPr>
            <w:color w:val="1155cc"/>
            <w:u w:val="single"/>
            <w:rtl w:val="0"/>
          </w:rPr>
          <w:t xml:space="preserve">https://doi.org/10.1016/j.bbagen.2009.05.008</w:t>
        </w:r>
      </w:hyperlink>
      <w:r w:rsidDel="00000000" w:rsidR="00000000" w:rsidRPr="00000000">
        <w:rPr>
          <w:rtl w:val="0"/>
        </w:rPr>
      </w:r>
    </w:p>
    <w:p w:rsidR="00000000" w:rsidDel="00000000" w:rsidP="00000000" w:rsidRDefault="00000000" w:rsidRPr="00000000" w14:paraId="00000198">
      <w:pPr>
        <w:numPr>
          <w:ilvl w:val="0"/>
          <w:numId w:val="1"/>
        </w:numPr>
        <w:ind w:left="720" w:hanging="360"/>
        <w:jc w:val="both"/>
      </w:pPr>
      <w:r w:rsidDel="00000000" w:rsidR="00000000" w:rsidRPr="00000000">
        <w:rPr>
          <w:rtl w:val="0"/>
        </w:rPr>
        <w:t xml:space="preserve">Sharma, K. K., Santhoshkumar, P., &amp; Hogg, R. (2020). Crystallin proteins and amyloid fibrils. Cellular and Molecular Life Sciences, 77(3), 463–477. </w:t>
      </w:r>
      <w:hyperlink r:id="rId111">
        <w:r w:rsidDel="00000000" w:rsidR="00000000" w:rsidRPr="00000000">
          <w:rPr>
            <w:color w:val="1155cc"/>
            <w:u w:val="single"/>
            <w:rtl w:val="0"/>
          </w:rPr>
          <w:t xml:space="preserve">https://doi.org/10.1007/s00018-019-03391-z</w:t>
        </w:r>
      </w:hyperlink>
      <w:r w:rsidDel="00000000" w:rsidR="00000000" w:rsidRPr="00000000">
        <w:rPr>
          <w:rtl w:val="0"/>
        </w:rPr>
      </w:r>
    </w:p>
    <w:p w:rsidR="00000000" w:rsidDel="00000000" w:rsidP="00000000" w:rsidRDefault="00000000" w:rsidRPr="00000000" w14:paraId="00000199">
      <w:pPr>
        <w:numPr>
          <w:ilvl w:val="0"/>
          <w:numId w:val="1"/>
        </w:numPr>
        <w:ind w:left="720" w:hanging="360"/>
        <w:jc w:val="both"/>
      </w:pPr>
      <w:r w:rsidDel="00000000" w:rsidR="00000000" w:rsidRPr="00000000">
        <w:rPr>
          <w:rtl w:val="0"/>
        </w:rPr>
        <w:t xml:space="preserve">Shi, Y., Barton, K., De Maria, A., et al. (2015). The stratified syncytium of the vertebrate lens. Journal of Cell Science, 128(6), 1063–1072. </w:t>
      </w:r>
      <w:hyperlink r:id="rId112">
        <w:r w:rsidDel="00000000" w:rsidR="00000000" w:rsidRPr="00000000">
          <w:rPr>
            <w:color w:val="1155cc"/>
            <w:u w:val="single"/>
            <w:rtl w:val="0"/>
          </w:rPr>
          <w:t xml:space="preserve">https://doi.org/10.1242/jcs.162511</w:t>
        </w:r>
      </w:hyperlink>
      <w:r w:rsidDel="00000000" w:rsidR="00000000" w:rsidRPr="00000000">
        <w:rPr>
          <w:rtl w:val="0"/>
        </w:rPr>
      </w:r>
    </w:p>
    <w:p w:rsidR="00000000" w:rsidDel="00000000" w:rsidP="00000000" w:rsidRDefault="00000000" w:rsidRPr="00000000" w14:paraId="0000019A">
      <w:pPr>
        <w:numPr>
          <w:ilvl w:val="0"/>
          <w:numId w:val="1"/>
        </w:numPr>
        <w:ind w:left="720" w:hanging="360"/>
        <w:jc w:val="both"/>
      </w:pPr>
      <w:r w:rsidDel="00000000" w:rsidR="00000000" w:rsidRPr="00000000">
        <w:rPr>
          <w:rtl w:val="0"/>
        </w:rPr>
        <w:t xml:space="preserve">Sies, H., Berndt, C., &amp; Jones, D. P. (2017). Oxidative stress. Annual Review of Biochemistry, 86, 715–748. </w:t>
      </w:r>
      <w:hyperlink r:id="rId113">
        <w:r w:rsidDel="00000000" w:rsidR="00000000" w:rsidRPr="00000000">
          <w:rPr>
            <w:color w:val="1155cc"/>
            <w:u w:val="single"/>
            <w:rtl w:val="0"/>
          </w:rPr>
          <w:t xml:space="preserve">https://doi.org/10.1146/annurev-biochem-061516-045037</w:t>
        </w:r>
      </w:hyperlink>
      <w:r w:rsidDel="00000000" w:rsidR="00000000" w:rsidRPr="00000000">
        <w:rPr>
          <w:rtl w:val="0"/>
        </w:rPr>
      </w:r>
    </w:p>
    <w:p w:rsidR="00000000" w:rsidDel="00000000" w:rsidP="00000000" w:rsidRDefault="00000000" w:rsidRPr="00000000" w14:paraId="0000019B">
      <w:pPr>
        <w:numPr>
          <w:ilvl w:val="0"/>
          <w:numId w:val="1"/>
        </w:numPr>
        <w:ind w:left="720" w:hanging="360"/>
        <w:jc w:val="both"/>
      </w:pPr>
      <w:r w:rsidDel="00000000" w:rsidR="00000000" w:rsidRPr="00000000">
        <w:rPr>
          <w:rtl w:val="0"/>
        </w:rPr>
        <w:t xml:space="preserve">Simmer, J. P., Papagerakis, P., Smith, C. E., et al. (2010). Regulation of dental enamel shape and hardness. Journal of Dental Research, 89(10), 1024–1038. </w:t>
      </w:r>
      <w:hyperlink r:id="rId114">
        <w:r w:rsidDel="00000000" w:rsidR="00000000" w:rsidRPr="00000000">
          <w:rPr>
            <w:color w:val="1155cc"/>
            <w:u w:val="single"/>
            <w:rtl w:val="0"/>
          </w:rPr>
          <w:t xml:space="preserve">https://doi.org/10.1177/0022034510375829</w:t>
        </w:r>
      </w:hyperlink>
      <w:r w:rsidDel="00000000" w:rsidR="00000000" w:rsidRPr="00000000">
        <w:rPr>
          <w:rtl w:val="0"/>
        </w:rPr>
      </w:r>
    </w:p>
    <w:p w:rsidR="00000000" w:rsidDel="00000000" w:rsidP="00000000" w:rsidRDefault="00000000" w:rsidRPr="00000000" w14:paraId="0000019C">
      <w:pPr>
        <w:numPr>
          <w:ilvl w:val="0"/>
          <w:numId w:val="1"/>
        </w:numPr>
        <w:ind w:left="720" w:hanging="360"/>
        <w:jc w:val="both"/>
      </w:pPr>
      <w:r w:rsidDel="00000000" w:rsidR="00000000" w:rsidRPr="00000000">
        <w:rPr>
          <w:rtl w:val="0"/>
        </w:rPr>
        <w:t xml:space="preserve">Slingsby, C., &amp; Wistow, G. J. (2014). Functions of crystallins in and out of lens: Roles in elongated and post-mitotic cells. Progress in Biophysical and Molecular Biology, 115(1), 52-67. </w:t>
      </w:r>
      <w:hyperlink r:id="rId115">
        <w:r w:rsidDel="00000000" w:rsidR="00000000" w:rsidRPr="00000000">
          <w:rPr>
            <w:color w:val="1155cc"/>
            <w:u w:val="single"/>
            <w:rtl w:val="0"/>
          </w:rPr>
          <w:t xml:space="preserve">https://doi.org/10.1016/j.pbiomolbio.2014.02.006</w:t>
        </w:r>
      </w:hyperlink>
      <w:r w:rsidDel="00000000" w:rsidR="00000000" w:rsidRPr="00000000">
        <w:rPr>
          <w:rtl w:val="0"/>
        </w:rPr>
      </w:r>
    </w:p>
    <w:p w:rsidR="00000000" w:rsidDel="00000000" w:rsidP="00000000" w:rsidRDefault="00000000" w:rsidRPr="00000000" w14:paraId="0000019D">
      <w:pPr>
        <w:numPr>
          <w:ilvl w:val="0"/>
          <w:numId w:val="1"/>
        </w:numPr>
        <w:ind w:left="720" w:hanging="360"/>
        <w:jc w:val="both"/>
      </w:pPr>
      <w:r w:rsidDel="00000000" w:rsidR="00000000" w:rsidRPr="00000000">
        <w:rPr>
          <w:rtl w:val="0"/>
        </w:rPr>
        <w:t xml:space="preserve">Smith, C. E., Hu, Y., &amp; Hu, J. C. (2016). Amelogenesis imperfecta: Genes, proteins, and pathways. Frontiers in Physiology, 7, 435. </w:t>
      </w:r>
      <w:hyperlink r:id="rId116">
        <w:r w:rsidDel="00000000" w:rsidR="00000000" w:rsidRPr="00000000">
          <w:rPr>
            <w:color w:val="1155cc"/>
            <w:u w:val="single"/>
            <w:rtl w:val="0"/>
          </w:rPr>
          <w:t xml:space="preserve">https://doi.org/10.3389/fphys.2016.00435</w:t>
        </w:r>
      </w:hyperlink>
      <w:r w:rsidDel="00000000" w:rsidR="00000000" w:rsidRPr="00000000">
        <w:rPr>
          <w:rtl w:val="0"/>
        </w:rPr>
      </w:r>
    </w:p>
    <w:p w:rsidR="00000000" w:rsidDel="00000000" w:rsidP="00000000" w:rsidRDefault="00000000" w:rsidRPr="00000000" w14:paraId="0000019E">
      <w:pPr>
        <w:numPr>
          <w:ilvl w:val="0"/>
          <w:numId w:val="1"/>
        </w:numPr>
        <w:ind w:left="720" w:hanging="360"/>
        <w:jc w:val="both"/>
      </w:pPr>
      <w:r w:rsidDel="00000000" w:rsidR="00000000" w:rsidRPr="00000000">
        <w:rPr>
          <w:rtl w:val="0"/>
        </w:rPr>
        <w:t xml:space="preserve">Sparrow, J. R., Gregory-Roberts, E., Yamamoto, K., et al. (2012). The bisretinoids of retinal pigment epithelium. Progress in Retinal and Eye Research, 31(2), 121–135. </w:t>
      </w:r>
      <w:hyperlink r:id="rId117">
        <w:r w:rsidDel="00000000" w:rsidR="00000000" w:rsidRPr="00000000">
          <w:rPr>
            <w:color w:val="1155cc"/>
            <w:u w:val="single"/>
            <w:rtl w:val="0"/>
          </w:rPr>
          <w:t xml:space="preserve">https://doi.org/10.1016/j.preteyeres.2011.12.001</w:t>
        </w:r>
      </w:hyperlink>
      <w:r w:rsidDel="00000000" w:rsidR="00000000" w:rsidRPr="00000000">
        <w:rPr>
          <w:rtl w:val="0"/>
        </w:rPr>
      </w:r>
    </w:p>
    <w:p w:rsidR="00000000" w:rsidDel="00000000" w:rsidP="00000000" w:rsidRDefault="00000000" w:rsidRPr="00000000" w14:paraId="0000019F">
      <w:pPr>
        <w:numPr>
          <w:ilvl w:val="0"/>
          <w:numId w:val="1"/>
        </w:numPr>
        <w:ind w:left="720" w:hanging="360"/>
        <w:jc w:val="both"/>
      </w:pPr>
      <w:r w:rsidDel="00000000" w:rsidR="00000000" w:rsidRPr="00000000">
        <w:rPr>
          <w:rtl w:val="0"/>
        </w:rPr>
        <w:t xml:space="preserve">Stevens, D. A., Lee, Y., Kang, H. C., et al. (2015). Parkin loss leads to PARIS-dependent declines in mitochondrial mass and respiration. Proceedings of the National Academy of Sciences, 112(37), 11696–11701. </w:t>
      </w:r>
      <w:hyperlink r:id="rId118">
        <w:r w:rsidDel="00000000" w:rsidR="00000000" w:rsidRPr="00000000">
          <w:rPr>
            <w:color w:val="1155cc"/>
            <w:u w:val="single"/>
            <w:rtl w:val="0"/>
          </w:rPr>
          <w:t xml:space="preserve">https://doi.org/10.1073/pnas.1500624112</w:t>
        </w:r>
      </w:hyperlink>
      <w:r w:rsidDel="00000000" w:rsidR="00000000" w:rsidRPr="00000000">
        <w:rPr>
          <w:rtl w:val="0"/>
        </w:rPr>
      </w:r>
    </w:p>
    <w:p w:rsidR="00000000" w:rsidDel="00000000" w:rsidP="00000000" w:rsidRDefault="00000000" w:rsidRPr="00000000" w14:paraId="000001A0">
      <w:pPr>
        <w:numPr>
          <w:ilvl w:val="0"/>
          <w:numId w:val="1"/>
        </w:numPr>
        <w:ind w:left="720" w:hanging="360"/>
        <w:jc w:val="both"/>
      </w:pPr>
      <w:r w:rsidDel="00000000" w:rsidR="00000000" w:rsidRPr="00000000">
        <w:rPr>
          <w:rtl w:val="0"/>
        </w:rPr>
        <w:t xml:space="preserve">Sun, N., Youle, R. J., &amp; Finkel, T. (2016). The mitochondrial basis of aging. Molecular Cell, 61(5), 654–666. </w:t>
      </w:r>
      <w:hyperlink r:id="rId119">
        <w:r w:rsidDel="00000000" w:rsidR="00000000" w:rsidRPr="00000000">
          <w:rPr>
            <w:color w:val="1155cc"/>
            <w:u w:val="single"/>
            <w:rtl w:val="0"/>
          </w:rPr>
          <w:t xml:space="preserve">https://doi.org/10.1016/j.molcel.2016.01.028</w:t>
        </w:r>
      </w:hyperlink>
      <w:r w:rsidDel="00000000" w:rsidR="00000000" w:rsidRPr="00000000">
        <w:rPr>
          <w:rtl w:val="0"/>
        </w:rPr>
      </w:r>
    </w:p>
    <w:p w:rsidR="00000000" w:rsidDel="00000000" w:rsidP="00000000" w:rsidRDefault="00000000" w:rsidRPr="00000000" w14:paraId="000001A1">
      <w:pPr>
        <w:numPr>
          <w:ilvl w:val="0"/>
          <w:numId w:val="1"/>
        </w:numPr>
        <w:ind w:left="720" w:hanging="360"/>
        <w:jc w:val="both"/>
      </w:pPr>
      <w:r w:rsidDel="00000000" w:rsidR="00000000" w:rsidRPr="00000000">
        <w:rPr>
          <w:rtl w:val="0"/>
        </w:rPr>
        <w:t xml:space="preserve">Sun, N., Yun, J., Liu, J., et al. (2015). Measuring in vivo mitophagy. Molecular Cell, 60(4), 685–696. </w:t>
      </w:r>
      <w:hyperlink r:id="rId120">
        <w:r w:rsidDel="00000000" w:rsidR="00000000" w:rsidRPr="00000000">
          <w:rPr>
            <w:color w:val="1155cc"/>
            <w:u w:val="single"/>
            <w:rtl w:val="0"/>
          </w:rPr>
          <w:t xml:space="preserve">https://doi.org/10.1016/j.molcel.2015.10.009</w:t>
        </w:r>
      </w:hyperlink>
      <w:r w:rsidDel="00000000" w:rsidR="00000000" w:rsidRPr="00000000">
        <w:rPr>
          <w:rtl w:val="0"/>
        </w:rPr>
      </w:r>
    </w:p>
    <w:p w:rsidR="00000000" w:rsidDel="00000000" w:rsidP="00000000" w:rsidRDefault="00000000" w:rsidRPr="00000000" w14:paraId="000001A2">
      <w:pPr>
        <w:numPr>
          <w:ilvl w:val="0"/>
          <w:numId w:val="1"/>
        </w:numPr>
        <w:ind w:left="720" w:hanging="360"/>
        <w:jc w:val="both"/>
      </w:pPr>
      <w:r w:rsidDel="00000000" w:rsidR="00000000" w:rsidRPr="00000000">
        <w:rPr>
          <w:rtl w:val="0"/>
        </w:rPr>
        <w:t xml:space="preserve">Surmeier, D. J., Obeso, J. A., &amp; Halliday, G. M. (2017). Selective neuronal vulnerability in Parkinson disease. Nature Reviews Neuroscience, 18(2), 101–113. </w:t>
      </w:r>
      <w:hyperlink r:id="rId121">
        <w:r w:rsidDel="00000000" w:rsidR="00000000" w:rsidRPr="00000000">
          <w:rPr>
            <w:color w:val="1155cc"/>
            <w:u w:val="single"/>
            <w:rtl w:val="0"/>
          </w:rPr>
          <w:t xml:space="preserve">https://doi.org/10.1038/nrn.2016.178</w:t>
        </w:r>
      </w:hyperlink>
      <w:r w:rsidDel="00000000" w:rsidR="00000000" w:rsidRPr="00000000">
        <w:rPr>
          <w:rtl w:val="0"/>
        </w:rPr>
      </w:r>
    </w:p>
    <w:p w:rsidR="00000000" w:rsidDel="00000000" w:rsidP="00000000" w:rsidRDefault="00000000" w:rsidRPr="00000000" w14:paraId="000001A3">
      <w:pPr>
        <w:numPr>
          <w:ilvl w:val="0"/>
          <w:numId w:val="1"/>
        </w:numPr>
        <w:ind w:left="720" w:hanging="360"/>
        <w:jc w:val="both"/>
      </w:pPr>
      <w:r w:rsidDel="00000000" w:rsidR="00000000" w:rsidRPr="00000000">
        <w:rPr>
          <w:rtl w:val="0"/>
        </w:rPr>
        <w:t xml:space="preserve">Tedeschi, A., &amp; Bradke, F. (2017). Spatial and temporal arrangement of neuronal intrinsic and extrinsic mechanisms controlling axon regeneration. Current Opinion in Neurobiology, 42, 118–127. </w:t>
      </w:r>
      <w:hyperlink r:id="rId122">
        <w:r w:rsidDel="00000000" w:rsidR="00000000" w:rsidRPr="00000000">
          <w:rPr>
            <w:color w:val="1155cc"/>
            <w:u w:val="single"/>
            <w:rtl w:val="0"/>
          </w:rPr>
          <w:t xml:space="preserve">https://doi.org/10.1016/j.conb.2016.12.005</w:t>
        </w:r>
      </w:hyperlink>
      <w:r w:rsidDel="00000000" w:rsidR="00000000" w:rsidRPr="00000000">
        <w:rPr>
          <w:rtl w:val="0"/>
        </w:rPr>
      </w:r>
    </w:p>
    <w:p w:rsidR="00000000" w:rsidDel="00000000" w:rsidP="00000000" w:rsidRDefault="00000000" w:rsidRPr="00000000" w14:paraId="000001A4">
      <w:pPr>
        <w:numPr>
          <w:ilvl w:val="0"/>
          <w:numId w:val="1"/>
        </w:numPr>
        <w:ind w:left="720" w:hanging="360"/>
        <w:jc w:val="both"/>
      </w:pPr>
      <w:r w:rsidDel="00000000" w:rsidR="00000000" w:rsidRPr="00000000">
        <w:rPr>
          <w:rtl w:val="0"/>
        </w:rPr>
        <w:t xml:space="preserve">Titus, S., Li, F., Stobezki, R., et al. (2013). Impairment of BRCA1-related DNA double-strand break repair leads to ovarian aging in mice and humans. Science Translational Medicine, 5(172), 172ra21. </w:t>
      </w:r>
      <w:hyperlink r:id="rId123">
        <w:r w:rsidDel="00000000" w:rsidR="00000000" w:rsidRPr="00000000">
          <w:rPr>
            <w:color w:val="1155cc"/>
            <w:u w:val="single"/>
            <w:rtl w:val="0"/>
          </w:rPr>
          <w:t xml:space="preserve">https://doi.org/10.1126/scitranslmed.3004925</w:t>
        </w:r>
      </w:hyperlink>
      <w:r w:rsidDel="00000000" w:rsidR="00000000" w:rsidRPr="00000000">
        <w:rPr>
          <w:rtl w:val="0"/>
        </w:rPr>
      </w:r>
    </w:p>
    <w:p w:rsidR="00000000" w:rsidDel="00000000" w:rsidP="00000000" w:rsidRDefault="00000000" w:rsidRPr="00000000" w14:paraId="000001A5">
      <w:pPr>
        <w:numPr>
          <w:ilvl w:val="0"/>
          <w:numId w:val="1"/>
        </w:numPr>
        <w:ind w:left="720" w:hanging="360"/>
        <w:jc w:val="both"/>
      </w:pPr>
      <w:r w:rsidDel="00000000" w:rsidR="00000000" w:rsidRPr="00000000">
        <w:rPr>
          <w:rtl w:val="0"/>
        </w:rPr>
        <w:t xml:space="preserve">Tkemaladze, J. (2023). Cross-senolytic effects of dasatinib and quercetin in humans. Georgian Scientists, 5(3), 138–152. doi: </w:t>
      </w:r>
      <w:hyperlink r:id="rId124">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1A6">
      <w:pPr>
        <w:numPr>
          <w:ilvl w:val="0"/>
          <w:numId w:val="1"/>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125">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1A7">
      <w:pPr>
        <w:numPr>
          <w:ilvl w:val="0"/>
          <w:numId w:val="1"/>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A8">
      <w:pPr>
        <w:numPr>
          <w:ilvl w:val="0"/>
          <w:numId w:val="1"/>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A9">
      <w:pPr>
        <w:numPr>
          <w:ilvl w:val="0"/>
          <w:numId w:val="1"/>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126">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1AA">
      <w:pPr>
        <w:numPr>
          <w:ilvl w:val="0"/>
          <w:numId w:val="1"/>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127">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1AB">
      <w:pPr>
        <w:numPr>
          <w:ilvl w:val="0"/>
          <w:numId w:val="1"/>
        </w:numPr>
        <w:ind w:left="720" w:hanging="360"/>
        <w:jc w:val="both"/>
      </w:pPr>
      <w:r w:rsidDel="00000000" w:rsidR="00000000" w:rsidRPr="00000000">
        <w:rPr>
          <w:rtl w:val="0"/>
        </w:rPr>
        <w:t xml:space="preserve">Tkemaladze, J. (2024). Absence of centrioles and regenerative potential of planaria. Georgian Scientists, 6(4), 59–75. doi: </w:t>
      </w:r>
      <w:hyperlink r:id="rId128">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1AC">
      <w:pPr>
        <w:numPr>
          <w:ilvl w:val="0"/>
          <w:numId w:val="1"/>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129">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1AD">
      <w:pPr>
        <w:numPr>
          <w:ilvl w:val="0"/>
          <w:numId w:val="1"/>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AE">
      <w:pPr>
        <w:numPr>
          <w:ilvl w:val="0"/>
          <w:numId w:val="1"/>
        </w:numPr>
        <w:ind w:left="720" w:hanging="360"/>
        <w:jc w:val="both"/>
      </w:pPr>
      <w:r w:rsidDel="00000000" w:rsidR="00000000" w:rsidRPr="00000000">
        <w:rPr>
          <w:rtl w:val="0"/>
        </w:rPr>
        <w:t xml:space="preserve">Tkemaladze, J. (2024). Elimination of centrioles. Georgian Scientists, 6(4), 291–307. doi: </w:t>
      </w:r>
      <w:hyperlink r:id="rId130">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1AF">
      <w:pPr>
        <w:numPr>
          <w:ilvl w:val="0"/>
          <w:numId w:val="1"/>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131">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1B0">
      <w:pPr>
        <w:numPr>
          <w:ilvl w:val="0"/>
          <w:numId w:val="1"/>
        </w:numPr>
        <w:ind w:left="720" w:hanging="360"/>
        <w:jc w:val="both"/>
      </w:pPr>
      <w:r w:rsidDel="00000000" w:rsidR="00000000" w:rsidRPr="00000000">
        <w:rPr>
          <w:rtl w:val="0"/>
        </w:rPr>
        <w:t xml:space="preserve">Tkemaladze, J. (2024). The rate of stem cell division decreases with age. Georgian Scientists, 6(4), 228–242. doi: </w:t>
      </w:r>
      <w:hyperlink r:id="rId132">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1B1">
      <w:pPr>
        <w:numPr>
          <w:ilvl w:val="0"/>
          <w:numId w:val="1"/>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133">
        <w:r w:rsidDel="00000000" w:rsidR="00000000" w:rsidRPr="00000000">
          <w:rPr>
            <w:color w:val="1155cc"/>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B2">
      <w:pPr>
        <w:numPr>
          <w:ilvl w:val="0"/>
          <w:numId w:val="1"/>
        </w:numPr>
        <w:ind w:left="720" w:hanging="360"/>
        <w:jc w:val="both"/>
      </w:pPr>
      <w:r w:rsidDel="00000000" w:rsidR="00000000" w:rsidRPr="00000000">
        <w:rPr>
          <w:rtl w:val="0"/>
        </w:rPr>
        <w:t xml:space="preserve">Tkemaladze, J. (2025).  Aging Model - Drosophila Melanogaster. doi: </w:t>
      </w:r>
      <w:hyperlink r:id="rId134">
        <w:r w:rsidDel="00000000" w:rsidR="00000000" w:rsidRPr="00000000">
          <w:rPr>
            <w:color w:val="1155cc"/>
            <w:u w:val="single"/>
            <w:rtl w:val="0"/>
          </w:rPr>
          <w:t xml:space="preserve">http://dx.doi.org/10.13140/RG.2.2.16706.49607</w:t>
        </w:r>
      </w:hyperlink>
      <w:r w:rsidDel="00000000" w:rsidR="00000000" w:rsidRPr="00000000">
        <w:rPr>
          <w:rtl w:val="0"/>
        </w:rPr>
        <w:t xml:space="preserve"> </w:t>
      </w:r>
    </w:p>
    <w:p w:rsidR="00000000" w:rsidDel="00000000" w:rsidP="00000000" w:rsidRDefault="00000000" w:rsidRPr="00000000" w14:paraId="000001B3">
      <w:pPr>
        <w:numPr>
          <w:ilvl w:val="0"/>
          <w:numId w:val="1"/>
        </w:numPr>
        <w:ind w:left="720" w:hanging="360"/>
        <w:jc w:val="both"/>
      </w:pPr>
      <w:r w:rsidDel="00000000" w:rsidR="00000000" w:rsidRPr="00000000">
        <w:rPr>
          <w:rtl w:val="0"/>
        </w:rPr>
        <w:t xml:space="preserve">Tkemaladze, J. (2025).  Allotransplantation Between Adult Drosophila of Different Ages and Sexes. doi: </w:t>
      </w:r>
      <w:hyperlink r:id="rId135">
        <w:r w:rsidDel="00000000" w:rsidR="00000000" w:rsidRPr="00000000">
          <w:rPr>
            <w:color w:val="1155cc"/>
            <w:u w:val="single"/>
            <w:rtl w:val="0"/>
          </w:rPr>
          <w:t xml:space="preserve">http://dx.doi.org/10.13140/RG.2.2.27711.62884</w:t>
        </w:r>
      </w:hyperlink>
      <w:r w:rsidDel="00000000" w:rsidR="00000000" w:rsidRPr="00000000">
        <w:rPr>
          <w:rtl w:val="0"/>
        </w:rPr>
        <w:t xml:space="preserve"> </w:t>
      </w:r>
    </w:p>
    <w:p w:rsidR="00000000" w:rsidDel="00000000" w:rsidP="00000000" w:rsidRDefault="00000000" w:rsidRPr="00000000" w14:paraId="000001B4">
      <w:pPr>
        <w:numPr>
          <w:ilvl w:val="0"/>
          <w:numId w:val="1"/>
        </w:numPr>
        <w:ind w:left="720" w:hanging="360"/>
        <w:jc w:val="both"/>
      </w:pPr>
      <w:r w:rsidDel="00000000" w:rsidR="00000000" w:rsidRPr="00000000">
        <w:rPr>
          <w:rtl w:val="0"/>
        </w:rPr>
        <w:t xml:space="preserve">Tkemaladze, J. (2025).  Anti-Blastomic Substances in the Blood Plasma of Schizophrenia Patients. doi: </w:t>
      </w:r>
      <w:hyperlink r:id="rId136">
        <w:r w:rsidDel="00000000" w:rsidR="00000000" w:rsidRPr="00000000">
          <w:rPr>
            <w:color w:val="1155cc"/>
            <w:u w:val="single"/>
            <w:rtl w:val="0"/>
          </w:rPr>
          <w:t xml:space="preserve">http://dx.doi.org/10.13140/RG.2.2.12721.08807</w:t>
        </w:r>
      </w:hyperlink>
      <w:r w:rsidDel="00000000" w:rsidR="00000000" w:rsidRPr="00000000">
        <w:rPr>
          <w:rtl w:val="0"/>
        </w:rPr>
        <w:t xml:space="preserve"> </w:t>
      </w:r>
    </w:p>
    <w:p w:rsidR="00000000" w:rsidDel="00000000" w:rsidP="00000000" w:rsidRDefault="00000000" w:rsidRPr="00000000" w14:paraId="000001B5">
      <w:pPr>
        <w:numPr>
          <w:ilvl w:val="0"/>
          <w:numId w:val="1"/>
        </w:numPr>
        <w:ind w:left="720" w:hanging="360"/>
        <w:jc w:val="both"/>
      </w:pPr>
      <w:r w:rsidDel="00000000" w:rsidR="00000000" w:rsidRPr="00000000">
        <w:rPr>
          <w:rtl w:val="0"/>
        </w:rPr>
        <w:t xml:space="preserve">Tkemaladze, J. (2025).  Centriole Elimination as a Mechanism for Restoring Cellular Order. doi: </w:t>
      </w:r>
      <w:hyperlink r:id="rId137">
        <w:r w:rsidDel="00000000" w:rsidR="00000000" w:rsidRPr="00000000">
          <w:rPr>
            <w:color w:val="1155cc"/>
            <w:u w:val="single"/>
            <w:rtl w:val="0"/>
          </w:rPr>
          <w:t xml:space="preserve">http://dx.doi.org/10.13140/RG.2.2.12890.66248/1</w:t>
        </w:r>
      </w:hyperlink>
      <w:r w:rsidDel="00000000" w:rsidR="00000000" w:rsidRPr="00000000">
        <w:rPr>
          <w:rtl w:val="0"/>
        </w:rPr>
        <w:t xml:space="preserve">  </w:t>
      </w:r>
    </w:p>
    <w:p w:rsidR="00000000" w:rsidDel="00000000" w:rsidP="00000000" w:rsidRDefault="00000000" w:rsidRPr="00000000" w14:paraId="000001B6">
      <w:pPr>
        <w:numPr>
          <w:ilvl w:val="0"/>
          <w:numId w:val="1"/>
        </w:numPr>
        <w:ind w:left="720" w:hanging="360"/>
        <w:jc w:val="both"/>
      </w:pPr>
      <w:r w:rsidDel="00000000" w:rsidR="00000000" w:rsidRPr="00000000">
        <w:rPr>
          <w:rtl w:val="0"/>
        </w:rPr>
        <w:t xml:space="preserve">Tkemaladze, J. (2025).  Hypotheses on the Role of Centrioles in Aging Processes. doi: </w:t>
      </w:r>
      <w:hyperlink r:id="rId138">
        <w:r w:rsidDel="00000000" w:rsidR="00000000" w:rsidRPr="00000000">
          <w:rPr>
            <w:color w:val="1155cc"/>
            <w:u w:val="single"/>
            <w:rtl w:val="0"/>
          </w:rPr>
          <w:t xml:space="preserve">http://dx.doi.org/10.13140/RG.2.2.15014.02887/1</w:t>
        </w:r>
      </w:hyperlink>
      <w:r w:rsidDel="00000000" w:rsidR="00000000" w:rsidRPr="00000000">
        <w:rPr>
          <w:rtl w:val="0"/>
        </w:rPr>
        <w:t xml:space="preserve"> </w:t>
      </w:r>
    </w:p>
    <w:p w:rsidR="00000000" w:rsidDel="00000000" w:rsidP="00000000" w:rsidRDefault="00000000" w:rsidRPr="00000000" w14:paraId="000001B7">
      <w:pPr>
        <w:numPr>
          <w:ilvl w:val="0"/>
          <w:numId w:val="1"/>
        </w:numPr>
        <w:ind w:left="720" w:hanging="360"/>
        <w:jc w:val="both"/>
      </w:pPr>
      <w:r w:rsidDel="00000000" w:rsidR="00000000" w:rsidRPr="00000000">
        <w:rPr>
          <w:rtl w:val="0"/>
        </w:rPr>
        <w:t xml:space="preserve">Tkemaladze, J. (2025).  Limits of Cellular Division: The Hayflick Phenomenon. doi: </w:t>
      </w:r>
      <w:hyperlink r:id="rId139">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B8">
      <w:pPr>
        <w:numPr>
          <w:ilvl w:val="0"/>
          <w:numId w:val="1"/>
        </w:numPr>
        <w:ind w:left="720" w:hanging="360"/>
        <w:jc w:val="both"/>
      </w:pPr>
      <w:r w:rsidDel="00000000" w:rsidR="00000000" w:rsidRPr="00000000">
        <w:rPr>
          <w:rtl w:val="0"/>
        </w:rPr>
        <w:t xml:space="preserve">Tkemaladze, J. (2025).  Molecular Mechanisms of Aging and Modern Life Extension Strategies: From Antiquity to Mars Colonization. doi: </w:t>
      </w:r>
      <w:hyperlink r:id="rId140">
        <w:r w:rsidDel="00000000" w:rsidR="00000000" w:rsidRPr="00000000">
          <w:rPr>
            <w:color w:val="1155cc"/>
            <w:u w:val="single"/>
            <w:rtl w:val="0"/>
          </w:rPr>
          <w:t xml:space="preserve">http://dx.doi.org/10.13140/RG.2.2.13208.51204</w:t>
        </w:r>
      </w:hyperlink>
      <w:r w:rsidDel="00000000" w:rsidR="00000000" w:rsidRPr="00000000">
        <w:rPr>
          <w:rtl w:val="0"/>
        </w:rPr>
        <w:t xml:space="preserve"> </w:t>
      </w:r>
    </w:p>
    <w:p w:rsidR="00000000" w:rsidDel="00000000" w:rsidP="00000000" w:rsidRDefault="00000000" w:rsidRPr="00000000" w14:paraId="000001B9">
      <w:pPr>
        <w:numPr>
          <w:ilvl w:val="0"/>
          <w:numId w:val="1"/>
        </w:numPr>
        <w:ind w:left="720" w:hanging="360"/>
        <w:jc w:val="both"/>
      </w:pPr>
      <w:r w:rsidDel="00000000" w:rsidR="00000000" w:rsidRPr="00000000">
        <w:rPr>
          <w:rtl w:val="0"/>
        </w:rPr>
        <w:t xml:space="preserve">Tkemaladze, J. (2025).  Pathways of Somatic Cell Specialization in Multicellular Organisms. doi: </w:t>
      </w:r>
      <w:hyperlink r:id="rId141">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1BA">
      <w:pPr>
        <w:numPr>
          <w:ilvl w:val="0"/>
          <w:numId w:val="1"/>
        </w:numPr>
        <w:ind w:left="720" w:hanging="360"/>
        <w:jc w:val="both"/>
      </w:pPr>
      <w:r w:rsidDel="00000000" w:rsidR="00000000" w:rsidRPr="00000000">
        <w:rPr>
          <w:rtl w:val="0"/>
        </w:rPr>
        <w:t xml:space="preserve">Tkemaladze, J. (2025).  Strategic Importance of the Caucasian Bridge and Global Power Rivalries. doi:  </w:t>
      </w:r>
      <w:hyperlink r:id="rId142">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1BB">
      <w:pPr>
        <w:numPr>
          <w:ilvl w:val="0"/>
          <w:numId w:val="1"/>
        </w:numPr>
        <w:ind w:left="720" w:hanging="360"/>
        <w:jc w:val="both"/>
      </w:pPr>
      <w:r w:rsidDel="00000000" w:rsidR="00000000" w:rsidRPr="00000000">
        <w:rPr>
          <w:rtl w:val="0"/>
        </w:rPr>
        <w:t xml:space="preserve">Tkemaladze, J. (2025).  Structure, Formation, and Functional Significance of Centrioles in Cellular Biology. doi: </w:t>
      </w:r>
      <w:hyperlink r:id="rId143">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1BC">
      <w:pPr>
        <w:numPr>
          <w:ilvl w:val="0"/>
          <w:numId w:val="1"/>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144">
        <w:r w:rsidDel="00000000" w:rsidR="00000000" w:rsidRPr="00000000">
          <w:rPr>
            <w:color w:val="1155cc"/>
            <w:u w:val="single"/>
            <w:rtl w:val="0"/>
          </w:rPr>
          <w:t xml:space="preserve">http://dx.doi.org/10.13140/RG.2.2.28347.73769/1</w:t>
        </w:r>
      </w:hyperlink>
      <w:r w:rsidDel="00000000" w:rsidR="00000000" w:rsidRPr="00000000">
        <w:rPr>
          <w:rtl w:val="0"/>
        </w:rPr>
        <w:t xml:space="preserve">  </w:t>
      </w:r>
    </w:p>
    <w:p w:rsidR="00000000" w:rsidDel="00000000" w:rsidP="00000000" w:rsidRDefault="00000000" w:rsidRPr="00000000" w14:paraId="000001BD">
      <w:pPr>
        <w:numPr>
          <w:ilvl w:val="0"/>
          <w:numId w:val="1"/>
        </w:numPr>
        <w:ind w:left="720" w:hanging="360"/>
        <w:jc w:val="both"/>
      </w:pPr>
      <w:r w:rsidDel="00000000" w:rsidR="00000000" w:rsidRPr="00000000">
        <w:rPr>
          <w:rtl w:val="0"/>
        </w:rPr>
        <w:t xml:space="preserve">Tkemaladze, J. (2025).  Transforming the psyche with phoneme frequencies "Habere aliam linguam est possidere secundam animam". doi:  </w:t>
      </w:r>
      <w:hyperlink r:id="rId145">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1BE">
      <w:pPr>
        <w:numPr>
          <w:ilvl w:val="0"/>
          <w:numId w:val="1"/>
        </w:numPr>
        <w:ind w:left="720" w:hanging="360"/>
        <w:jc w:val="both"/>
      </w:pPr>
      <w:r w:rsidDel="00000000" w:rsidR="00000000" w:rsidRPr="00000000">
        <w:rPr>
          <w:rtl w:val="0"/>
        </w:rPr>
        <w:t xml:space="preserve">Tkemaladze, J. (2025).  Uneven Centrosome Inheritance and Its Impact on Cell Fate. doi: </w:t>
      </w:r>
      <w:hyperlink r:id="rId146">
        <w:r w:rsidDel="00000000" w:rsidR="00000000" w:rsidRPr="00000000">
          <w:rPr>
            <w:color w:val="1155cc"/>
            <w:u w:val="single"/>
            <w:rtl w:val="0"/>
          </w:rPr>
          <w:t xml:space="preserve">http://dx.doi.org/10.13140/RG.2.2.34917.31206</w:t>
        </w:r>
      </w:hyperlink>
      <w:r w:rsidDel="00000000" w:rsidR="00000000" w:rsidRPr="00000000">
        <w:rPr>
          <w:rtl w:val="0"/>
        </w:rPr>
        <w:t xml:space="preserve"> </w:t>
      </w:r>
    </w:p>
    <w:p w:rsidR="00000000" w:rsidDel="00000000" w:rsidP="00000000" w:rsidRDefault="00000000" w:rsidRPr="00000000" w14:paraId="000001BF">
      <w:pPr>
        <w:numPr>
          <w:ilvl w:val="0"/>
          <w:numId w:val="1"/>
        </w:numPr>
        <w:ind w:left="720" w:hanging="360"/>
        <w:jc w:val="both"/>
      </w:pPr>
      <w:r w:rsidDel="00000000" w:rsidR="00000000" w:rsidRPr="00000000">
        <w:rPr>
          <w:rtl w:val="0"/>
        </w:rPr>
        <w:t xml:space="preserve">Tkemaladze, J. (2025). Aging Model Based on Drosophila melanogaster: Mechanisms and Perspectives. Longevity Horizon, 1(3). doi: </w:t>
      </w:r>
      <w:hyperlink r:id="rId147">
        <w:r w:rsidDel="00000000" w:rsidR="00000000" w:rsidRPr="00000000">
          <w:rPr>
            <w:color w:val="1155cc"/>
            <w:u w:val="single"/>
            <w:rtl w:val="0"/>
          </w:rPr>
          <w:t xml:space="preserve">https://doi.org/10.5281/zenodo.14955643</w:t>
        </w:r>
      </w:hyperlink>
      <w:r w:rsidDel="00000000" w:rsidR="00000000" w:rsidRPr="00000000">
        <w:rPr>
          <w:rtl w:val="0"/>
        </w:rPr>
      </w:r>
    </w:p>
    <w:p w:rsidR="00000000" w:rsidDel="00000000" w:rsidP="00000000" w:rsidRDefault="00000000" w:rsidRPr="00000000" w14:paraId="000001C0">
      <w:pPr>
        <w:numPr>
          <w:ilvl w:val="0"/>
          <w:numId w:val="1"/>
        </w:numPr>
        <w:ind w:left="720" w:hanging="360"/>
        <w:jc w:val="both"/>
      </w:pPr>
      <w:r w:rsidDel="00000000" w:rsidR="00000000" w:rsidRPr="00000000">
        <w:rPr>
          <w:rtl w:val="0"/>
        </w:rPr>
        <w:t xml:space="preserve">Tkemaladze, J. (2025). Anatomy, Biogenesis, and Role in Cell Biology of Centrioles. Longevity Horizon, 1(2). doi: </w:t>
      </w:r>
      <w:hyperlink r:id="rId148">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1C1">
      <w:pPr>
        <w:numPr>
          <w:ilvl w:val="0"/>
          <w:numId w:val="1"/>
        </w:numPr>
        <w:ind w:left="720" w:hanging="360"/>
        <w:jc w:val="both"/>
      </w:pPr>
      <w:r w:rsidDel="00000000" w:rsidR="00000000" w:rsidRPr="00000000">
        <w:rPr>
          <w:rtl w:val="0"/>
        </w:rPr>
        <w:t xml:space="preserve">Tkemaladze, J. (2025). Anti-Blastomic Substances in the Plasma of Schizophrenia Patients: A Dual Role of Complement C4 in Synaptic Pruning and Tumor Suppression. Longevity Horizon, 1(3). doi : </w:t>
      </w:r>
      <w:hyperlink r:id="rId149">
        <w:r w:rsidDel="00000000" w:rsidR="00000000" w:rsidRPr="00000000">
          <w:rPr>
            <w:color w:val="1155cc"/>
            <w:u w:val="single"/>
            <w:rtl w:val="0"/>
          </w:rPr>
          <w:t xml:space="preserve">https://doi.org/10.5281/zenodo.15042448</w:t>
        </w:r>
      </w:hyperlink>
      <w:r w:rsidDel="00000000" w:rsidR="00000000" w:rsidRPr="00000000">
        <w:rPr>
          <w:rtl w:val="0"/>
        </w:rPr>
      </w:r>
    </w:p>
    <w:p w:rsidR="00000000" w:rsidDel="00000000" w:rsidP="00000000" w:rsidRDefault="00000000" w:rsidRPr="00000000" w14:paraId="000001C2">
      <w:pPr>
        <w:numPr>
          <w:ilvl w:val="0"/>
          <w:numId w:val="1"/>
        </w:numPr>
        <w:ind w:left="720" w:hanging="360"/>
        <w:jc w:val="both"/>
      </w:pPr>
      <w:r w:rsidDel="00000000" w:rsidR="00000000" w:rsidRPr="00000000">
        <w:rPr>
          <w:rtl w:val="0"/>
        </w:rPr>
        <w:t xml:space="preserve">Tkemaladze, J. (2025). Asymmetry in the Inheritance of Centrosomes / Centrioles and Its Consequences. Longevity Horizon, 1(2). doi:  </w:t>
      </w:r>
      <w:hyperlink r:id="rId150">
        <w:r w:rsidDel="00000000" w:rsidR="00000000" w:rsidRPr="00000000">
          <w:rPr>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C3">
      <w:pPr>
        <w:numPr>
          <w:ilvl w:val="0"/>
          <w:numId w:val="1"/>
        </w:numPr>
        <w:ind w:left="720" w:hanging="360"/>
        <w:jc w:val="both"/>
      </w:pPr>
      <w:r w:rsidDel="00000000" w:rsidR="00000000" w:rsidRPr="00000000">
        <w:rPr>
          <w:rtl w:val="0"/>
        </w:rPr>
        <w:t xml:space="preserve">Tkemaladze, J. (2025). Centriole Elimination: A Mechanism for Resetting Entropy in the Cell. Longevity Horizon, 1(2). doi: </w:t>
      </w:r>
      <w:hyperlink r:id="rId151">
        <w:r w:rsidDel="00000000" w:rsidR="00000000" w:rsidRPr="00000000">
          <w:rPr>
            <w:color w:val="1155cc"/>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C4">
      <w:pPr>
        <w:numPr>
          <w:ilvl w:val="0"/>
          <w:numId w:val="1"/>
        </w:numPr>
        <w:ind w:left="720" w:hanging="360"/>
        <w:jc w:val="both"/>
      </w:pPr>
      <w:r w:rsidDel="00000000" w:rsidR="00000000" w:rsidRPr="00000000">
        <w:rPr>
          <w:rtl w:val="0"/>
        </w:rPr>
        <w:t xml:space="preserve">Tkemaladze, J. (2025). Concept to The Alive Language. Longevity Horizon, 1(1). doi: </w:t>
      </w:r>
      <w:hyperlink r:id="rId152">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C5">
      <w:pPr>
        <w:numPr>
          <w:ilvl w:val="0"/>
          <w:numId w:val="1"/>
        </w:numPr>
        <w:ind w:left="720" w:hanging="360"/>
        <w:jc w:val="both"/>
      </w:pPr>
      <w:r w:rsidDel="00000000" w:rsidR="00000000" w:rsidRPr="00000000">
        <w:rPr>
          <w:rtl w:val="0"/>
        </w:rPr>
        <w:t xml:space="preserve">Tkemaladze, J. (2025). Concept to The Caucasian Bridge. Longevity Horizon, 1(1). doi: </w:t>
      </w:r>
      <w:hyperlink r:id="rId153">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C6">
      <w:pPr>
        <w:numPr>
          <w:ilvl w:val="0"/>
          <w:numId w:val="1"/>
        </w:numPr>
        <w:ind w:left="720" w:hanging="360"/>
        <w:jc w:val="both"/>
      </w:pPr>
      <w:r w:rsidDel="00000000" w:rsidR="00000000" w:rsidRPr="00000000">
        <w:rPr>
          <w:rtl w:val="0"/>
        </w:rPr>
        <w:t xml:space="preserve">Tkemaladze, J. (2025). Concept to The Curing All Diseases. Longevity Horizon, 1(1). doi: </w:t>
      </w:r>
      <w:hyperlink r:id="rId154">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C7">
      <w:pPr>
        <w:numPr>
          <w:ilvl w:val="0"/>
          <w:numId w:val="1"/>
        </w:numPr>
        <w:ind w:left="720" w:hanging="360"/>
        <w:jc w:val="both"/>
      </w:pPr>
      <w:r w:rsidDel="00000000" w:rsidR="00000000" w:rsidRPr="00000000">
        <w:rPr>
          <w:rtl w:val="0"/>
        </w:rPr>
        <w:t xml:space="preserve">Tkemaladze, J. (2025). Concept to The Eternal Youth. Longevity Horizon, 1(1). doi:  </w:t>
      </w:r>
      <w:hyperlink r:id="rId155">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C8">
      <w:pPr>
        <w:numPr>
          <w:ilvl w:val="0"/>
          <w:numId w:val="1"/>
        </w:numPr>
        <w:ind w:left="720" w:hanging="360"/>
        <w:jc w:val="both"/>
      </w:pPr>
      <w:r w:rsidDel="00000000" w:rsidR="00000000" w:rsidRPr="00000000">
        <w:rPr>
          <w:rtl w:val="0"/>
        </w:rPr>
        <w:t xml:space="preserve">Tkemaladze, J. (2025). Concept to The Food Security. Longevity Horizon, 1(1). doi:  </w:t>
      </w:r>
      <w:hyperlink r:id="rId156">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C9">
      <w:pPr>
        <w:numPr>
          <w:ilvl w:val="0"/>
          <w:numId w:val="1"/>
        </w:numPr>
        <w:ind w:left="720" w:hanging="360"/>
        <w:jc w:val="both"/>
      </w:pPr>
      <w:r w:rsidDel="00000000" w:rsidR="00000000" w:rsidRPr="00000000">
        <w:rPr>
          <w:rtl w:val="0"/>
        </w:rPr>
        <w:t xml:space="preserve">Tkemaladze, J. (2025). Concept to the Living Space. Longevity Horizon, 1(1). doi: </w:t>
      </w:r>
      <w:hyperlink r:id="rId157">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CA">
      <w:pPr>
        <w:numPr>
          <w:ilvl w:val="0"/>
          <w:numId w:val="1"/>
        </w:numPr>
        <w:ind w:left="720" w:hanging="360"/>
        <w:jc w:val="both"/>
      </w:pPr>
      <w:r w:rsidDel="00000000" w:rsidR="00000000" w:rsidRPr="00000000">
        <w:rPr>
          <w:rtl w:val="0"/>
        </w:rPr>
        <w:t xml:space="preserve">Tkemaladze, J. (2025). Concept to The Restoring Dogmas. Longevity Horizon, 1(1).  doi: </w:t>
      </w:r>
      <w:hyperlink r:id="rId158">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CB">
      <w:pPr>
        <w:numPr>
          <w:ilvl w:val="0"/>
          <w:numId w:val="1"/>
        </w:numPr>
        <w:ind w:left="720" w:hanging="360"/>
        <w:jc w:val="both"/>
      </w:pPr>
      <w:r w:rsidDel="00000000" w:rsidR="00000000" w:rsidRPr="00000000">
        <w:rPr>
          <w:rtl w:val="0"/>
        </w:rPr>
        <w:t xml:space="preserve">Tkemaladze, J. (2025). Differentiation of Somatic Cells in Multicellular Organisms. Longevity Horizon, 1(2). doi: </w:t>
      </w:r>
      <w:hyperlink r:id="rId159">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1CC">
      <w:pPr>
        <w:numPr>
          <w:ilvl w:val="0"/>
          <w:numId w:val="1"/>
        </w:numPr>
        <w:ind w:left="720" w:hanging="360"/>
        <w:jc w:val="both"/>
      </w:pPr>
      <w:r w:rsidDel="00000000" w:rsidR="00000000" w:rsidRPr="00000000">
        <w:rPr>
          <w:rtl w:val="0"/>
        </w:rPr>
        <w:t xml:space="preserve">Tkemaladze, J. (2025). Molecular Insights and Radical Longevity from Ancient Elixirs to Mars Colonies. Longevity Horizon, 1(2). doi: </w:t>
      </w:r>
      <w:hyperlink r:id="rId160">
        <w:r w:rsidDel="00000000" w:rsidR="00000000" w:rsidRPr="00000000">
          <w:rPr>
            <w:color w:val="1155cc"/>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1CD">
      <w:pPr>
        <w:numPr>
          <w:ilvl w:val="0"/>
          <w:numId w:val="1"/>
        </w:numPr>
        <w:ind w:left="720" w:hanging="360"/>
        <w:jc w:val="both"/>
      </w:pPr>
      <w:r w:rsidDel="00000000" w:rsidR="00000000" w:rsidRPr="00000000">
        <w:rPr>
          <w:rtl w:val="0"/>
        </w:rPr>
        <w:t xml:space="preserve">Tkemaladze, J. (2025). Protocol for Transplantation of Healthy Cells Between Adult Drosophila of Different Ages and Sexes. Longevity Horizon, 1(2). doi: </w:t>
      </w:r>
      <w:hyperlink r:id="rId161">
        <w:r w:rsidDel="00000000" w:rsidR="00000000" w:rsidRPr="00000000">
          <w:rPr>
            <w:color w:val="1155cc"/>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1CE">
      <w:pPr>
        <w:numPr>
          <w:ilvl w:val="0"/>
          <w:numId w:val="1"/>
        </w:numPr>
        <w:ind w:left="720" w:hanging="360"/>
        <w:jc w:val="both"/>
      </w:pPr>
      <w:r w:rsidDel="00000000" w:rsidR="00000000" w:rsidRPr="00000000">
        <w:rPr>
          <w:rtl w:val="0"/>
        </w:rPr>
        <w:t xml:space="preserve">Tkemaladze, J. (2025). Replicative Hayflick Limit. Longevity Horizon, 1(2). doi: </w:t>
      </w:r>
      <w:hyperlink r:id="rId162">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1CF">
      <w:pPr>
        <w:numPr>
          <w:ilvl w:val="0"/>
          <w:numId w:val="1"/>
        </w:numPr>
        <w:ind w:left="720" w:hanging="360"/>
        <w:jc w:val="both"/>
      </w:pPr>
      <w:r w:rsidDel="00000000" w:rsidR="00000000" w:rsidRPr="00000000">
        <w:rPr>
          <w:rtl w:val="0"/>
        </w:rPr>
        <w:t xml:space="preserve">Tkemaladze, J. (2025). Solutions to the Living Space Problem to Overcome the Fear of Resurrection from the Dead. doi: </w:t>
      </w:r>
      <w:hyperlink r:id="rId163">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1D0">
      <w:pPr>
        <w:numPr>
          <w:ilvl w:val="0"/>
          <w:numId w:val="1"/>
        </w:numPr>
        <w:ind w:left="720" w:hanging="360"/>
        <w:jc w:val="both"/>
      </w:pPr>
      <w:r w:rsidDel="00000000" w:rsidR="00000000" w:rsidRPr="00000000">
        <w:rPr>
          <w:rtl w:val="0"/>
        </w:rPr>
        <w:t xml:space="preserve">Tkemaladze, J. (2025). Systemic Resilience and Sustainable Nutritional Paradigms in Anthropogenic Ecosystems. doi: </w:t>
      </w:r>
      <w:hyperlink r:id="rId164">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1D1">
      <w:pPr>
        <w:numPr>
          <w:ilvl w:val="0"/>
          <w:numId w:val="1"/>
        </w:numPr>
        <w:ind w:left="720" w:hanging="360"/>
        <w:jc w:val="both"/>
      </w:pPr>
      <w:r w:rsidDel="00000000" w:rsidR="00000000" w:rsidRPr="00000000">
        <w:rPr>
          <w:rtl w:val="0"/>
        </w:rPr>
        <w:t xml:space="preserve">Tkemaladze, J. (2025). The Centriolar Theory of Differentiation Explains the Biological Meaning of the Centriolar Theory of Organismal Aging. Longevity Horizon, 1(3). doi:</w:t>
      </w:r>
      <w:hyperlink r:id="rId165">
        <w:r w:rsidDel="00000000" w:rsidR="00000000" w:rsidRPr="00000000">
          <w:rPr>
            <w:color w:val="1155cc"/>
            <w:u w:val="single"/>
            <w:rtl w:val="0"/>
          </w:rPr>
          <w:t xml:space="preserve">https://doi.org/10.5281/zenodo.14897688</w:t>
        </w:r>
      </w:hyperlink>
      <w:r w:rsidDel="00000000" w:rsidR="00000000" w:rsidRPr="00000000">
        <w:rPr>
          <w:rtl w:val="0"/>
        </w:rPr>
      </w:r>
    </w:p>
    <w:p w:rsidR="00000000" w:rsidDel="00000000" w:rsidP="00000000" w:rsidRDefault="00000000" w:rsidRPr="00000000" w14:paraId="000001D2">
      <w:pPr>
        <w:numPr>
          <w:ilvl w:val="0"/>
          <w:numId w:val="1"/>
        </w:numPr>
        <w:ind w:left="720" w:hanging="360"/>
        <w:jc w:val="both"/>
      </w:pPr>
      <w:r w:rsidDel="00000000" w:rsidR="00000000" w:rsidRPr="00000000">
        <w:rPr>
          <w:rtl w:val="0"/>
        </w:rPr>
        <w:t xml:space="preserve">Tkemaladze, J. (2025). The Concept of Data-Driven Automated Governance. Georgian Scientists, 6(4), 399–410. doi: </w:t>
      </w:r>
      <w:hyperlink r:id="rId166">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D3">
      <w:pPr>
        <w:numPr>
          <w:ilvl w:val="0"/>
          <w:numId w:val="1"/>
        </w:numPr>
        <w:ind w:left="720" w:hanging="360"/>
        <w:jc w:val="both"/>
      </w:pPr>
      <w:r w:rsidDel="00000000" w:rsidR="00000000" w:rsidRPr="00000000">
        <w:rPr>
          <w:rtl w:val="0"/>
        </w:rPr>
        <w:t xml:space="preserve">Tkemaladze, J. (2025).Achieving Perpetual Vitality Through Innovation. doi: </w:t>
      </w:r>
      <w:hyperlink r:id="rId167">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1D4">
      <w:pPr>
        <w:numPr>
          <w:ilvl w:val="0"/>
          <w:numId w:val="1"/>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D5">
      <w:pPr>
        <w:numPr>
          <w:ilvl w:val="0"/>
          <w:numId w:val="1"/>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D6">
      <w:pPr>
        <w:numPr>
          <w:ilvl w:val="0"/>
          <w:numId w:val="1"/>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D7">
      <w:pPr>
        <w:numPr>
          <w:ilvl w:val="0"/>
          <w:numId w:val="1"/>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D8">
      <w:pPr>
        <w:numPr>
          <w:ilvl w:val="0"/>
          <w:numId w:val="1"/>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168">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D9">
      <w:pPr>
        <w:numPr>
          <w:ilvl w:val="0"/>
          <w:numId w:val="1"/>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DA">
      <w:pPr>
        <w:numPr>
          <w:ilvl w:val="0"/>
          <w:numId w:val="1"/>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169">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170">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DB">
      <w:pPr>
        <w:numPr>
          <w:ilvl w:val="0"/>
          <w:numId w:val="1"/>
        </w:numPr>
        <w:ind w:left="720" w:hanging="360"/>
        <w:jc w:val="both"/>
      </w:pPr>
      <w:r w:rsidDel="00000000" w:rsidR="00000000" w:rsidRPr="00000000">
        <w:rPr>
          <w:rtl w:val="0"/>
        </w:rPr>
        <w:t xml:space="preserve">Truscott, R. J. (2005). Age-related nuclear cataract—oxidation is the key. Experimental Eye Research, 80(5), 709-725. </w:t>
      </w:r>
      <w:hyperlink r:id="rId171">
        <w:r w:rsidDel="00000000" w:rsidR="00000000" w:rsidRPr="00000000">
          <w:rPr>
            <w:color w:val="1155cc"/>
            <w:u w:val="single"/>
            <w:rtl w:val="0"/>
          </w:rPr>
          <w:t xml:space="preserve">https://doi.org/10.1016/j.exer.2004.12.007</w:t>
        </w:r>
      </w:hyperlink>
      <w:r w:rsidDel="00000000" w:rsidR="00000000" w:rsidRPr="00000000">
        <w:rPr>
          <w:rtl w:val="0"/>
        </w:rPr>
      </w:r>
    </w:p>
    <w:p w:rsidR="00000000" w:rsidDel="00000000" w:rsidP="00000000" w:rsidRDefault="00000000" w:rsidRPr="00000000" w14:paraId="000001DC">
      <w:pPr>
        <w:numPr>
          <w:ilvl w:val="0"/>
          <w:numId w:val="1"/>
        </w:numPr>
        <w:ind w:left="720" w:hanging="360"/>
        <w:jc w:val="both"/>
      </w:pPr>
      <w:r w:rsidDel="00000000" w:rsidR="00000000" w:rsidRPr="00000000">
        <w:rPr>
          <w:rtl w:val="0"/>
        </w:rPr>
        <w:t xml:space="preserve">Van Blerkom, J. (2011). Mitochondrial function in the human oocyte and embryo and their role in developmental competence. Mitochondrion, 11(5), 797–813. </w:t>
      </w:r>
      <w:hyperlink r:id="rId172">
        <w:r w:rsidDel="00000000" w:rsidR="00000000" w:rsidRPr="00000000">
          <w:rPr>
            <w:color w:val="1155cc"/>
            <w:u w:val="single"/>
            <w:rtl w:val="0"/>
          </w:rPr>
          <w:t xml:space="preserve">https://doi.org/10.1016/j.mito.2010.09.012</w:t>
        </w:r>
      </w:hyperlink>
      <w:r w:rsidDel="00000000" w:rsidR="00000000" w:rsidRPr="00000000">
        <w:rPr>
          <w:rtl w:val="0"/>
        </w:rPr>
      </w:r>
    </w:p>
    <w:p w:rsidR="00000000" w:rsidDel="00000000" w:rsidP="00000000" w:rsidRDefault="00000000" w:rsidRPr="00000000" w14:paraId="000001DD">
      <w:pPr>
        <w:numPr>
          <w:ilvl w:val="0"/>
          <w:numId w:val="1"/>
        </w:numPr>
        <w:ind w:left="720" w:hanging="360"/>
        <w:jc w:val="both"/>
      </w:pPr>
      <w:r w:rsidDel="00000000" w:rsidR="00000000" w:rsidRPr="00000000">
        <w:rPr>
          <w:rtl w:val="0"/>
        </w:rPr>
        <w:t xml:space="preserve">Varma, S. D., Kovtun, S., &amp; Hegde, K. R. (2017). Role of ultraviolet irradiation and oxidative stress in cataract formation—medical prevention by nutritional antioxidants and metabolic agonists. Eye and Contact Lens, 43(5), 279–285. </w:t>
      </w:r>
      <w:hyperlink r:id="rId173">
        <w:r w:rsidDel="00000000" w:rsidR="00000000" w:rsidRPr="00000000">
          <w:rPr>
            <w:color w:val="1155cc"/>
            <w:u w:val="single"/>
            <w:rtl w:val="0"/>
          </w:rPr>
          <w:t xml:space="preserve">https://doi.org/10.1097/ICL.0000000000000381</w:t>
        </w:r>
      </w:hyperlink>
      <w:r w:rsidDel="00000000" w:rsidR="00000000" w:rsidRPr="00000000">
        <w:rPr>
          <w:rtl w:val="0"/>
        </w:rPr>
      </w:r>
    </w:p>
    <w:p w:rsidR="00000000" w:rsidDel="00000000" w:rsidP="00000000" w:rsidRDefault="00000000" w:rsidRPr="00000000" w14:paraId="000001DE">
      <w:pPr>
        <w:numPr>
          <w:ilvl w:val="0"/>
          <w:numId w:val="1"/>
        </w:numPr>
        <w:ind w:left="720" w:hanging="360"/>
        <w:jc w:val="both"/>
      </w:pPr>
      <w:r w:rsidDel="00000000" w:rsidR="00000000" w:rsidRPr="00000000">
        <w:rPr>
          <w:rtl w:val="0"/>
        </w:rPr>
        <w:t xml:space="preserve">Verdin, E. (2015). NAD⁺ in aging, metabolism, and neurodegeneration. Science, 350(6265), 1208-1213. </w:t>
      </w:r>
      <w:hyperlink r:id="rId174">
        <w:r w:rsidDel="00000000" w:rsidR="00000000" w:rsidRPr="00000000">
          <w:rPr>
            <w:color w:val="1155cc"/>
            <w:u w:val="single"/>
            <w:rtl w:val="0"/>
          </w:rPr>
          <w:t xml:space="preserve">https://doi.org/10.1126/science.aac4854</w:t>
        </w:r>
      </w:hyperlink>
      <w:r w:rsidDel="00000000" w:rsidR="00000000" w:rsidRPr="00000000">
        <w:rPr>
          <w:rtl w:val="0"/>
        </w:rPr>
      </w:r>
    </w:p>
    <w:p w:rsidR="00000000" w:rsidDel="00000000" w:rsidP="00000000" w:rsidRDefault="00000000" w:rsidRPr="00000000" w14:paraId="000001DF">
      <w:pPr>
        <w:numPr>
          <w:ilvl w:val="0"/>
          <w:numId w:val="1"/>
        </w:numPr>
        <w:ind w:left="720" w:hanging="360"/>
        <w:jc w:val="both"/>
      </w:pPr>
      <w:r w:rsidDel="00000000" w:rsidR="00000000" w:rsidRPr="00000000">
        <w:rPr>
          <w:rtl w:val="0"/>
        </w:rPr>
        <w:t xml:space="preserve">Wallace, W. H., &amp; Kelsey, T. W. (2010). Human ovarian reserve from conception to the menopause. PLoS ONE, 5(1), e8772. </w:t>
      </w:r>
      <w:hyperlink r:id="rId175">
        <w:r w:rsidDel="00000000" w:rsidR="00000000" w:rsidRPr="00000000">
          <w:rPr>
            <w:color w:val="1155cc"/>
            <w:u w:val="single"/>
            <w:rtl w:val="0"/>
          </w:rPr>
          <w:t xml:space="preserve">https://doi.org/10.1371/journal.pone.0008772</w:t>
        </w:r>
      </w:hyperlink>
      <w:r w:rsidDel="00000000" w:rsidR="00000000" w:rsidRPr="00000000">
        <w:rPr>
          <w:rtl w:val="0"/>
        </w:rPr>
      </w:r>
    </w:p>
    <w:p w:rsidR="00000000" w:rsidDel="00000000" w:rsidP="00000000" w:rsidRDefault="00000000" w:rsidRPr="00000000" w14:paraId="000001E0">
      <w:pPr>
        <w:numPr>
          <w:ilvl w:val="0"/>
          <w:numId w:val="1"/>
        </w:numPr>
        <w:ind w:left="720" w:hanging="360"/>
        <w:jc w:val="both"/>
      </w:pPr>
      <w:r w:rsidDel="00000000" w:rsidR="00000000" w:rsidRPr="00000000">
        <w:rPr>
          <w:rtl w:val="0"/>
        </w:rPr>
        <w:t xml:space="preserve">Wang, L., Lee, K., &amp; Maldonado, M. (2021). Centriole age regulates asymmetric stem cell division. Nature Cell Biology, 23(3), 284–294. </w:t>
      </w:r>
      <w:hyperlink r:id="rId176">
        <w:r w:rsidDel="00000000" w:rsidR="00000000" w:rsidRPr="00000000">
          <w:rPr>
            <w:color w:val="1155cc"/>
            <w:u w:val="single"/>
            <w:rtl w:val="0"/>
          </w:rPr>
          <w:t xml:space="preserve">https://doi.org/10.1038/s41556-021-00643-8</w:t>
        </w:r>
      </w:hyperlink>
      <w:r w:rsidDel="00000000" w:rsidR="00000000" w:rsidRPr="00000000">
        <w:rPr>
          <w:rtl w:val="0"/>
        </w:rPr>
      </w:r>
    </w:p>
    <w:p w:rsidR="00000000" w:rsidDel="00000000" w:rsidP="00000000" w:rsidRDefault="00000000" w:rsidRPr="00000000" w14:paraId="000001E1">
      <w:pPr>
        <w:numPr>
          <w:ilvl w:val="0"/>
          <w:numId w:val="1"/>
        </w:numPr>
        <w:ind w:left="720" w:hanging="360"/>
        <w:jc w:val="both"/>
      </w:pPr>
      <w:r w:rsidDel="00000000" w:rsidR="00000000" w:rsidRPr="00000000">
        <w:rPr>
          <w:rtl w:val="0"/>
        </w:rPr>
        <w:t xml:space="preserve">Weikel, K. A., Garber, C., Baburins, A., &amp; Taylor, A. (2014). Nutritional modulation of cataract. Nutrition Reviews, 72(1), 30–47. </w:t>
      </w:r>
      <w:hyperlink r:id="rId177">
        <w:r w:rsidDel="00000000" w:rsidR="00000000" w:rsidRPr="00000000">
          <w:rPr>
            <w:color w:val="1155cc"/>
            <w:u w:val="single"/>
            <w:rtl w:val="0"/>
          </w:rPr>
          <w:t xml:space="preserve">https://doi.org/10.1111/nure.12077</w:t>
        </w:r>
      </w:hyperlink>
      <w:r w:rsidDel="00000000" w:rsidR="00000000" w:rsidRPr="00000000">
        <w:rPr>
          <w:rtl w:val="0"/>
        </w:rPr>
      </w:r>
    </w:p>
    <w:p w:rsidR="00000000" w:rsidDel="00000000" w:rsidP="00000000" w:rsidRDefault="00000000" w:rsidRPr="00000000" w14:paraId="000001E2">
      <w:pPr>
        <w:numPr>
          <w:ilvl w:val="0"/>
          <w:numId w:val="1"/>
        </w:numPr>
        <w:ind w:left="720" w:hanging="360"/>
        <w:jc w:val="both"/>
      </w:pPr>
      <w:r w:rsidDel="00000000" w:rsidR="00000000" w:rsidRPr="00000000">
        <w:rPr>
          <w:rtl w:val="0"/>
        </w:rPr>
        <w:t xml:space="preserve">West, N. X., Lussi, A., Seong, J., &amp; Hellwig, E. (2013). Dentin hypersensitivity: Pain mechanisms and aetiology of exposed cervical dentin. Clinical Oral Investigations, 17(1), 9–19. </w:t>
      </w:r>
      <w:hyperlink r:id="rId178">
        <w:r w:rsidDel="00000000" w:rsidR="00000000" w:rsidRPr="00000000">
          <w:rPr>
            <w:color w:val="1155cc"/>
            <w:u w:val="single"/>
            <w:rtl w:val="0"/>
          </w:rPr>
          <w:t xml:space="preserve">https://doi.org/10.1007/s00784-012-0887-x</w:t>
        </w:r>
      </w:hyperlink>
      <w:r w:rsidDel="00000000" w:rsidR="00000000" w:rsidRPr="00000000">
        <w:rPr>
          <w:rtl w:val="0"/>
        </w:rPr>
      </w:r>
    </w:p>
    <w:p w:rsidR="00000000" w:rsidDel="00000000" w:rsidP="00000000" w:rsidRDefault="00000000" w:rsidRPr="00000000" w14:paraId="000001E3">
      <w:pPr>
        <w:numPr>
          <w:ilvl w:val="0"/>
          <w:numId w:val="1"/>
        </w:numPr>
        <w:ind w:left="720" w:hanging="360"/>
        <w:jc w:val="both"/>
      </w:pPr>
      <w:r w:rsidDel="00000000" w:rsidR="00000000" w:rsidRPr="00000000">
        <w:rPr>
          <w:rtl w:val="0"/>
        </w:rPr>
        <w:t xml:space="preserve">Wetselaar, P., Vermaire, J. H., &amp; Lobbezoo, F. (2016). The prevalence of tooth wear in the Dutch adult population. Caries Research, 50(6), 543–550. </w:t>
      </w:r>
      <w:hyperlink r:id="rId179">
        <w:r w:rsidDel="00000000" w:rsidR="00000000" w:rsidRPr="00000000">
          <w:rPr>
            <w:color w:val="1155cc"/>
            <w:u w:val="single"/>
            <w:rtl w:val="0"/>
          </w:rPr>
          <w:t xml:space="preserve">https://doi.org/10.1159/000447020</w:t>
        </w:r>
      </w:hyperlink>
      <w:r w:rsidDel="00000000" w:rsidR="00000000" w:rsidRPr="00000000">
        <w:rPr>
          <w:rtl w:val="0"/>
        </w:rPr>
      </w:r>
    </w:p>
    <w:p w:rsidR="00000000" w:rsidDel="00000000" w:rsidP="00000000" w:rsidRDefault="00000000" w:rsidRPr="00000000" w14:paraId="000001E4">
      <w:pPr>
        <w:numPr>
          <w:ilvl w:val="0"/>
          <w:numId w:val="1"/>
        </w:numPr>
        <w:ind w:left="720" w:hanging="360"/>
        <w:jc w:val="both"/>
      </w:pPr>
      <w:r w:rsidDel="00000000" w:rsidR="00000000" w:rsidRPr="00000000">
        <w:rPr>
          <w:rtl w:val="0"/>
        </w:rPr>
        <w:t xml:space="preserve">Wheway, G., Nazlamova, L., &amp; Hancock, J. T. (2018). Signaling through the primary cilium. Frontiers in Cell and Developmental Biology, 6, 8. </w:t>
      </w:r>
      <w:hyperlink r:id="rId180">
        <w:r w:rsidDel="00000000" w:rsidR="00000000" w:rsidRPr="00000000">
          <w:rPr>
            <w:color w:val="1155cc"/>
            <w:u w:val="single"/>
            <w:rtl w:val="0"/>
          </w:rPr>
          <w:t xml:space="preserve">https://doi.org/10.3389/fcell.2018.00008</w:t>
        </w:r>
      </w:hyperlink>
      <w:r w:rsidDel="00000000" w:rsidR="00000000" w:rsidRPr="00000000">
        <w:rPr>
          <w:rtl w:val="0"/>
        </w:rPr>
      </w:r>
    </w:p>
    <w:p w:rsidR="00000000" w:rsidDel="00000000" w:rsidP="00000000" w:rsidRDefault="00000000" w:rsidRPr="00000000" w14:paraId="000001E5">
      <w:pPr>
        <w:numPr>
          <w:ilvl w:val="0"/>
          <w:numId w:val="1"/>
        </w:numPr>
        <w:ind w:left="720" w:hanging="360"/>
        <w:jc w:val="both"/>
      </w:pPr>
      <w:r w:rsidDel="00000000" w:rsidR="00000000" w:rsidRPr="00000000">
        <w:rPr>
          <w:rtl w:val="0"/>
        </w:rPr>
        <w:t xml:space="preserve">Xiong, X., Lan, D., Li, J., et al. (2020). Epigenetic alterations in aging oocytes. Aging and Disease, 11(6), 1464–1477. </w:t>
      </w:r>
      <w:hyperlink r:id="rId181">
        <w:r w:rsidDel="00000000" w:rsidR="00000000" w:rsidRPr="00000000">
          <w:rPr>
            <w:color w:val="1155cc"/>
            <w:u w:val="single"/>
            <w:rtl w:val="0"/>
          </w:rPr>
          <w:t xml:space="preserve">https://doi.org/10.14336/AD.2020.0219</w:t>
        </w:r>
      </w:hyperlink>
      <w:r w:rsidDel="00000000" w:rsidR="00000000" w:rsidRPr="00000000">
        <w:rPr>
          <w:rtl w:val="0"/>
        </w:rPr>
      </w:r>
    </w:p>
    <w:p w:rsidR="00000000" w:rsidDel="00000000" w:rsidP="00000000" w:rsidRDefault="00000000" w:rsidRPr="00000000" w14:paraId="000001E6">
      <w:pPr>
        <w:numPr>
          <w:ilvl w:val="0"/>
          <w:numId w:val="1"/>
        </w:numPr>
        <w:ind w:left="720" w:hanging="360"/>
        <w:jc w:val="both"/>
      </w:pPr>
      <w:r w:rsidDel="00000000" w:rsidR="00000000" w:rsidRPr="00000000">
        <w:rPr>
          <w:rtl w:val="0"/>
        </w:rPr>
        <w:t xml:space="preserve">Ye, J., Zhao, Y., &amp; Li, H. (2021). POC1 ensures centrosome cohesion by recruiting CEP120 during cell division. Journal of Cell Science, 134(10), jcs258420. </w:t>
      </w:r>
      <w:hyperlink r:id="rId182">
        <w:r w:rsidDel="00000000" w:rsidR="00000000" w:rsidRPr="00000000">
          <w:rPr>
            <w:color w:val="1155cc"/>
            <w:u w:val="single"/>
            <w:rtl w:val="0"/>
          </w:rPr>
          <w:t xml:space="preserve">https://doi.org/10.1242/jcs.258420</w:t>
        </w:r>
      </w:hyperlink>
      <w:r w:rsidDel="00000000" w:rsidR="00000000" w:rsidRPr="00000000">
        <w:rPr>
          <w:rtl w:val="0"/>
        </w:rPr>
      </w:r>
    </w:p>
    <w:p w:rsidR="00000000" w:rsidDel="00000000" w:rsidP="00000000" w:rsidRDefault="00000000" w:rsidRPr="00000000" w14:paraId="000001E7">
      <w:pPr>
        <w:numPr>
          <w:ilvl w:val="0"/>
          <w:numId w:val="1"/>
        </w:numPr>
        <w:ind w:left="720" w:hanging="360"/>
        <w:jc w:val="both"/>
      </w:pPr>
      <w:r w:rsidDel="00000000" w:rsidR="00000000" w:rsidRPr="00000000">
        <w:rPr>
          <w:rtl w:val="0"/>
        </w:rPr>
        <w:t xml:space="preserve">Yousefzadeh, M. J., Zhu, Y., McGowan, S. J., et al. (2018). Fisetin is a senotherapeutic that extends health and lifespan. EBioMedicine, 36, 18–28. </w:t>
      </w:r>
      <w:hyperlink r:id="rId183">
        <w:r w:rsidDel="00000000" w:rsidR="00000000" w:rsidRPr="00000000">
          <w:rPr>
            <w:color w:val="1155cc"/>
            <w:u w:val="single"/>
            <w:rtl w:val="0"/>
          </w:rPr>
          <w:t xml:space="preserve">https://doi.org/10</w:t>
        </w:r>
      </w:hyperlink>
      <w:r w:rsidDel="00000000" w:rsidR="00000000" w:rsidRPr="00000000">
        <w:rPr>
          <w:rtl w:val="0"/>
        </w:rPr>
        <w:t xml:space="preserve">.</w:t>
      </w:r>
    </w:p>
    <w:p w:rsidR="00000000" w:rsidDel="00000000" w:rsidP="00000000" w:rsidRDefault="00000000" w:rsidRPr="00000000" w14:paraId="000001E8">
      <w:pPr>
        <w:numPr>
          <w:ilvl w:val="0"/>
          <w:numId w:val="1"/>
        </w:numPr>
        <w:ind w:left="720" w:hanging="360"/>
        <w:jc w:val="both"/>
      </w:pPr>
      <w:r w:rsidDel="00000000" w:rsidR="00000000" w:rsidRPr="00000000">
        <w:rPr>
          <w:rtl w:val="0"/>
        </w:rPr>
        <w:t xml:space="preserve">Yousefzadeh, M. J., Zhu, Y., McGowan, S. J., et al. (2018). Fisetin is a senotherapeutic that extends health and lifespan. EBioMedicine, 36, 18–28. </w:t>
      </w:r>
      <w:hyperlink r:id="rId184">
        <w:r w:rsidDel="00000000" w:rsidR="00000000" w:rsidRPr="00000000">
          <w:rPr>
            <w:color w:val="1155cc"/>
            <w:u w:val="single"/>
            <w:rtl w:val="0"/>
          </w:rPr>
          <w:t xml:space="preserve">https://doi.org/10.1016/j.ebiom.2018.09.015</w:t>
        </w:r>
      </w:hyperlink>
      <w:r w:rsidDel="00000000" w:rsidR="00000000" w:rsidRPr="00000000">
        <w:rPr>
          <w:rtl w:val="0"/>
        </w:rPr>
      </w:r>
    </w:p>
    <w:p w:rsidR="00000000" w:rsidDel="00000000" w:rsidP="00000000" w:rsidRDefault="00000000" w:rsidRPr="00000000" w14:paraId="000001E9">
      <w:pPr>
        <w:numPr>
          <w:ilvl w:val="0"/>
          <w:numId w:val="1"/>
        </w:numPr>
        <w:ind w:left="720" w:hanging="360"/>
        <w:jc w:val="both"/>
      </w:pPr>
      <w:r w:rsidDel="00000000" w:rsidR="00000000" w:rsidRPr="00000000">
        <w:rPr>
          <w:rtl w:val="0"/>
        </w:rPr>
        <w:t xml:space="preserve">Zheng, B., Tuszynski, M. H., &amp; Jin, Y. (2021). Regeneration of the central nervous system through reprogramming. Cell Stem Cell, 28(2), 179–195. </w:t>
      </w:r>
      <w:hyperlink r:id="rId185">
        <w:r w:rsidDel="00000000" w:rsidR="00000000" w:rsidRPr="00000000">
          <w:rPr>
            <w:color w:val="1155cc"/>
            <w:u w:val="single"/>
            <w:rtl w:val="0"/>
          </w:rPr>
          <w:t xml:space="preserve">https://doi.org/10.1016/j.stem.2020.12.001</w:t>
        </w:r>
      </w:hyperlink>
      <w:r w:rsidDel="00000000" w:rsidR="00000000" w:rsidRPr="00000000">
        <w:rPr>
          <w:rtl w:val="0"/>
        </w:rPr>
      </w:r>
    </w:p>
    <w:p w:rsidR="00000000" w:rsidDel="00000000" w:rsidP="00000000" w:rsidRDefault="00000000" w:rsidRPr="00000000" w14:paraId="000001EA">
      <w:pPr>
        <w:numPr>
          <w:ilvl w:val="0"/>
          <w:numId w:val="1"/>
        </w:numPr>
        <w:ind w:left="720" w:hanging="360"/>
        <w:jc w:val="both"/>
      </w:pPr>
      <w:r w:rsidDel="00000000" w:rsidR="00000000" w:rsidRPr="00000000">
        <w:rPr>
          <w:rtl w:val="0"/>
        </w:rPr>
        <w:t xml:space="preserve">Zhong, X., Li, M., &amp; Zhang, H. (2022). CRISPR-based editing of centrosomal genes rescues ciliary defects in human cells. Science Advances, 8(12), eabm4644. </w:t>
      </w:r>
      <w:hyperlink r:id="rId186">
        <w:r w:rsidDel="00000000" w:rsidR="00000000" w:rsidRPr="00000000">
          <w:rPr>
            <w:color w:val="1155cc"/>
            <w:u w:val="single"/>
            <w:rtl w:val="0"/>
          </w:rPr>
          <w:t xml:space="preserve">https://doi.org/10.1126/sciadv.abm4644</w:t>
        </w:r>
      </w:hyperlink>
      <w:r w:rsidDel="00000000" w:rsidR="00000000" w:rsidRPr="00000000">
        <w:rPr>
          <w:rtl w:val="0"/>
        </w:rPr>
      </w:r>
    </w:p>
    <w:p w:rsidR="00000000" w:rsidDel="00000000" w:rsidP="00000000" w:rsidRDefault="00000000" w:rsidRPr="00000000" w14:paraId="000001EB">
      <w:pPr>
        <w:numPr>
          <w:ilvl w:val="0"/>
          <w:numId w:val="1"/>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EC">
      <w:pPr>
        <w:numPr>
          <w:ilvl w:val="0"/>
          <w:numId w:val="1"/>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ED">
      <w:pPr>
        <w:numPr>
          <w:ilvl w:val="0"/>
          <w:numId w:val="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EE">
      <w:pPr>
        <w:numPr>
          <w:ilvl w:val="0"/>
          <w:numId w:val="1"/>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EF">
      <w:pPr>
        <w:numPr>
          <w:ilvl w:val="0"/>
          <w:numId w:val="1"/>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F0">
      <w:pPr>
        <w:numPr>
          <w:ilvl w:val="0"/>
          <w:numId w:val="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ncb2220" TargetMode="External"/><Relationship Id="rId42" Type="http://schemas.openxmlformats.org/officeDocument/2006/relationships/hyperlink" Target="https://doi.org/10.1146/annurev-biochem-060614-034115" TargetMode="External"/><Relationship Id="rId41" Type="http://schemas.openxmlformats.org/officeDocument/2006/relationships/hyperlink" Target="https://doi.org/10.1016/j.neuron.2017.03.023" TargetMode="External"/><Relationship Id="rId44" Type="http://schemas.openxmlformats.org/officeDocument/2006/relationships/hyperlink" Target="https://doi.org/10.1111/j.1365-2125.2012.04272.x" TargetMode="External"/><Relationship Id="rId43" Type="http://schemas.openxmlformats.org/officeDocument/2006/relationships/hyperlink" Target="https://doi.org/10.1016/j.neuron.2014.04.024" TargetMode="External"/><Relationship Id="rId46" Type="http://schemas.openxmlformats.org/officeDocument/2006/relationships/hyperlink" Target="https://doi.org/10.1016/j.neuron.2016.04.022" TargetMode="External"/><Relationship Id="rId45" Type="http://schemas.openxmlformats.org/officeDocument/2006/relationships/hyperlink" Target="https://doi.org/10.1016/S0140-6736(06)69740-7" TargetMode="External"/><Relationship Id="rId107" Type="http://schemas.openxmlformats.org/officeDocument/2006/relationships/hyperlink" Target="https://doi.org/10.1016/j.conb.2014.02.011" TargetMode="External"/><Relationship Id="rId106" Type="http://schemas.openxmlformats.org/officeDocument/2006/relationships/hyperlink" Target="https://doi.org/10.1016/S0140-6736(20)32205-4" TargetMode="External"/><Relationship Id="rId105" Type="http://schemas.openxmlformats.org/officeDocument/2006/relationships/hyperlink" Target="https://doi.org/10.1016/S0140-6736(20)32205-4" TargetMode="External"/><Relationship Id="rId104" Type="http://schemas.openxmlformats.org/officeDocument/2006/relationships/hyperlink" Target="https://doi.org/10.1126/science.1127168" TargetMode="External"/><Relationship Id="rId109" Type="http://schemas.openxmlformats.org/officeDocument/2006/relationships/hyperlink" Target="https://doi.org/10.1371/journal.pbio.1002533" TargetMode="External"/><Relationship Id="rId108" Type="http://schemas.openxmlformats.org/officeDocument/2006/relationships/hyperlink" Target="https://doi.org/10.1016/S0140-6736(07)60031-2" TargetMode="External"/><Relationship Id="rId48" Type="http://schemas.openxmlformats.org/officeDocument/2006/relationships/hyperlink" Target="https://doi.org/10.1016/j.devcel.2010.08.013" TargetMode="External"/><Relationship Id="rId47" Type="http://schemas.openxmlformats.org/officeDocument/2006/relationships/hyperlink" Target="https://doi.org/10.1002/glia.22683" TargetMode="External"/><Relationship Id="rId186" Type="http://schemas.openxmlformats.org/officeDocument/2006/relationships/hyperlink" Target="https://doi.org/10.1126/sciadv.abm4644" TargetMode="External"/><Relationship Id="rId185" Type="http://schemas.openxmlformats.org/officeDocument/2006/relationships/hyperlink" Target="https://doi.org/10.1016/j.stem.2020.12.001" TargetMode="External"/><Relationship Id="rId49" Type="http://schemas.openxmlformats.org/officeDocument/2006/relationships/hyperlink" Target="https://doi.org/10.1056/NEJMra0804615" TargetMode="External"/><Relationship Id="rId184" Type="http://schemas.openxmlformats.org/officeDocument/2006/relationships/hyperlink" Target="https://doi.org/10.1016/j.ebiom.2018.09.015" TargetMode="External"/><Relationship Id="rId103" Type="http://schemas.openxmlformats.org/officeDocument/2006/relationships/hyperlink" Target="https://doi.org/10.1126/science.1217421" TargetMode="External"/><Relationship Id="rId102" Type="http://schemas.openxmlformats.org/officeDocument/2006/relationships/hyperlink" Target="https://doi.org/10.1146/annurev.physiol.69.040705.141236" TargetMode="External"/><Relationship Id="rId101" Type="http://schemas.openxmlformats.org/officeDocument/2006/relationships/hyperlink" Target="https://doi.org/10.1126/science.1174447" TargetMode="External"/><Relationship Id="rId100" Type="http://schemas.openxmlformats.org/officeDocument/2006/relationships/hyperlink" Target="https://doi.org/10.1016/S0140-6736(17)31868-8" TargetMode="External"/><Relationship Id="rId31" Type="http://schemas.openxmlformats.org/officeDocument/2006/relationships/hyperlink" Target="https://doi.org/10.1007/s10815-021-02169-2" TargetMode="External"/><Relationship Id="rId30" Type="http://schemas.openxmlformats.org/officeDocument/2006/relationships/hyperlink" Target="https://doi.org/10.1016/j.dental.2011.09.003" TargetMode="External"/><Relationship Id="rId33" Type="http://schemas.openxmlformats.org/officeDocument/2006/relationships/hyperlink" Target="https://doi.org/10.1093/nar/gkw470" TargetMode="External"/><Relationship Id="rId183" Type="http://schemas.openxmlformats.org/officeDocument/2006/relationships/hyperlink" Target="https://doi.org/10" TargetMode="External"/><Relationship Id="rId32" Type="http://schemas.openxmlformats.org/officeDocument/2006/relationships/hyperlink" Target="https://doi.org/10.1016/j.cell.2014.03.026" TargetMode="External"/><Relationship Id="rId182" Type="http://schemas.openxmlformats.org/officeDocument/2006/relationships/hyperlink" Target="https://doi.org/10.1242/jcs.258420" TargetMode="External"/><Relationship Id="rId35" Type="http://schemas.openxmlformats.org/officeDocument/2006/relationships/hyperlink" Target="https://doi.org/10.1016/j.fertnstert.2013.11.004" TargetMode="External"/><Relationship Id="rId181" Type="http://schemas.openxmlformats.org/officeDocument/2006/relationships/hyperlink" Target="https://doi.org/10.14336/AD.2020.0219" TargetMode="External"/><Relationship Id="rId34" Type="http://schemas.openxmlformats.org/officeDocument/2006/relationships/hyperlink" Target="https://doi.org/10.4161/cc.9.10.11582" TargetMode="External"/><Relationship Id="rId180" Type="http://schemas.openxmlformats.org/officeDocument/2006/relationships/hyperlink" Target="https://doi.org/10.3389/fcell.2018.00008" TargetMode="External"/><Relationship Id="rId37" Type="http://schemas.openxmlformats.org/officeDocument/2006/relationships/hyperlink" Target="https://doi.org/10.1101/cshperspect.a015800" TargetMode="External"/><Relationship Id="rId176" Type="http://schemas.openxmlformats.org/officeDocument/2006/relationships/hyperlink" Target="https://doi.org/10.1038/s41556-021-00643-8" TargetMode="External"/><Relationship Id="rId36" Type="http://schemas.openxmlformats.org/officeDocument/2006/relationships/hyperlink" Target="https://doi.org/10.1016/j.cub.2013.11.064" TargetMode="External"/><Relationship Id="rId175" Type="http://schemas.openxmlformats.org/officeDocument/2006/relationships/hyperlink" Target="https://doi.org/10.1371/journal.pone.0008772" TargetMode="External"/><Relationship Id="rId39" Type="http://schemas.openxmlformats.org/officeDocument/2006/relationships/hyperlink" Target="https://doi.org/10.1016/j.conb.2014.02.012" TargetMode="External"/><Relationship Id="rId174" Type="http://schemas.openxmlformats.org/officeDocument/2006/relationships/hyperlink" Target="https://doi.org/10.1126/science.aac4854" TargetMode="External"/><Relationship Id="rId38" Type="http://schemas.openxmlformats.org/officeDocument/2006/relationships/hyperlink" Target="https://doi.org/10.1038/s41591-018-0165-9" TargetMode="External"/><Relationship Id="rId173" Type="http://schemas.openxmlformats.org/officeDocument/2006/relationships/hyperlink" Target="https://doi.org/10.1097/ICL.0000000000000381" TargetMode="External"/><Relationship Id="rId179" Type="http://schemas.openxmlformats.org/officeDocument/2006/relationships/hyperlink" Target="https://doi.org/10.1159/000447020" TargetMode="External"/><Relationship Id="rId178" Type="http://schemas.openxmlformats.org/officeDocument/2006/relationships/hyperlink" Target="https://doi.org/10.1007/s00784-012-0887-x" TargetMode="External"/><Relationship Id="rId177" Type="http://schemas.openxmlformats.org/officeDocument/2006/relationships/hyperlink" Target="https://doi.org/10.1111/nure.12077" TargetMode="External"/><Relationship Id="rId20" Type="http://schemas.openxmlformats.org/officeDocument/2006/relationships/hyperlink" Target="https://doi.org/10.1172/JCI64125" TargetMode="External"/><Relationship Id="rId22" Type="http://schemas.openxmlformats.org/officeDocument/2006/relationships/hyperlink" Target="https://doi.org/10.1038/nrcardio.2016.203" TargetMode="External"/><Relationship Id="rId21" Type="http://schemas.openxmlformats.org/officeDocument/2006/relationships/hyperlink" Target="https://doi.org/10.1016/j.tem.2007.01.004" TargetMode="External"/><Relationship Id="rId24" Type="http://schemas.openxmlformats.org/officeDocument/2006/relationships/hyperlink" Target="https://doi.org/10.1016/j.preteyeres.2018.03.003" TargetMode="External"/><Relationship Id="rId23" Type="http://schemas.openxmlformats.org/officeDocument/2006/relationships/hyperlink" Target="https://doi.org/10.1016/S0891-5849(02)00959-0" TargetMode="External"/><Relationship Id="rId129" Type="http://schemas.openxmlformats.org/officeDocument/2006/relationships/hyperlink" Target="https://doi.org/10.52340/gs.2024.06.02.32" TargetMode="External"/><Relationship Id="rId128" Type="http://schemas.openxmlformats.org/officeDocument/2006/relationships/hyperlink" Target="https://doi.org/10.52340/gs.2024.06.04.08" TargetMode="External"/><Relationship Id="rId127" Type="http://schemas.openxmlformats.org/officeDocument/2006/relationships/hyperlink" Target="https://doi.org/10.52340/2023.01.01.15" TargetMode="External"/><Relationship Id="rId126" Type="http://schemas.openxmlformats.org/officeDocument/2006/relationships/hyperlink" Target="https://doi.org/10.52340/2023.01.01.17" TargetMode="External"/><Relationship Id="rId26" Type="http://schemas.openxmlformats.org/officeDocument/2006/relationships/hyperlink" Target="https://doi.org/10.1073/pnas.0506001102" TargetMode="External"/><Relationship Id="rId121" Type="http://schemas.openxmlformats.org/officeDocument/2006/relationships/hyperlink" Target="https://doi.org/10.1038/nrn.2016.178" TargetMode="External"/><Relationship Id="rId25" Type="http://schemas.openxmlformats.org/officeDocument/2006/relationships/hyperlink" Target="https://doi.org/10.3791/60469" TargetMode="External"/><Relationship Id="rId120" Type="http://schemas.openxmlformats.org/officeDocument/2006/relationships/hyperlink" Target="https://doi.org/10.1016/j.molcel.2015.10.009" TargetMode="External"/><Relationship Id="rId28" Type="http://schemas.openxmlformats.org/officeDocument/2006/relationships/hyperlink" Target="https://doi.org/10.1016/j.fertnstert.2018.02.135" TargetMode="External"/><Relationship Id="rId27" Type="http://schemas.openxmlformats.org/officeDocument/2006/relationships/hyperlink" Target="https://doi.org/10.1016/j.devcel.2019.01.022" TargetMode="External"/><Relationship Id="rId125" Type="http://schemas.openxmlformats.org/officeDocument/2006/relationships/hyperlink" Target="https://doi.org/10.52340/2023.05.03.22" TargetMode="External"/><Relationship Id="rId29" Type="http://schemas.openxmlformats.org/officeDocument/2006/relationships/hyperlink" Target="https://doi.org/10.1016/j.cell.2008.11.037" TargetMode="External"/><Relationship Id="rId124" Type="http://schemas.openxmlformats.org/officeDocument/2006/relationships/hyperlink" Target="https://doi.org/10.52340/2023.05.03.15" TargetMode="External"/><Relationship Id="rId123" Type="http://schemas.openxmlformats.org/officeDocument/2006/relationships/hyperlink" Target="https://doi.org/10.1126/scitranslmed.3004925" TargetMode="External"/><Relationship Id="rId122" Type="http://schemas.openxmlformats.org/officeDocument/2006/relationships/hyperlink" Target="https://doi.org/10.1016/j.conb.2016.12.005" TargetMode="External"/><Relationship Id="rId95" Type="http://schemas.openxmlformats.org/officeDocument/2006/relationships/hyperlink" Target="https://doi.org/10.1016/j.cub.2007.11.050" TargetMode="External"/><Relationship Id="rId94" Type="http://schemas.openxmlformats.org/officeDocument/2006/relationships/hyperlink" Target="https://doi.org/10.1196/annals.1356.029" TargetMode="External"/><Relationship Id="rId97" Type="http://schemas.openxmlformats.org/officeDocument/2006/relationships/hyperlink" Target="https://doi.org/10.1016/j.actbio.2014.03.018" TargetMode="External"/><Relationship Id="rId96" Type="http://schemas.openxmlformats.org/officeDocument/2006/relationships/hyperlink" Target="https://doi.org/10.1073/pnas.1215355110" TargetMode="External"/><Relationship Id="rId11" Type="http://schemas.openxmlformats.org/officeDocument/2006/relationships/hyperlink" Target="https://doi.org/10.52340/gs.2025.07.01.26" TargetMode="External"/><Relationship Id="rId99" Type="http://schemas.openxmlformats.org/officeDocument/2006/relationships/hyperlink" Target="https://doi.org/10.1016/j.rbmo.2019.01.007" TargetMode="External"/><Relationship Id="rId10" Type="http://schemas.openxmlformats.org/officeDocument/2006/relationships/hyperlink" Target="https://doi.org/10.1038/nrdp.2017.18" TargetMode="External"/><Relationship Id="rId98" Type="http://schemas.openxmlformats.org/officeDocument/2006/relationships/hyperlink" Target="https://doi.org/10.1084/jem.20150956" TargetMode="External"/><Relationship Id="rId13" Type="http://schemas.openxmlformats.org/officeDocument/2006/relationships/hyperlink" Target="https://doi.org/10.1038/nn.4541" TargetMode="External"/><Relationship Id="rId12" Type="http://schemas.openxmlformats.org/officeDocument/2006/relationships/hyperlink" Target="https://doi.org/10.1016/S0140-6736(05)70803-5" TargetMode="External"/><Relationship Id="rId91" Type="http://schemas.openxmlformats.org/officeDocument/2006/relationships/hyperlink" Target="https://doi.org/10.1016/S0300-5712(99)00066-4" TargetMode="External"/><Relationship Id="rId90" Type="http://schemas.openxmlformats.org/officeDocument/2006/relationships/hyperlink" Target="https://doi.org/10.1016/S0955-0674(02)00012-1" TargetMode="External"/><Relationship Id="rId93" Type="http://schemas.openxmlformats.org/officeDocument/2006/relationships/hyperlink" Target="https://doi.org/10.1038/nrdp.2017.30" TargetMode="External"/><Relationship Id="rId92" Type="http://schemas.openxmlformats.org/officeDocument/2006/relationships/hyperlink" Target="https://doi.org/10.1016/j.neuron.2014.12.007" TargetMode="External"/><Relationship Id="rId118" Type="http://schemas.openxmlformats.org/officeDocument/2006/relationships/hyperlink" Target="https://doi.org/10.1073/pnas.1500624112" TargetMode="External"/><Relationship Id="rId117" Type="http://schemas.openxmlformats.org/officeDocument/2006/relationships/hyperlink" Target="https://doi.org/10.1016/j.preteyeres.2011.12.001" TargetMode="External"/><Relationship Id="rId116" Type="http://schemas.openxmlformats.org/officeDocument/2006/relationships/hyperlink" Target="https://doi.org/10.3389/fphys.2016.00435" TargetMode="External"/><Relationship Id="rId115" Type="http://schemas.openxmlformats.org/officeDocument/2006/relationships/hyperlink" Target="https://doi.org/10.1016/j.pbiomolbio.2014.02.006" TargetMode="External"/><Relationship Id="rId119" Type="http://schemas.openxmlformats.org/officeDocument/2006/relationships/hyperlink" Target="https://doi.org/10.1016/j.molcel.2016.01.028" TargetMode="External"/><Relationship Id="rId15" Type="http://schemas.openxmlformats.org/officeDocument/2006/relationships/hyperlink" Target="https://doi.org/10.1073/pnas.1400568111" TargetMode="External"/><Relationship Id="rId110" Type="http://schemas.openxmlformats.org/officeDocument/2006/relationships/hyperlink" Target="https://doi.org/10.1016/j.bbagen.2009.05.008" TargetMode="External"/><Relationship Id="rId14" Type="http://schemas.openxmlformats.org/officeDocument/2006/relationships/hyperlink" Target="https://doi.org/10.1098/rstb.2010.0302" TargetMode="External"/><Relationship Id="rId17" Type="http://schemas.openxmlformats.org/officeDocument/2006/relationships/hyperlink" Target="https://doi.org/10.1016/j.pbiomolbio.2003.11.012" TargetMode="External"/><Relationship Id="rId16" Type="http://schemas.openxmlformats.org/officeDocument/2006/relationships/hyperlink" Target="https://doi.org/10.1038/s41467-019-12185-7" TargetMode="External"/><Relationship Id="rId19" Type="http://schemas.openxmlformats.org/officeDocument/2006/relationships/hyperlink" Target="https://doi.org/10.1038/s41467-019-11723-7" TargetMode="External"/><Relationship Id="rId114" Type="http://schemas.openxmlformats.org/officeDocument/2006/relationships/hyperlink" Target="https://doi.org/10.1177/0022034510375829" TargetMode="External"/><Relationship Id="rId18" Type="http://schemas.openxmlformats.org/officeDocument/2006/relationships/hyperlink" Target="https://doi.org/10.1016/j.jdent.2016.10.010" TargetMode="External"/><Relationship Id="rId113" Type="http://schemas.openxmlformats.org/officeDocument/2006/relationships/hyperlink" Target="https://doi.org/10.1146/annurev-biochem-061516-045037" TargetMode="External"/><Relationship Id="rId112" Type="http://schemas.openxmlformats.org/officeDocument/2006/relationships/hyperlink" Target="https://doi.org/10.1242/jcs.162511" TargetMode="External"/><Relationship Id="rId111" Type="http://schemas.openxmlformats.org/officeDocument/2006/relationships/hyperlink" Target="https://doi.org/10.1007/s00018-019-03391-z" TargetMode="External"/><Relationship Id="rId84" Type="http://schemas.openxmlformats.org/officeDocument/2006/relationships/hyperlink" Target="https://doi.org/10.1038/nrd.2018.174" TargetMode="External"/><Relationship Id="rId83" Type="http://schemas.openxmlformats.org/officeDocument/2006/relationships/hyperlink" Target="https://doi.org/10.3389/fnins.2018.00464" TargetMode="External"/><Relationship Id="rId86" Type="http://schemas.openxmlformats.org/officeDocument/2006/relationships/hyperlink" Target="https://doi.org/10.1038/nrm.2017.127" TargetMode="External"/><Relationship Id="rId85" Type="http://schemas.openxmlformats.org/officeDocument/2006/relationships/hyperlink" Target="https://doi.org/10.1083/jcb.200809125" TargetMode="External"/><Relationship Id="rId88" Type="http://schemas.openxmlformats.org/officeDocument/2006/relationships/hyperlink" Target="https://doi.org/10.1136/bmj.320.7251.1708" TargetMode="External"/><Relationship Id="rId150" Type="http://schemas.openxmlformats.org/officeDocument/2006/relationships/hyperlink" Target="https://doi.org/10.5281/zenodo.14837352" TargetMode="External"/><Relationship Id="rId87" Type="http://schemas.openxmlformats.org/officeDocument/2006/relationships/hyperlink" Target="https://doi.org/10.1038/nm.3232" TargetMode="External"/><Relationship Id="rId89" Type="http://schemas.openxmlformats.org/officeDocument/2006/relationships/hyperlink" Target="https://doi.org/10.1161/CIRCRESAHA.119.315939" TargetMode="External"/><Relationship Id="rId80" Type="http://schemas.openxmlformats.org/officeDocument/2006/relationships/hyperlink" Target="https://doi.org/10.1016/j.preteyeres.2015.06.001" TargetMode="External"/><Relationship Id="rId82" Type="http://schemas.openxmlformats.org/officeDocument/2006/relationships/hyperlink" Target="https://doi.org/10.1126/scitranslmed.abj2854" TargetMode="External"/><Relationship Id="rId81" Type="http://schemas.openxmlformats.org/officeDocument/2006/relationships/hyperlink" Target="https://doi.org/10.1016/j.molmed.2012.03.0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5281/zenodo.15042448" TargetMode="External"/><Relationship Id="rId4" Type="http://schemas.openxmlformats.org/officeDocument/2006/relationships/numbering" Target="numbering.xml"/><Relationship Id="rId148" Type="http://schemas.openxmlformats.org/officeDocument/2006/relationships/hyperlink" Target="https://doi.org/10.5281/zenodo.14742232" TargetMode="External"/><Relationship Id="rId9" Type="http://schemas.openxmlformats.org/officeDocument/2006/relationships/hyperlink" Target="mailto:jtkemaladze@longevity.ge" TargetMode="External"/><Relationship Id="rId143" Type="http://schemas.openxmlformats.org/officeDocument/2006/relationships/hyperlink" Target="http://dx.doi.org/10.13140/RG.2.2.27441.70245/1" TargetMode="External"/><Relationship Id="rId142" Type="http://schemas.openxmlformats.org/officeDocument/2006/relationships/hyperlink" Target="http://dx.doi.org/10.13140/RG.2.2.19153.03680" TargetMode="External"/><Relationship Id="rId141" Type="http://schemas.openxmlformats.org/officeDocument/2006/relationships/hyperlink" Target="http://dx.doi.org/10.13140/RG.2.2.23348.97929/1" TargetMode="External"/><Relationship Id="rId140" Type="http://schemas.openxmlformats.org/officeDocument/2006/relationships/hyperlink" Target="http://dx.doi.org/10.13140/RG.2.2.13208.51204" TargetMode="External"/><Relationship Id="rId5" Type="http://schemas.openxmlformats.org/officeDocument/2006/relationships/styles" Target="styles.xml"/><Relationship Id="rId147" Type="http://schemas.openxmlformats.org/officeDocument/2006/relationships/hyperlink" Target="https://doi.org/10.5281/zenodo.14955643" TargetMode="External"/><Relationship Id="rId6" Type="http://schemas.openxmlformats.org/officeDocument/2006/relationships/hyperlink" Target="https://orcid.org/0000-0001-8651-7243" TargetMode="External"/><Relationship Id="rId146" Type="http://schemas.openxmlformats.org/officeDocument/2006/relationships/hyperlink" Target="http://dx.doi.org/10.13140/RG.2.2.34917.31206" TargetMode="External"/><Relationship Id="rId7" Type="http://schemas.openxmlformats.org/officeDocument/2006/relationships/hyperlink" Target="https://mailto:jtkemaladze@longevity.ge/" TargetMode="External"/><Relationship Id="rId145" Type="http://schemas.openxmlformats.org/officeDocument/2006/relationships/hyperlink" Target="http://dx.doi.org/10.13140/RG.2.2.16105.61286" TargetMode="External"/><Relationship Id="rId8" Type="http://schemas.openxmlformats.org/officeDocument/2006/relationships/hyperlink" Target="https://orcid.org/0000-0001-8651-7243" TargetMode="External"/><Relationship Id="rId144" Type="http://schemas.openxmlformats.org/officeDocument/2006/relationships/hyperlink" Target="http://dx.doi.org/10.13140/RG.2.2.28347.73769/1" TargetMode="External"/><Relationship Id="rId73" Type="http://schemas.openxmlformats.org/officeDocument/2006/relationships/hyperlink" Target="https://doi.org/10.1016/j.cell.2013.05.039" TargetMode="External"/><Relationship Id="rId72" Type="http://schemas.openxmlformats.org/officeDocument/2006/relationships/hyperlink" Target="https://doi.org/10.1111/acel.12552" TargetMode="External"/><Relationship Id="rId75" Type="http://schemas.openxmlformats.org/officeDocument/2006/relationships/hyperlink" Target="https://doi.org/10.1159/000359936" TargetMode="External"/><Relationship Id="rId74" Type="http://schemas.openxmlformats.org/officeDocument/2006/relationships/hyperlink" Target="https://doi.org/10.1038/nature02661" TargetMode="External"/><Relationship Id="rId77" Type="http://schemas.openxmlformats.org/officeDocument/2006/relationships/hyperlink" Target="https://doi.org/10.1126/science.aac9145" TargetMode="External"/><Relationship Id="rId76" Type="http://schemas.openxmlformats.org/officeDocument/2006/relationships/hyperlink" Target="https://doi.org/10.1016/j.cell.2015.05.032" TargetMode="External"/><Relationship Id="rId79" Type="http://schemas.openxmlformats.org/officeDocument/2006/relationships/hyperlink" Target="https://doi.org/10.1101/cshperspect.a025130" TargetMode="External"/><Relationship Id="rId78" Type="http://schemas.openxmlformats.org/officeDocument/2006/relationships/hyperlink" Target="https://doi.org/10.1093/humupd/dmw028" TargetMode="External"/><Relationship Id="rId71" Type="http://schemas.openxmlformats.org/officeDocument/2006/relationships/hyperlink" Target="https://doi.org/10.1126/science.aao4426" TargetMode="External"/><Relationship Id="rId70" Type="http://schemas.openxmlformats.org/officeDocument/2006/relationships/hyperlink" Target="https://doi.org/10.1152/ajpendo.00055.2010" TargetMode="External"/><Relationship Id="rId139" Type="http://schemas.openxmlformats.org/officeDocument/2006/relationships/hyperlink" Target="http://dx.doi.org/10.13140/RG.2.2.25803.30249" TargetMode="External"/><Relationship Id="rId138" Type="http://schemas.openxmlformats.org/officeDocument/2006/relationships/hyperlink" Target="http://dx.doi.org/10.13140/RG.2.2.15014.02887/1" TargetMode="External"/><Relationship Id="rId137" Type="http://schemas.openxmlformats.org/officeDocument/2006/relationships/hyperlink" Target="http://dx.doi.org/10.13140/RG.2.2.12890.66248/1" TargetMode="External"/><Relationship Id="rId132" Type="http://schemas.openxmlformats.org/officeDocument/2006/relationships/hyperlink" Target="https://doi.org/10.52340/gs.2024.06.04.21" TargetMode="External"/><Relationship Id="rId131" Type="http://schemas.openxmlformats.org/officeDocument/2006/relationships/hyperlink" Target="https://doi.org/10.52340/gs.2024.06.02.44" TargetMode="External"/><Relationship Id="rId130" Type="http://schemas.openxmlformats.org/officeDocument/2006/relationships/hyperlink" Target="https://doi.org/10.52340/gs.2024.06.04.25" TargetMode="External"/><Relationship Id="rId136" Type="http://schemas.openxmlformats.org/officeDocument/2006/relationships/hyperlink" Target="http://dx.doi.org/10.13140/RG.2.2.12721.08807" TargetMode="External"/><Relationship Id="rId135" Type="http://schemas.openxmlformats.org/officeDocument/2006/relationships/hyperlink" Target="http://dx.doi.org/10.13140/RG.2.2.27711.62884" TargetMode="External"/><Relationship Id="rId134" Type="http://schemas.openxmlformats.org/officeDocument/2006/relationships/hyperlink" Target="http://dx.doi.org/10.13140/RG.2.2.16706.49607" TargetMode="External"/><Relationship Id="rId133" Type="http://schemas.openxmlformats.org/officeDocument/2006/relationships/hyperlink" Target="http://dx.doi.org/10.13140/RG.2.2.24481.11366" TargetMode="External"/><Relationship Id="rId62" Type="http://schemas.openxmlformats.org/officeDocument/2006/relationships/hyperlink" Target="https://doi.org/10.52340/2023.01.01.19" TargetMode="External"/><Relationship Id="rId61" Type="http://schemas.openxmlformats.org/officeDocument/2006/relationships/hyperlink" Target="https://doi.org/10.1073/pnas.2011636117" TargetMode="External"/><Relationship Id="rId64" Type="http://schemas.openxmlformats.org/officeDocument/2006/relationships/hyperlink" Target="https://doi.org/10.52340/jr.2024.02.02.12" TargetMode="External"/><Relationship Id="rId63" Type="http://schemas.openxmlformats.org/officeDocument/2006/relationships/hyperlink" Target="https://doi.org/10.52340/2023.01.01.20" TargetMode="External"/><Relationship Id="rId66" Type="http://schemas.openxmlformats.org/officeDocument/2006/relationships/hyperlink" Target="https://doi.org/10.1177/0022034517703828" TargetMode="External"/><Relationship Id="rId172" Type="http://schemas.openxmlformats.org/officeDocument/2006/relationships/hyperlink" Target="https://doi.org/10.1016/j.mito.2010.09.012" TargetMode="External"/><Relationship Id="rId65" Type="http://schemas.openxmlformats.org/officeDocument/2006/relationships/hyperlink" Target="https://doi.org/10.1177/0022034517703828" TargetMode="External"/><Relationship Id="rId171" Type="http://schemas.openxmlformats.org/officeDocument/2006/relationships/hyperlink" Target="https://doi.org/10.1016/j.exer.2004.12.007" TargetMode="External"/><Relationship Id="rId68" Type="http://schemas.openxmlformats.org/officeDocument/2006/relationships/hyperlink" Target="https://doi.org/10.1007/s00418-008-0394-y" TargetMode="External"/><Relationship Id="rId170" Type="http://schemas.openxmlformats.org/officeDocument/2006/relationships/hyperlink" Target="https://dx.doi.org/10.2139/ssrn.4633202" TargetMode="External"/><Relationship Id="rId67" Type="http://schemas.openxmlformats.org/officeDocument/2006/relationships/hyperlink" Target="https://doi.org/10.1002/acn3.581" TargetMode="External"/><Relationship Id="rId60" Type="http://schemas.openxmlformats.org/officeDocument/2006/relationships/hyperlink" Target="https://doi.org/10.1016/j.preteyeres.2020.100858" TargetMode="External"/><Relationship Id="rId165" Type="http://schemas.openxmlformats.org/officeDocument/2006/relationships/hyperlink" Target="https://doi.org/10.5281/zenodo.14897688" TargetMode="External"/><Relationship Id="rId69" Type="http://schemas.openxmlformats.org/officeDocument/2006/relationships/hyperlink" Target="https://doi.org/10.1016/j.stem.2020.04.003" TargetMode="External"/><Relationship Id="rId164" Type="http://schemas.openxmlformats.org/officeDocument/2006/relationships/hyperlink" Target="http://dx.doi.org/10.13140/RG.2.2.18943.32169/1" TargetMode="External"/><Relationship Id="rId163" Type="http://schemas.openxmlformats.org/officeDocument/2006/relationships/hyperlink" Target="http://dx.doi.org/10.13140/RG.2.2.34655.57768" TargetMode="External"/><Relationship Id="rId162" Type="http://schemas.openxmlformats.org/officeDocument/2006/relationships/hyperlink" Target="https://doi.org/10.5281/zenodo.14752664" TargetMode="External"/><Relationship Id="rId169" Type="http://schemas.openxmlformats.org/officeDocument/2006/relationships/hyperlink" Target="https://ssrn.com/abstract=4633202" TargetMode="External"/><Relationship Id="rId168" Type="http://schemas.openxmlformats.org/officeDocument/2006/relationships/hyperlink" Target="https://doi.org/10.52340/gs.2024.06.02.04" TargetMode="External"/><Relationship Id="rId167" Type="http://schemas.openxmlformats.org/officeDocument/2006/relationships/hyperlink" Target="http://dx.doi.org/10.13140/RG.2.2.31113.35685" TargetMode="External"/><Relationship Id="rId166" Type="http://schemas.openxmlformats.org/officeDocument/2006/relationships/hyperlink" Target="https://doi.org/10.52340/gs.2024.06.04.38" TargetMode="External"/><Relationship Id="rId51" Type="http://schemas.openxmlformats.org/officeDocument/2006/relationships/hyperlink" Target="https://doi.org/10.1016/j.redox.2016.12.001" TargetMode="External"/><Relationship Id="rId50" Type="http://schemas.openxmlformats.org/officeDocument/2006/relationships/hyperlink" Target="https://doi.org/10.1159/000350727" TargetMode="External"/><Relationship Id="rId53" Type="http://schemas.openxmlformats.org/officeDocument/2006/relationships/hyperlink" Target="https://doi.org/10.1038/s41582-019-0244-7" TargetMode="External"/><Relationship Id="rId52" Type="http://schemas.openxmlformats.org/officeDocument/2006/relationships/hyperlink" Target="https://doi.org/10.1016/S0014-4835(02)00278-6" TargetMode="External"/><Relationship Id="rId55" Type="http://schemas.openxmlformats.org/officeDocument/2006/relationships/hyperlink" Target="https://doi.org/10.1083/jcb.201212110" TargetMode="External"/><Relationship Id="rId161" Type="http://schemas.openxmlformats.org/officeDocument/2006/relationships/hyperlink" Target="https://doi.org/10.5281/zenodo.14889948" TargetMode="External"/><Relationship Id="rId54" Type="http://schemas.openxmlformats.org/officeDocument/2006/relationships/hyperlink" Target="https://doi.org/10.1002/dvdy.21554" TargetMode="External"/><Relationship Id="rId160" Type="http://schemas.openxmlformats.org/officeDocument/2006/relationships/hyperlink" Target="https://doi.org/10.5281/zenodo.14895222" TargetMode="External"/><Relationship Id="rId57" Type="http://schemas.openxmlformats.org/officeDocument/2006/relationships/hyperlink" Target="https://doi.org/10.1038/s41580-020-00324-8" TargetMode="External"/><Relationship Id="rId56" Type="http://schemas.openxmlformats.org/officeDocument/2006/relationships/hyperlink" Target="https://doi.org/10.1038/nature09603" TargetMode="External"/><Relationship Id="rId159" Type="http://schemas.openxmlformats.org/officeDocument/2006/relationships/hyperlink" Target="https://doi.org/10.5281/10.5281/zenodo.14778927" TargetMode="External"/><Relationship Id="rId59" Type="http://schemas.openxmlformats.org/officeDocument/2006/relationships/hyperlink" Target="https://doi.org/10.1196/annals.1404.008" TargetMode="External"/><Relationship Id="rId154" Type="http://schemas.openxmlformats.org/officeDocument/2006/relationships/hyperlink" Target="https://doi.org/10.5281/zenodo.14676208" TargetMode="External"/><Relationship Id="rId58" Type="http://schemas.openxmlformats.org/officeDocument/2006/relationships/hyperlink" Target="https://doi.org/10.1016/j.jdent.2018.04.018" TargetMode="External"/><Relationship Id="rId153" Type="http://schemas.openxmlformats.org/officeDocument/2006/relationships/hyperlink" Target="https://doi.org/10.5281/zenodo.14689276" TargetMode="External"/><Relationship Id="rId152" Type="http://schemas.openxmlformats.org/officeDocument/2006/relationships/hyperlink" Target="https://doi.org/10.5281/zenodo.14688792" TargetMode="External"/><Relationship Id="rId151" Type="http://schemas.openxmlformats.org/officeDocument/2006/relationships/hyperlink" Target="https://doi.org/10.5281/zenodo.14876013" TargetMode="External"/><Relationship Id="rId158" Type="http://schemas.openxmlformats.org/officeDocument/2006/relationships/hyperlink" Target="https://doi.org/10.5281/zenodo.14708980" TargetMode="External"/><Relationship Id="rId157" Type="http://schemas.openxmlformats.org/officeDocument/2006/relationships/hyperlink" Target="https://doi.org/10.5281/zenodo.14635991" TargetMode="External"/><Relationship Id="rId156" Type="http://schemas.openxmlformats.org/officeDocument/2006/relationships/hyperlink" Target="https://doi.org/10.5281/zenodo.14642407" TargetMode="External"/><Relationship Id="rId155" Type="http://schemas.openxmlformats.org/officeDocument/2006/relationships/hyperlink" Target="https://doi.org/10.5281/zenodo.146819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