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both"/>
        <w:rPr/>
      </w:pPr>
      <w:bookmarkStart w:colFirst="0" w:colLast="0" w:name="_iazl3wcd12va" w:id="0"/>
      <w:bookmarkEnd w:id="0"/>
      <w:r w:rsidDel="00000000" w:rsidR="00000000" w:rsidRPr="00000000">
        <w:rPr>
          <w:rtl w:val="0"/>
        </w:rPr>
        <w:t xml:space="preserve">Индукция примордиальных клеток, подобных зародышевым клеткам (PGCLCs)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t xml:space="preserve">Джаба Ткемаладзе¹</w:t>
      </w:r>
    </w:p>
    <w:p w:rsidR="00000000" w:rsidDel="00000000" w:rsidP="00000000" w:rsidRDefault="00000000" w:rsidRPr="00000000" w14:paraId="00000004">
      <w:pPr>
        <w:jc w:val="right"/>
        <w:rPr/>
      </w:pPr>
      <w:r w:rsidDel="00000000" w:rsidR="00000000" w:rsidRPr="00000000">
        <w:rPr>
          <w:rtl w:val="0"/>
        </w:rPr>
        <w:t xml:space="preserve">¹Директор исследований, Longevity Clinic, Inc, Georgia</w:t>
      </w:r>
    </w:p>
    <w:p w:rsidR="00000000" w:rsidDel="00000000" w:rsidP="00000000" w:rsidRDefault="00000000" w:rsidRPr="00000000" w14:paraId="00000005">
      <w:pPr>
        <w:jc w:val="right"/>
        <w:rPr/>
      </w:pPr>
      <w:hyperlink r:id="rId6">
        <w:r w:rsidDel="00000000" w:rsidR="00000000" w:rsidRPr="00000000">
          <w:rPr>
            <w:color w:val="1155cc"/>
            <w:u w:val="single"/>
            <w:rtl w:val="0"/>
          </w:rPr>
          <w:t xml:space="preserve">https://orcid.org/0000-0001-8651-7243</w:t>
        </w:r>
      </w:hyperlink>
      <w:r w:rsidDel="00000000" w:rsidR="00000000" w:rsidRPr="00000000">
        <w:rPr>
          <w:rtl w:val="0"/>
        </w:rPr>
        <w:t xml:space="preserve"> ; </w:t>
      </w:r>
      <w:hyperlink r:id="rId7">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6">
      <w:pPr>
        <w:pStyle w:val="Heading1"/>
        <w:jc w:val="both"/>
        <w:rPr/>
      </w:pPr>
      <w:bookmarkStart w:colFirst="0" w:colLast="0" w:name="_hwkoh6fykwbh" w:id="1"/>
      <w:bookmarkEnd w:id="1"/>
      <w:r w:rsidDel="00000000" w:rsidR="00000000" w:rsidRPr="00000000">
        <w:rPr>
          <w:rtl w:val="0"/>
        </w:rPr>
        <w:t xml:space="preserve">Абстракт</w:t>
      </w:r>
    </w:p>
    <w:p w:rsidR="00000000" w:rsidDel="00000000" w:rsidP="00000000" w:rsidRDefault="00000000" w:rsidRPr="00000000" w14:paraId="00000007">
      <w:pPr>
        <w:jc w:val="both"/>
        <w:rPr/>
      </w:pPr>
      <w:r w:rsidDel="00000000" w:rsidR="00000000" w:rsidRPr="00000000">
        <w:rPr>
          <w:rtl w:val="0"/>
        </w:rPr>
        <w:t xml:space="preserve">Исследования примордиальных клеток, подобных зародышевым (PGCLCs), представляют собой перспективное направление в репродуктивной биологии и регенеративной медицине. PGCLCs, полученные из плюрипотентных стволовых клеток или соматических клеток, служат моделью для изучения гаметогенеза, эпигенетического репрограммирования и механизмов бесплодия. Ключевые достижения включают разработку протоколов дифференцировки с использованием факторов BMP, WNT и ретиноевой кислоты, а также прямое репрограммирование соматических клеток. Однако остаются проблемы, такие как неполное эпигенетическое репрограммирование и низкая эффективность дифференцировки, особенно для человеческих клеток. Применение PGCLCs охватывает лечение бесплодия, генетическую коррекцию наследственных заболеваний и сохранение биоразнообразия. Этические и регуляторные аспекты, включая статус искусственных гамет и риски для потомства, требуют дальнейшего обсуждения.</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Ключевые слова:</w:t>
      </w:r>
      <w:r w:rsidDel="00000000" w:rsidR="00000000" w:rsidRPr="00000000">
        <w:rPr>
          <w:rtl w:val="0"/>
        </w:rPr>
        <w:t xml:space="preserve"> PGCLCs, примордиальные зародышевые клетки, плюрипотентные стволовые клетки, эпигенетическое репрограммирование, гаметогенез, бесплодие, репродуктивная медицина</w:t>
      </w:r>
    </w:p>
    <w:p w:rsidR="00000000" w:rsidDel="00000000" w:rsidP="00000000" w:rsidRDefault="00000000" w:rsidRPr="00000000" w14:paraId="0000000A">
      <w:pPr>
        <w:pStyle w:val="Heading1"/>
        <w:jc w:val="both"/>
        <w:rPr/>
      </w:pPr>
      <w:bookmarkStart w:colFirst="0" w:colLast="0" w:name="_655a3ii6vhih" w:id="2"/>
      <w:bookmarkEnd w:id="2"/>
      <w:r w:rsidDel="00000000" w:rsidR="00000000" w:rsidRPr="00000000">
        <w:rPr>
          <w:rtl w:val="0"/>
        </w:rPr>
        <w:t xml:space="preserve">Введение</w:t>
      </w:r>
    </w:p>
    <w:p w:rsidR="00000000" w:rsidDel="00000000" w:rsidP="00000000" w:rsidRDefault="00000000" w:rsidRPr="00000000" w14:paraId="0000000B">
      <w:pPr>
        <w:jc w:val="both"/>
        <w:rPr/>
      </w:pPr>
      <w:r w:rsidDel="00000000" w:rsidR="00000000" w:rsidRPr="00000000">
        <w:rPr>
          <w:rtl w:val="0"/>
        </w:rPr>
        <w:t xml:space="preserve">Репродуктивная биология и изучение раннего эмбриогенеза представляют собой одну из наиболее динамично развивающихся областей современной биомедицины. Центральное место в этих исследованиях занимают примордиальные зародышевые клетки (ПЗК), которые являются предшественниками гамет и обеспечивают передачу генетической и эпигенетической информации между поколениями (Saitou &amp; Yamaji, 2012). Однако изучение ПЗК in vivo сопряжено с рядом трудностей, включая ограниченное количество клеток в эмбрионах и этические ограничения, особенно при работе с человеческими образцами (Irie et al., 2015). В связи с этим значительный прогресс был достигнут в разработке методов генерации примордиальных клеток, подобных зародышевым (PGCLCs, Primordial Germ Cell-Like Cells), из плюрипотентных стволовых клеток (ЭСК и ИПСК) и соматических клеток (Hayashi et al., 2011).</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PGCLCs представляют собой уникальную модель для изучения механизмов гаметогенеза, репрограммирования эпигенома и молекулярных основ бесплодия (Nakaki et al., 2013). Их получение in vitro открывает новые возможности для репродуктивной медицины, включая разработку методов лечения бесплодия, связанного с нарушением формирования половых клеток, а также создание моделей для изучения генетических и эпигенетических заболеваний (Chen et al., 2017). Кроме того, PGCLCs могут быть использованы в биотехнологии и сельском хозяйстве для сохранения генетического материала исчезающих видов и улучшения пород животных (Hikabe et al., 2016).</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ПЗК возникают на ранних стадиях эмбрионального развития и играют ключевую роль в формировании гамет. У мышей они специфицируются на 6,25–7,25 день эмбриогенеза (E6.25–E7.25) из эпибласта под действием сигналов костного морфогенетического белка (BMP), секретируемого экстраэмбриональной эктодермой (Ohinata et al., 2005). У человека ПЗК обнаруживаются на 3-й неделе развития и экспрессируют специфические маркеры, такие как BLIMP1 (PRDM1), PRDM14, TFAP2C и SOX17 (Irie et al., 2015). После спецификации ПЗК мигрируют в зачаток гонады, где подвергаются дальнейшей дифференцировке в оогонии или сперматогонии в зависимости от пола эмбриона (Saitou &amp; Yamaji, 2012).</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Важной особенностью ПЗК является их способность к эпигенетическому репрограммированию, включая глобальное деметилирование ДНК и удаление родительских импринтов, что необходимо для установления тотипотентности в следующем поколении (Seisenberger et al., 2012). Нарушение этого процесса может приводить к геномным импринтинговым заболеваниям, таким как синдромы Ангельмана и Прадера–Вилли (Tang et al., 2015).</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Первые успешные попытки получения PGCLCs in vitro были предприняты в начале 2010-х годов. Пионерские работы группы Митинори Сайто продемонстрировали, что мышиные ЭСК и ИПСК могут быть дифференцированы в PGCLCs через промежуточную стадию эпибластоподобных клеток (EpiLCs) при добавлении BMP4 и других цитокинов (Hayashi et al., 2011). В дальнейшем этот подход был адаптирован для человеческих клеток, хотя с меньшей эффективностью (Irie et al., 2015).</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Ключевым прорывом стало выявление критических транскрипционных факторов, необходимых для индукции PGCLCs, включая BLIMP1, PRDM14 и TFAP2C (Nakaki et al., 2013). Показано, что совместная экспрессия этих факторов достаточна для репрограммирования соматических клеток в PGCLCs, минуя стадию плюрипотентности (Murakami et al., 2016). Кроме того, было обнаружено, что сигнальные пути WNT и RA играют важную роль в поддержании и дальнейшей дифференцировке PGCLCs (Kurimoto et al., 2015).</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Изучение PGCLCs имеет несколько важных приложений:</w:t>
      </w:r>
    </w:p>
    <w:p w:rsidR="00000000" w:rsidDel="00000000" w:rsidP="00000000" w:rsidRDefault="00000000" w:rsidRPr="00000000" w14:paraId="00000018">
      <w:pPr>
        <w:numPr>
          <w:ilvl w:val="0"/>
          <w:numId w:val="17"/>
        </w:numPr>
        <w:ind w:left="720" w:hanging="360"/>
        <w:jc w:val="both"/>
      </w:pPr>
      <w:r w:rsidDel="00000000" w:rsidR="00000000" w:rsidRPr="00000000">
        <w:rPr>
          <w:rtl w:val="0"/>
        </w:rPr>
        <w:t xml:space="preserve">Моделирование гаметогенеза и бесплодия – PGCLCs позволяют изучать молекулярные механизмы, лежащие в основе нарушений формирования половых клеток, таких как азооспермия или преждевременная недостаточность яичников (Hikabe et al., 2016).</w:t>
      </w:r>
    </w:p>
    <w:p w:rsidR="00000000" w:rsidDel="00000000" w:rsidP="00000000" w:rsidRDefault="00000000" w:rsidRPr="00000000" w14:paraId="00000019">
      <w:pPr>
        <w:numPr>
          <w:ilvl w:val="0"/>
          <w:numId w:val="17"/>
        </w:numPr>
        <w:ind w:left="720" w:hanging="360"/>
        <w:jc w:val="both"/>
      </w:pPr>
      <w:r w:rsidDel="00000000" w:rsidR="00000000" w:rsidRPr="00000000">
        <w:rPr>
          <w:rtl w:val="0"/>
        </w:rPr>
        <w:t xml:space="preserve">Генетическая коррекция – использование PGCLCs в сочетании с CRISPR/Cas9 открывает новые возможности для исправления мутаций, связанных с наследственными заболеваниями (Yoshino et al., 2021).</w:t>
      </w:r>
    </w:p>
    <w:p w:rsidR="00000000" w:rsidDel="00000000" w:rsidP="00000000" w:rsidRDefault="00000000" w:rsidRPr="00000000" w14:paraId="0000001A">
      <w:pPr>
        <w:numPr>
          <w:ilvl w:val="0"/>
          <w:numId w:val="17"/>
        </w:numPr>
        <w:ind w:left="720" w:hanging="360"/>
        <w:jc w:val="both"/>
      </w:pPr>
      <w:r w:rsidDel="00000000" w:rsidR="00000000" w:rsidRPr="00000000">
        <w:rPr>
          <w:rtl w:val="0"/>
        </w:rPr>
        <w:t xml:space="preserve">Репродуктивная медицина – в перспективе PGCLCs могут быть использованы для генерации функциональных гамет in vitro, что особенно актуально для пациентов с потерей фертильности вследствие химиотерапии (Sasaki et al., 2015).</w:t>
      </w:r>
    </w:p>
    <w:p w:rsidR="00000000" w:rsidDel="00000000" w:rsidP="00000000" w:rsidRDefault="00000000" w:rsidRPr="00000000" w14:paraId="0000001B">
      <w:pPr>
        <w:numPr>
          <w:ilvl w:val="0"/>
          <w:numId w:val="17"/>
        </w:numPr>
        <w:ind w:left="720" w:hanging="360"/>
        <w:jc w:val="both"/>
      </w:pPr>
      <w:r w:rsidDel="00000000" w:rsidR="00000000" w:rsidRPr="00000000">
        <w:rPr>
          <w:rtl w:val="0"/>
        </w:rPr>
        <w:t xml:space="preserve">Биотехнология и сохранение биоразнообразия – PGCLCs могут применяться для криоконсервации генетического материала исчезающих видов (Saragusty et al., 2016).</w:t>
      </w:r>
    </w:p>
    <w:p w:rsidR="00000000" w:rsidDel="00000000" w:rsidP="00000000" w:rsidRDefault="00000000" w:rsidRPr="00000000" w14:paraId="0000001C">
      <w:pPr>
        <w:jc w:val="both"/>
        <w:rPr/>
      </w:pPr>
      <w:r w:rsidDel="00000000" w:rsidR="00000000" w:rsidRPr="00000000">
        <w:rPr>
          <w:rtl w:val="0"/>
        </w:rPr>
        <w:t xml:space="preserve">Несмотря на значительный прогресс, остаются нерешенные вопросы, связанные с эффективностью дифференцировки, функциональной зрелостью получаемых PGCLCs и этическими ограничениями, особенно в контексте работы с человеческими клетками (Chen et al., 2017). Дальнейшие исследования должны быть направлены на оптимизацию протоколов, улучшение эпигенетического ремоделирования и разработку стандартизированных методов оценки качества PGCLCs.</w:t>
      </w:r>
    </w:p>
    <w:p w:rsidR="00000000" w:rsidDel="00000000" w:rsidP="00000000" w:rsidRDefault="00000000" w:rsidRPr="00000000" w14:paraId="0000001D">
      <w:pPr>
        <w:pStyle w:val="Heading1"/>
        <w:jc w:val="both"/>
        <w:rPr/>
      </w:pPr>
      <w:bookmarkStart w:colFirst="0" w:colLast="0" w:name="_9o14pkbbusnv" w:id="3"/>
      <w:bookmarkEnd w:id="3"/>
      <w:r w:rsidDel="00000000" w:rsidR="00000000" w:rsidRPr="00000000">
        <w:rPr>
          <w:rtl w:val="0"/>
        </w:rPr>
        <w:t xml:space="preserve">Биология примордиальных зародышевых клеток</w:t>
      </w:r>
    </w:p>
    <w:p w:rsidR="00000000" w:rsidDel="00000000" w:rsidP="00000000" w:rsidRDefault="00000000" w:rsidRPr="00000000" w14:paraId="0000001E">
      <w:pPr>
        <w:jc w:val="both"/>
        <w:rPr/>
      </w:pPr>
      <w:r w:rsidDel="00000000" w:rsidR="00000000" w:rsidRPr="00000000">
        <w:rPr>
          <w:rtl w:val="0"/>
        </w:rPr>
        <w:t xml:space="preserve">Примордиальные зародышевые клетки (ПЗК) представляют собой уникальную популяцию клеток, дающих начало всем последующим поколениям организмов через образование гамет. У млекопитающих ПЗК впервые обнаруживаются на ранних стадиях эмбрионального развития как отдельная клеточная линия, отделяющаяся от соматических предшественников (Saitou &amp; Yamaji, 2012). У мышей этот процесс начинается примерно на 6.25-7.25 день эмбриогенеза (E6.25-E7.25), когда небольшая группа клеток эпибласта в ответ на сигналы BMP4 из экстраэмбриональной эктодермы приобретает ПЗК-специфичный транскрипционный профиль (Ohinata et al., 2005).</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Ключевым этапом спецификации ПЗК является активация транскрипционной программы, включающей такие факторы как BLIMP1 (также известный как PRDM1), PRDM14 и AP2γ (TFAP2C) (Kurimoto et al., 2008). BLIMP1 играет особенно важную роль, подавляя экспрессию генов соматической мезодермы и активируя ПЗК-специфичные гены (Ohinata et al., 2005). Одновременно PRDM14 участвует в поддержании эпигенетического состояния, характерного для ПЗК, способствуя деметилированию ДНК и подавлению сигналов, ведущих к соматической дифференцировке (Yamaji et al., 2013).</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Современные исследования позволили идентифицировать комплекс молекулярных маркеров, характерных для ПЗК. К ним относятся:</w:t>
      </w:r>
    </w:p>
    <w:p w:rsidR="00000000" w:rsidDel="00000000" w:rsidP="00000000" w:rsidRDefault="00000000" w:rsidRPr="00000000" w14:paraId="00000023">
      <w:pPr>
        <w:numPr>
          <w:ilvl w:val="0"/>
          <w:numId w:val="2"/>
        </w:numPr>
        <w:ind w:left="720" w:hanging="360"/>
        <w:jc w:val="both"/>
      </w:pPr>
      <w:r w:rsidDel="00000000" w:rsidR="00000000" w:rsidRPr="00000000">
        <w:rPr>
          <w:rtl w:val="0"/>
        </w:rPr>
        <w:t xml:space="preserve">Транскрипционные факторы: BLIMP1, PRDM14, TFAP2C, SOX17 (у человека) (Irie et al., 2015)</w:t>
      </w:r>
    </w:p>
    <w:p w:rsidR="00000000" w:rsidDel="00000000" w:rsidP="00000000" w:rsidRDefault="00000000" w:rsidRPr="00000000" w14:paraId="00000024">
      <w:pPr>
        <w:numPr>
          <w:ilvl w:val="0"/>
          <w:numId w:val="2"/>
        </w:numPr>
        <w:ind w:left="720" w:hanging="360"/>
        <w:jc w:val="both"/>
      </w:pPr>
      <w:r w:rsidDel="00000000" w:rsidR="00000000" w:rsidRPr="00000000">
        <w:rPr>
          <w:rtl w:val="0"/>
        </w:rPr>
        <w:t xml:space="preserve">Поверхностные маркеры: SSEA1 (у мышей), c-KIT (CD117), INTEGRINβ3 (Tang et al., 2016)</w:t>
      </w:r>
    </w:p>
    <w:p w:rsidR="00000000" w:rsidDel="00000000" w:rsidP="00000000" w:rsidRDefault="00000000" w:rsidRPr="00000000" w14:paraId="00000025">
      <w:pPr>
        <w:numPr>
          <w:ilvl w:val="0"/>
          <w:numId w:val="2"/>
        </w:numPr>
        <w:ind w:left="720" w:hanging="360"/>
        <w:jc w:val="both"/>
      </w:pPr>
      <w:r w:rsidDel="00000000" w:rsidR="00000000" w:rsidRPr="00000000">
        <w:rPr>
          <w:rtl w:val="0"/>
        </w:rPr>
        <w:t xml:space="preserve">Ферменты: TNAP (тканевая неспецифическая щелочная фосфатаза), DND1 (Saitou et al., 2002)</w:t>
      </w:r>
    </w:p>
    <w:p w:rsidR="00000000" w:rsidDel="00000000" w:rsidP="00000000" w:rsidRDefault="00000000" w:rsidRPr="00000000" w14:paraId="00000026">
      <w:pPr>
        <w:jc w:val="both"/>
        <w:rPr/>
      </w:pPr>
      <w:r w:rsidDel="00000000" w:rsidR="00000000" w:rsidRPr="00000000">
        <w:rPr>
          <w:rtl w:val="0"/>
        </w:rPr>
        <w:t xml:space="preserve">Особый интерес представляет видоспецифичность некоторых маркеров. Например, SOX17 является ключевым регулятором спецификации человеческих ПЗК, тогда как у мышей его роль менее значима (Irie et al., 2015). Напротив, мышиные ПЗК сильно зависят от экспрессии BLIMP1, в то время как у человека этот фактор экспрессируется на более поздних стадиях (Tang et al., 2015).</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После спецификации ПЗК у млекопитающих начинают активную миграцию из места своего возникновения (у мышей - из основания аллантоиса) через кишечную трубку к генитальному гребешку - зачатку будущих гонад (Molyneaux et al., 2001). Этот процесс регулируется комплексом хемокинов и их рецепторов, включая:</w:t>
      </w:r>
    </w:p>
    <w:p w:rsidR="00000000" w:rsidDel="00000000" w:rsidP="00000000" w:rsidRDefault="00000000" w:rsidRPr="00000000" w14:paraId="00000029">
      <w:pPr>
        <w:numPr>
          <w:ilvl w:val="0"/>
          <w:numId w:val="10"/>
        </w:numPr>
        <w:ind w:left="720" w:hanging="360"/>
        <w:jc w:val="both"/>
      </w:pPr>
      <w:r w:rsidDel="00000000" w:rsidR="00000000" w:rsidRPr="00000000">
        <w:rPr>
          <w:rtl w:val="0"/>
        </w:rPr>
        <w:t xml:space="preserve">SDF1 (CXCL12) и его рецептор CXCR4 (Ara et al., 2003)</w:t>
      </w:r>
    </w:p>
    <w:p w:rsidR="00000000" w:rsidDel="00000000" w:rsidP="00000000" w:rsidRDefault="00000000" w:rsidRPr="00000000" w14:paraId="0000002A">
      <w:pPr>
        <w:numPr>
          <w:ilvl w:val="0"/>
          <w:numId w:val="10"/>
        </w:numPr>
        <w:ind w:left="720" w:hanging="360"/>
        <w:jc w:val="both"/>
      </w:pPr>
      <w:r w:rsidDel="00000000" w:rsidR="00000000" w:rsidRPr="00000000">
        <w:rPr>
          <w:rtl w:val="0"/>
        </w:rPr>
        <w:t xml:space="preserve">KIT-лиганд (степльной фактор) и рецептор c-KIT (Runyan et al., 2006)</w:t>
      </w:r>
    </w:p>
    <w:p w:rsidR="00000000" w:rsidDel="00000000" w:rsidP="00000000" w:rsidRDefault="00000000" w:rsidRPr="00000000" w14:paraId="0000002B">
      <w:pPr>
        <w:numPr>
          <w:ilvl w:val="0"/>
          <w:numId w:val="10"/>
        </w:numPr>
        <w:ind w:left="720" w:hanging="360"/>
        <w:jc w:val="both"/>
      </w:pPr>
      <w:r w:rsidDel="00000000" w:rsidR="00000000" w:rsidRPr="00000000">
        <w:rPr>
          <w:rtl w:val="0"/>
        </w:rPr>
        <w:t xml:space="preserve">Интегрины и их лиганды (Anderson et al., 1999)</w:t>
      </w:r>
    </w:p>
    <w:p w:rsidR="00000000" w:rsidDel="00000000" w:rsidP="00000000" w:rsidRDefault="00000000" w:rsidRPr="00000000" w14:paraId="0000002C">
      <w:pPr>
        <w:jc w:val="both"/>
        <w:rPr/>
      </w:pPr>
      <w:r w:rsidDel="00000000" w:rsidR="00000000" w:rsidRPr="00000000">
        <w:rPr>
          <w:rtl w:val="0"/>
        </w:rPr>
        <w:t xml:space="preserve">Нарушения миграции ПЗК могут приводить к различным патологиям репродуктивной системы, включая эктопическое расположение половых клеток и гонадную дисгенезию (Laird et al., 2011). Интересно, что у некоторых видов (например, у дрозофилы) ПЗК формируются на значительном расстоянии от гонад и совершают особенно длительную миграцию (Starz-Gaiano &amp; Lehmann, 2001).</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Одной из наиболее удивительных особенностей ПЗК является их способность к масштабному эпигенетическому репрограммированию. Этот процесс включает:</w:t>
      </w:r>
    </w:p>
    <w:p w:rsidR="00000000" w:rsidDel="00000000" w:rsidP="00000000" w:rsidRDefault="00000000" w:rsidRPr="00000000" w14:paraId="0000002F">
      <w:pPr>
        <w:numPr>
          <w:ilvl w:val="0"/>
          <w:numId w:val="7"/>
        </w:numPr>
        <w:ind w:left="720" w:hanging="360"/>
        <w:jc w:val="both"/>
      </w:pPr>
      <w:r w:rsidDel="00000000" w:rsidR="00000000" w:rsidRPr="00000000">
        <w:rPr>
          <w:rtl w:val="0"/>
        </w:rPr>
        <w:t xml:space="preserve">Глобальное деметилирование ДНК, включая стирание геномного импринтинга (Seisenberger et al., 2012)</w:t>
      </w:r>
    </w:p>
    <w:p w:rsidR="00000000" w:rsidDel="00000000" w:rsidP="00000000" w:rsidRDefault="00000000" w:rsidRPr="00000000" w14:paraId="00000030">
      <w:pPr>
        <w:numPr>
          <w:ilvl w:val="0"/>
          <w:numId w:val="7"/>
        </w:numPr>
        <w:ind w:left="720" w:hanging="360"/>
        <w:jc w:val="both"/>
      </w:pPr>
      <w:r w:rsidDel="00000000" w:rsidR="00000000" w:rsidRPr="00000000">
        <w:rPr>
          <w:rtl w:val="0"/>
        </w:rPr>
        <w:t xml:space="preserve">Ремоделирование гистонов с заменой канонических гистонов на вариантные (Hajkova et al., 2008)</w:t>
      </w:r>
    </w:p>
    <w:p w:rsidR="00000000" w:rsidDel="00000000" w:rsidP="00000000" w:rsidRDefault="00000000" w:rsidRPr="00000000" w14:paraId="00000031">
      <w:pPr>
        <w:numPr>
          <w:ilvl w:val="0"/>
          <w:numId w:val="7"/>
        </w:numPr>
        <w:ind w:left="720" w:hanging="360"/>
        <w:jc w:val="both"/>
      </w:pPr>
      <w:r w:rsidDel="00000000" w:rsidR="00000000" w:rsidRPr="00000000">
        <w:rPr>
          <w:rtl w:val="0"/>
        </w:rPr>
        <w:t xml:space="preserve">Активацию транспозонов и других повторяющихся элементов (Molaro et al., 2014)</w:t>
      </w:r>
    </w:p>
    <w:p w:rsidR="00000000" w:rsidDel="00000000" w:rsidP="00000000" w:rsidRDefault="00000000" w:rsidRPr="00000000" w14:paraId="00000032">
      <w:pPr>
        <w:jc w:val="both"/>
        <w:rPr/>
      </w:pPr>
      <w:r w:rsidDel="00000000" w:rsidR="00000000" w:rsidRPr="00000000">
        <w:rPr>
          <w:rtl w:val="0"/>
        </w:rPr>
        <w:t xml:space="preserve">Эпигенетическое репрограммирование особенно важно для удаления соматических эпигенетических меток и установления тотипотентности в следующем поколении (Hackett et al., 2013). Нарушения этого процесса могут приводить к различным патологиям, включая импринтинговые заболевания у человека (Tang et al., 2015).</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Сравнительные исследования выявили значительные различия в развитии ПЗК у разных видов млекопитающих:</w:t>
      </w:r>
    </w:p>
    <w:p w:rsidR="00000000" w:rsidDel="00000000" w:rsidP="00000000" w:rsidRDefault="00000000" w:rsidRPr="00000000" w14:paraId="00000035">
      <w:pPr>
        <w:numPr>
          <w:ilvl w:val="0"/>
          <w:numId w:val="23"/>
        </w:numPr>
        <w:ind w:left="720" w:hanging="360"/>
        <w:jc w:val="both"/>
      </w:pPr>
      <w:r w:rsidDel="00000000" w:rsidR="00000000" w:rsidRPr="00000000">
        <w:rPr>
          <w:rtl w:val="0"/>
        </w:rPr>
        <w:t xml:space="preserve">У мышей ПЗК специфицируются под действием BMP сигналинга из эпибласта (Ohinata et al., 2005)</w:t>
      </w:r>
    </w:p>
    <w:p w:rsidR="00000000" w:rsidDel="00000000" w:rsidP="00000000" w:rsidRDefault="00000000" w:rsidRPr="00000000" w14:paraId="00000036">
      <w:pPr>
        <w:numPr>
          <w:ilvl w:val="0"/>
          <w:numId w:val="23"/>
        </w:numPr>
        <w:ind w:left="720" w:hanging="360"/>
        <w:jc w:val="both"/>
      </w:pPr>
      <w:r w:rsidDel="00000000" w:rsidR="00000000" w:rsidRPr="00000000">
        <w:rPr>
          <w:rtl w:val="0"/>
        </w:rPr>
        <w:t xml:space="preserve">У человека ключевую роль играет SOX17, а не BLIMP1 (Irie et al., 2015)</w:t>
      </w:r>
    </w:p>
    <w:p w:rsidR="00000000" w:rsidDel="00000000" w:rsidP="00000000" w:rsidRDefault="00000000" w:rsidRPr="00000000" w14:paraId="00000037">
      <w:pPr>
        <w:numPr>
          <w:ilvl w:val="0"/>
          <w:numId w:val="23"/>
        </w:numPr>
        <w:ind w:left="720" w:hanging="360"/>
        <w:jc w:val="both"/>
      </w:pPr>
      <w:r w:rsidDel="00000000" w:rsidR="00000000" w:rsidRPr="00000000">
        <w:rPr>
          <w:rtl w:val="0"/>
        </w:rPr>
        <w:t xml:space="preserve">У крупного рогатого скота ПЗК появляются значительно позже (примерно на 28 день) (Saitou &amp; Yamaji, 2012)</w:t>
      </w:r>
    </w:p>
    <w:p w:rsidR="00000000" w:rsidDel="00000000" w:rsidP="00000000" w:rsidRDefault="00000000" w:rsidRPr="00000000" w14:paraId="00000038">
      <w:pPr>
        <w:numPr>
          <w:ilvl w:val="0"/>
          <w:numId w:val="23"/>
        </w:numPr>
        <w:ind w:left="720" w:hanging="360"/>
        <w:jc w:val="both"/>
      </w:pPr>
      <w:r w:rsidDel="00000000" w:rsidR="00000000" w:rsidRPr="00000000">
        <w:rPr>
          <w:rtl w:val="0"/>
        </w:rPr>
        <w:t xml:space="preserve">У нематоды C. elegans ПЗК детерминируются асимметричным делением зиготы (Strome &amp; Updike, 2015)</w:t>
      </w:r>
    </w:p>
    <w:p w:rsidR="00000000" w:rsidDel="00000000" w:rsidP="00000000" w:rsidRDefault="00000000" w:rsidRPr="00000000" w14:paraId="00000039">
      <w:pPr>
        <w:jc w:val="both"/>
        <w:rPr/>
      </w:pPr>
      <w:r w:rsidDel="00000000" w:rsidR="00000000" w:rsidRPr="00000000">
        <w:rPr>
          <w:rtl w:val="0"/>
        </w:rPr>
        <w:t xml:space="preserve">Эти различия имеют важное значение при попытках реконструировать процесс образования ПЗК in vitro у разных видов, включая человека (Sasaki et al., 2015).</w:t>
      </w:r>
    </w:p>
    <w:p w:rsidR="00000000" w:rsidDel="00000000" w:rsidP="00000000" w:rsidRDefault="00000000" w:rsidRPr="00000000" w14:paraId="0000003A">
      <w:pPr>
        <w:pStyle w:val="Heading1"/>
        <w:jc w:val="both"/>
        <w:rPr/>
      </w:pPr>
      <w:bookmarkStart w:colFirst="0" w:colLast="0" w:name="_bnguo57nnk2r" w:id="4"/>
      <w:bookmarkEnd w:id="4"/>
      <w:r w:rsidDel="00000000" w:rsidR="00000000" w:rsidRPr="00000000">
        <w:rPr>
          <w:rtl w:val="0"/>
        </w:rPr>
        <w:t xml:space="preserve">Методы индукции PGCLCs in vitro</w:t>
      </w:r>
    </w:p>
    <w:p w:rsidR="00000000" w:rsidDel="00000000" w:rsidP="00000000" w:rsidRDefault="00000000" w:rsidRPr="00000000" w14:paraId="0000003B">
      <w:pPr>
        <w:pStyle w:val="Heading2"/>
        <w:jc w:val="both"/>
        <w:rPr/>
      </w:pPr>
      <w:bookmarkStart w:colFirst="0" w:colLast="0" w:name="_yyz473j7ywol" w:id="5"/>
      <w:bookmarkEnd w:id="5"/>
      <w:r w:rsidDel="00000000" w:rsidR="00000000" w:rsidRPr="00000000">
        <w:rPr>
          <w:rtl w:val="0"/>
        </w:rPr>
        <w:t xml:space="preserve">Дифференцировка из плюрипотентных стволовых клеток</w:t>
      </w:r>
    </w:p>
    <w:p w:rsidR="00000000" w:rsidDel="00000000" w:rsidP="00000000" w:rsidRDefault="00000000" w:rsidRPr="00000000" w14:paraId="0000003C">
      <w:pPr>
        <w:jc w:val="both"/>
        <w:rPr/>
      </w:pPr>
      <w:r w:rsidDel="00000000" w:rsidR="00000000" w:rsidRPr="00000000">
        <w:rPr>
          <w:rtl w:val="0"/>
        </w:rPr>
        <w:t xml:space="preserve">Современные подходы к получению PGCLCs из плюрипотентных стволовых клеток (ЭСК и ИПСК) преимущественно основаны на двухэтапном протоколе, впервые разработанном для мышиных клеток (Hayashi et al., 2011).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На первом этапе клетки индуцируются в состояние, подобное эпибласту (EpiLCs), через отмену факторов, поддерживающих наивную плюрипотентность (2i/LIF), и добавление активина A и основного фактора роста фибробластов (bFGF) (Kurimoto et al., 2015). </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Второй этап включает индукцию PGCLCs в среде, содержащей BMP4, LIF, SCF и EGF (Sasaki et al., 2015).</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Для человеческих клеток этот протокол был модифицирован с учетом видовых различий. Ключевым отличием является необходимость добавления WNT3a и ингибиторов GSK3β для активации β-катенин-зависимого сигнального пути (Irie et al., 2015). Эффективность дифференцировки у человека обычно ниже (5-20%), чем у мыши (30-40%), что связано с фундаментальными различиями в механизмах спецификации ПЗК (Sasaki et al., 2015).</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Значительное улучшение эффективности дифференцировки было достигнуто при переходе от монослойных культур к трехмерным агрегатам (Hayashi et al., 2012). В таких условиях клетки формируют структуры, напоминающие ранние эмбрионы, что обеспечивает более физиологичное микроокружение. Дальнейшая оптимизация включала кокультуру с соматическими клетками гонадного происхождения, имитирующими нишевые условия in vivo (Nakaki et al., 2013).</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Инновационный подход предложили Zhou et al. (2016), разработавшие систему "эмбриоидных телец с двойным подавлением" (dual-SMAD inhibition embryoid bodies), где одновременное ингибирование BMP и TGFβ сигнальных путей значительно повышало эффективность образования PGCLCs у человека (до 40%).</w:t>
      </w:r>
    </w:p>
    <w:p w:rsidR="00000000" w:rsidDel="00000000" w:rsidP="00000000" w:rsidRDefault="00000000" w:rsidRPr="00000000" w14:paraId="00000047">
      <w:pPr>
        <w:pStyle w:val="Heading2"/>
        <w:jc w:val="both"/>
        <w:rPr/>
      </w:pPr>
      <w:bookmarkStart w:colFirst="0" w:colLast="0" w:name="_ja9ga39fz0tg" w:id="6"/>
      <w:bookmarkEnd w:id="6"/>
      <w:r w:rsidDel="00000000" w:rsidR="00000000" w:rsidRPr="00000000">
        <w:rPr>
          <w:rtl w:val="0"/>
        </w:rPr>
        <w:t xml:space="preserve">Прямое репрограммирование соматических клеток</w:t>
      </w:r>
    </w:p>
    <w:p w:rsidR="00000000" w:rsidDel="00000000" w:rsidP="00000000" w:rsidRDefault="00000000" w:rsidRPr="00000000" w14:paraId="00000048">
      <w:pPr>
        <w:jc w:val="both"/>
        <w:rPr/>
      </w:pPr>
      <w:r w:rsidDel="00000000" w:rsidR="00000000" w:rsidRPr="00000000">
        <w:rPr>
          <w:rtl w:val="0"/>
        </w:rPr>
        <w:t xml:space="preserve">Альтернативный подход к получению PGCLCs минуя стадию плюрипотентности был разработан на основе прямого репрограммирования соматических клеток. Murakami et al. (2016) показали, что комбинация трех факторов - BLIMP1, PRDM14 и TFAP2C - достаточна для конверсии фибробластов мыши в PGCLCs-подобные клетки с эффективностью около 15%.</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Для человеческих клеток аналогичный протокол потребовал включения дополнительных факторов, включая SOX17 и OCT4 (Chen et al., 2017). Однако полученные таким образом клетки демонстрировали неполное эпигенетическое репрограммирование, что указывает на необходимость дополнительной оптимизации метода.</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Перспективным направлением является разработка полностью химически определенных протоколов без использования генетических модификаций. Исследования Hou et al. (2014) продемонстрировали возможность индукции PGCLCs-подобного состояния у мышиных фибробластов с помощью коктейля малых молекул, включая ингибиторы GSK3, TGFβ и LSD1.</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Для человеческих клеток аналогичный подход был реализован Zhang et al. (2017), хотя эффективность оставалась низкой (2-5%). Основным ограничением химического репрограммирования является неполное стирание соматического эпигенетического ландшафта (Zhao et al., 2018).</w:t>
      </w:r>
    </w:p>
    <w:p w:rsidR="00000000" w:rsidDel="00000000" w:rsidP="00000000" w:rsidRDefault="00000000" w:rsidRPr="00000000" w14:paraId="0000004F">
      <w:pPr>
        <w:pStyle w:val="Heading2"/>
        <w:jc w:val="both"/>
        <w:rPr/>
      </w:pPr>
      <w:bookmarkStart w:colFirst="0" w:colLast="0" w:name="_uaef0r46wn3h" w:id="7"/>
      <w:bookmarkEnd w:id="7"/>
      <w:r w:rsidDel="00000000" w:rsidR="00000000" w:rsidRPr="00000000">
        <w:rPr>
          <w:rtl w:val="0"/>
        </w:rPr>
        <w:t xml:space="preserve">Оптимизация культуральных условий</w:t>
      </w:r>
    </w:p>
    <w:p w:rsidR="00000000" w:rsidDel="00000000" w:rsidP="00000000" w:rsidRDefault="00000000" w:rsidRPr="00000000" w14:paraId="00000050">
      <w:pPr>
        <w:jc w:val="both"/>
        <w:rPr/>
      </w:pPr>
      <w:r w:rsidDel="00000000" w:rsidR="00000000" w:rsidRPr="00000000">
        <w:rPr>
          <w:rtl w:val="0"/>
        </w:rPr>
        <w:t xml:space="preserve">Критическим аспектом индукции PGCLCs является точный баланс ростовых факторов и цитокинов. Помимо основных компонентов (BMP4, LIF, SCF), исследования выявили важную роль:</w:t>
      </w:r>
    </w:p>
    <w:p w:rsidR="00000000" w:rsidDel="00000000" w:rsidP="00000000" w:rsidRDefault="00000000" w:rsidRPr="00000000" w14:paraId="00000051">
      <w:pPr>
        <w:numPr>
          <w:ilvl w:val="0"/>
          <w:numId w:val="19"/>
        </w:numPr>
        <w:ind w:left="720" w:hanging="360"/>
        <w:jc w:val="both"/>
      </w:pPr>
      <w:r w:rsidDel="00000000" w:rsidR="00000000" w:rsidRPr="00000000">
        <w:rPr>
          <w:rtl w:val="0"/>
        </w:rPr>
        <w:t xml:space="preserve">Ретиноевой кислоты (RA) для индукции мейотического перехода (Koubova et al., 2014)</w:t>
      </w:r>
    </w:p>
    <w:p w:rsidR="00000000" w:rsidDel="00000000" w:rsidP="00000000" w:rsidRDefault="00000000" w:rsidRPr="00000000" w14:paraId="00000052">
      <w:pPr>
        <w:numPr>
          <w:ilvl w:val="0"/>
          <w:numId w:val="19"/>
        </w:numPr>
        <w:ind w:left="720" w:hanging="360"/>
        <w:jc w:val="both"/>
      </w:pPr>
      <w:r w:rsidDel="00000000" w:rsidR="00000000" w:rsidRPr="00000000">
        <w:rPr>
          <w:rtl w:val="0"/>
        </w:rPr>
        <w:t xml:space="preserve">Ингибиторов FGF сигналинга для подавления соматической дифференцировки (Gafni et al., 2013)</w:t>
      </w:r>
    </w:p>
    <w:p w:rsidR="00000000" w:rsidDel="00000000" w:rsidP="00000000" w:rsidRDefault="00000000" w:rsidRPr="00000000" w14:paraId="00000053">
      <w:pPr>
        <w:numPr>
          <w:ilvl w:val="0"/>
          <w:numId w:val="19"/>
        </w:numPr>
        <w:ind w:left="720" w:hanging="360"/>
        <w:jc w:val="both"/>
      </w:pPr>
      <w:r w:rsidDel="00000000" w:rsidR="00000000" w:rsidRPr="00000000">
        <w:rPr>
          <w:rtl w:val="0"/>
        </w:rPr>
        <w:t xml:space="preserve">Активаторов WNT сигналинга для поддержания пролиферации (Tang et al., 2016)</w:t>
      </w:r>
    </w:p>
    <w:p w:rsidR="00000000" w:rsidDel="00000000" w:rsidP="00000000" w:rsidRDefault="00000000" w:rsidRPr="00000000" w14:paraId="00000054">
      <w:pPr>
        <w:jc w:val="both"/>
        <w:rPr/>
      </w:pPr>
      <w:r w:rsidDel="00000000" w:rsidR="00000000" w:rsidRPr="00000000">
        <w:rPr>
          <w:rtl w:val="0"/>
        </w:rPr>
        <w:t xml:space="preserve">Особое внимание уделяется разработке полностью ксеносвободных сред для потенциального клинического применения (Hikabe et al., 2016).</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Использование биоматериалов позволяет более точно воспроизводить микроокружение развивающихся гонад. Sugawa et al. (2015) разработали гидрогелевую систему на основе гиалуроновой кислоты и ламинина, которая значительно улучшала выживаемость и функциональность PGCLCs.</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Перспективным направлением являются органоидные культуры, где PGCLCs кокультивируются с соматическими клетками гонад в трехмерной матрице (Morohaku et al., 2016). Такой подход позволяет изучать межклеточные взаимодействия, критически важные для полного созревания половых клеток.</w:t>
      </w:r>
    </w:p>
    <w:p w:rsidR="00000000" w:rsidDel="00000000" w:rsidP="00000000" w:rsidRDefault="00000000" w:rsidRPr="00000000" w14:paraId="00000059">
      <w:pPr>
        <w:pStyle w:val="Heading2"/>
        <w:jc w:val="both"/>
        <w:rPr/>
      </w:pPr>
      <w:bookmarkStart w:colFirst="0" w:colLast="0" w:name="_mdnliz1157di" w:id="8"/>
      <w:bookmarkEnd w:id="8"/>
      <w:r w:rsidDel="00000000" w:rsidR="00000000" w:rsidRPr="00000000">
        <w:rPr>
          <w:rtl w:val="0"/>
        </w:rPr>
        <w:t xml:space="preserve">Мониторинг и валидация PGCLCs</w:t>
      </w:r>
    </w:p>
    <w:p w:rsidR="00000000" w:rsidDel="00000000" w:rsidP="00000000" w:rsidRDefault="00000000" w:rsidRPr="00000000" w14:paraId="0000005A">
      <w:pPr>
        <w:jc w:val="both"/>
        <w:rPr/>
      </w:pPr>
      <w:r w:rsidDel="00000000" w:rsidR="00000000" w:rsidRPr="00000000">
        <w:rPr>
          <w:rtl w:val="0"/>
        </w:rPr>
        <w:t xml:space="preserve">Стандартизированная характеристика PGCLCs включает анализ экспрессии:</w:t>
      </w:r>
    </w:p>
    <w:p w:rsidR="00000000" w:rsidDel="00000000" w:rsidP="00000000" w:rsidRDefault="00000000" w:rsidRPr="00000000" w14:paraId="0000005B">
      <w:pPr>
        <w:numPr>
          <w:ilvl w:val="0"/>
          <w:numId w:val="26"/>
        </w:numPr>
        <w:ind w:left="720" w:hanging="360"/>
        <w:jc w:val="both"/>
      </w:pPr>
      <w:r w:rsidDel="00000000" w:rsidR="00000000" w:rsidRPr="00000000">
        <w:rPr>
          <w:rtl w:val="0"/>
        </w:rPr>
        <w:t xml:space="preserve">Ранние маркеры: BLIMP1, PRDM14, TFAP2C, SOX17 (Irie et al., 2015)</w:t>
      </w:r>
    </w:p>
    <w:p w:rsidR="00000000" w:rsidDel="00000000" w:rsidP="00000000" w:rsidRDefault="00000000" w:rsidRPr="00000000" w14:paraId="0000005C">
      <w:pPr>
        <w:numPr>
          <w:ilvl w:val="0"/>
          <w:numId w:val="26"/>
        </w:numPr>
        <w:ind w:left="720" w:hanging="360"/>
        <w:jc w:val="both"/>
      </w:pPr>
      <w:r w:rsidDel="00000000" w:rsidR="00000000" w:rsidRPr="00000000">
        <w:rPr>
          <w:rtl w:val="0"/>
        </w:rPr>
        <w:t xml:space="preserve">Поздние маркеры: DAZL, VASA, SYCP3 (Sasaki et al., 2015)</w:t>
      </w:r>
    </w:p>
    <w:p w:rsidR="00000000" w:rsidDel="00000000" w:rsidP="00000000" w:rsidRDefault="00000000" w:rsidRPr="00000000" w14:paraId="0000005D">
      <w:pPr>
        <w:numPr>
          <w:ilvl w:val="0"/>
          <w:numId w:val="26"/>
        </w:numPr>
        <w:ind w:left="720" w:hanging="360"/>
        <w:jc w:val="both"/>
      </w:pPr>
      <w:r w:rsidDel="00000000" w:rsidR="00000000" w:rsidRPr="00000000">
        <w:rPr>
          <w:rtl w:val="0"/>
        </w:rPr>
        <w:t xml:space="preserve">Поверхностные маркеры: c-KIT, SSEA1 (у мыши), SSEA4 (у человека) (Tang et al., 2016)</w:t>
      </w:r>
    </w:p>
    <w:p w:rsidR="00000000" w:rsidDel="00000000" w:rsidP="00000000" w:rsidRDefault="00000000" w:rsidRPr="00000000" w14:paraId="0000005E">
      <w:pPr>
        <w:jc w:val="both"/>
        <w:rPr/>
      </w:pPr>
      <w:r w:rsidDel="00000000" w:rsidR="00000000" w:rsidRPr="00000000">
        <w:rPr>
          <w:rtl w:val="0"/>
        </w:rPr>
        <w:t xml:space="preserve">Золотым стандартом валидации PGCLCs у мышей является их способность:</w:t>
      </w:r>
    </w:p>
    <w:p w:rsidR="00000000" w:rsidDel="00000000" w:rsidP="00000000" w:rsidRDefault="00000000" w:rsidRPr="00000000" w14:paraId="0000005F">
      <w:pPr>
        <w:numPr>
          <w:ilvl w:val="0"/>
          <w:numId w:val="27"/>
        </w:numPr>
        <w:ind w:left="720" w:hanging="360"/>
        <w:jc w:val="both"/>
      </w:pPr>
      <w:r w:rsidDel="00000000" w:rsidR="00000000" w:rsidRPr="00000000">
        <w:rPr>
          <w:rtl w:val="0"/>
        </w:rPr>
        <w:t xml:space="preserve">Формировать функциональные гаметы при трансплантации в гонады реципиентов (Hayashi et al., 2012)</w:t>
      </w:r>
    </w:p>
    <w:p w:rsidR="00000000" w:rsidDel="00000000" w:rsidP="00000000" w:rsidRDefault="00000000" w:rsidRPr="00000000" w14:paraId="00000060">
      <w:pPr>
        <w:numPr>
          <w:ilvl w:val="0"/>
          <w:numId w:val="27"/>
        </w:numPr>
        <w:ind w:left="720" w:hanging="360"/>
        <w:jc w:val="both"/>
      </w:pPr>
      <w:r w:rsidDel="00000000" w:rsidR="00000000" w:rsidRPr="00000000">
        <w:rPr>
          <w:rtl w:val="0"/>
        </w:rPr>
        <w:t xml:space="preserve">Давать фертильное потомство после ЭКО (Hikabe et al., 2016)</w:t>
      </w:r>
    </w:p>
    <w:p w:rsidR="00000000" w:rsidDel="00000000" w:rsidP="00000000" w:rsidRDefault="00000000" w:rsidRPr="00000000" w14:paraId="00000061">
      <w:pPr>
        <w:jc w:val="both"/>
        <w:rPr/>
      </w:pPr>
      <w:r w:rsidDel="00000000" w:rsidR="00000000" w:rsidRPr="00000000">
        <w:rPr>
          <w:rtl w:val="0"/>
        </w:rPr>
        <w:t xml:space="preserve">Для человеческих PGCLCs такие тесты этически ограничены, поэтому разрабатываются альтернативные подходы, включая:</w:t>
      </w:r>
    </w:p>
    <w:p w:rsidR="00000000" w:rsidDel="00000000" w:rsidP="00000000" w:rsidRDefault="00000000" w:rsidRPr="00000000" w14:paraId="00000062">
      <w:pPr>
        <w:numPr>
          <w:ilvl w:val="0"/>
          <w:numId w:val="6"/>
        </w:numPr>
        <w:ind w:left="720" w:hanging="360"/>
        <w:jc w:val="both"/>
      </w:pPr>
      <w:r w:rsidDel="00000000" w:rsidR="00000000" w:rsidRPr="00000000">
        <w:rPr>
          <w:rtl w:val="0"/>
        </w:rPr>
        <w:t xml:space="preserve">Анализ эпигенетического репрограммирования (Tang et al., 2015)</w:t>
      </w:r>
    </w:p>
    <w:p w:rsidR="00000000" w:rsidDel="00000000" w:rsidP="00000000" w:rsidRDefault="00000000" w:rsidRPr="00000000" w14:paraId="00000063">
      <w:pPr>
        <w:numPr>
          <w:ilvl w:val="0"/>
          <w:numId w:val="6"/>
        </w:numPr>
        <w:ind w:left="720" w:hanging="360"/>
        <w:jc w:val="both"/>
      </w:pPr>
      <w:r w:rsidDel="00000000" w:rsidR="00000000" w:rsidRPr="00000000">
        <w:rPr>
          <w:rtl w:val="0"/>
        </w:rPr>
        <w:t xml:space="preserve">Тесты на дифференцировку in vitro (Sasaki et al., 2015)</w:t>
      </w:r>
    </w:p>
    <w:p w:rsidR="00000000" w:rsidDel="00000000" w:rsidP="00000000" w:rsidRDefault="00000000" w:rsidRPr="00000000" w14:paraId="00000064">
      <w:pPr>
        <w:numPr>
          <w:ilvl w:val="0"/>
          <w:numId w:val="6"/>
        </w:numPr>
        <w:ind w:left="720" w:hanging="360"/>
        <w:jc w:val="both"/>
      </w:pPr>
      <w:r w:rsidDel="00000000" w:rsidR="00000000" w:rsidRPr="00000000">
        <w:rPr>
          <w:rtl w:val="0"/>
        </w:rPr>
        <w:t xml:space="preserve">Ксенотрансплантацию в иммунодефицитных моделях (Yoshino et al., 2021)</w:t>
      </w:r>
    </w:p>
    <w:p w:rsidR="00000000" w:rsidDel="00000000" w:rsidP="00000000" w:rsidRDefault="00000000" w:rsidRPr="00000000" w14:paraId="00000065">
      <w:pPr>
        <w:pStyle w:val="Heading1"/>
        <w:jc w:val="both"/>
        <w:rPr/>
      </w:pPr>
      <w:bookmarkStart w:colFirst="0" w:colLast="0" w:name="_74h31eodedvj" w:id="9"/>
      <w:bookmarkEnd w:id="9"/>
      <w:r w:rsidDel="00000000" w:rsidR="00000000" w:rsidRPr="00000000">
        <w:rPr>
          <w:rtl w:val="0"/>
        </w:rPr>
        <w:t xml:space="preserve">Ключевые факторы и сигнальные пути, регулирующие индукцию PGCLCs</w:t>
      </w:r>
    </w:p>
    <w:p w:rsidR="00000000" w:rsidDel="00000000" w:rsidP="00000000" w:rsidRDefault="00000000" w:rsidRPr="00000000" w14:paraId="00000066">
      <w:pPr>
        <w:jc w:val="both"/>
        <w:rPr/>
      </w:pPr>
      <w:r w:rsidDel="00000000" w:rsidR="00000000" w:rsidRPr="00000000">
        <w:rPr>
          <w:rtl w:val="0"/>
        </w:rPr>
        <w:t xml:space="preserve">Сигнальный путь BMP (bone morphogenetic protein) играет центральную роль в инициации программы зародышевой линии как in vivo, так и in vitro. Исследования на мышиных моделях продемонстрировали, что BMP4, секретируемый экстраэмбриональной эктодермой, является ключевым индуктором спецификации ПЗК в эпибласте (Ohinata et al., 2005). In vitro аналогичный механизм был воспроизведен при дифференцировке ЭСК, где добавление BMP4 в культуральную среду оказалось необходимым и достаточным для индукции PGCLCs (Hayashi et al., 2011).</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Механистически BMP4 активирует канонический SMAD-зависимый путь через рецепторы BMPR1A/1B, приводя к фосфорилированию SMAD1/5/8 и их ассоциации с SMAD4 (Lawson et al., 1999). Этот комплекс транслоцируется в ядро, где регулирует экспрессию ключевых факторов зародышевой линии, включая Blimp1 (Prdm1) и Prdm14 (Yamaji et al., 2008). Интересно, что у человека BMP сигналинг играет более сложную роль, требуя кооперации с другими путями, такими как WNT и RA (Irie et al., 2015).</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WNT сигналинг участвует в различных аспектах развития PGCLCs, включая пролиферацию и выживание. Активация канонического WNT пути через β-катенин была показана как критически важная для поддержания мышиных PGCLCs in vitro (Ohinata et al., 2009). В человеческих системах добавление WNT3a значительно улучшает эффективность дифференцировки, вероятно, за счет стабилизации β-катенина и активации специфических транскрипционных программ (Chen et al., 2017).</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Важным аспектом WNT сигналинга является его временная регуляция. Чрезмерная активация на ранних стадиях может приводить к соматической дифференцировке, тогда как на более поздних стадиях она необходима для поддержания PGCLCs (Tang et al., 2016). Этот парадокс объясняется контекст-зависимым действием WNT, где временные рамки активации определяют конечный клеточный исход (Kerr et al., 2018).</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Ретиноевая кислота (RA) играет ключевую роль в инициации мейоза у млекопитающих. В естественных условиях ПЗК женского пола вступают в мейоз в ответ на RA, секретируемый мезонефросом (Koubova et al., 2014). In vitro добавление RA в культуру PGCLCs приводит к активации мейотических маркеров, таких как SYCP3 и DMC1, что свидетельствует о начале мейотической программы (Sasaki et al., 2015).</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Механизм действия RA включает связывание с рецепторами RAR/RXR, что приводит к рекрутированию коактиваторов и активации транскрипции мейоз-специфичных генов (Lin et al., 2017). Интересно, что у мужских особей фермент CYP26B1, разрушающий RA, предотвращает преждевременный вход в мейоз, что необходимо учитывать при разработке протоколов дифференцировки (MacLean et al., 2007).</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Триада транскрипционных факторов - BLIMP1 (PRDM1), PRDM14 и TFAP2C (AP2γ) - образует ядро регуляторной сети, контролирующей спецификацию PGCLCs. BLIMP1 действует как главный репрессор соматической программы, подавляя экспрессию генов мезодермы (Ohinata et al., 2005). PRDM14, в свою очередь, регулирует эпигенетическое состояние, способствуя деметилированию ДНК и поддержанию плюрипотентности (Yamaji et al., 2013). TFAP2C необходим для выживания PGCLCs, вероятно, через регуляцию антиапоптотических путей (Weber et al., 2010).</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У человека эта сеть несколько отличается - SOX17 заменяет BLIMP1 в качестве главного регулятора на ранних стадиях, что отражает эволюционные различия в механизмах спецификации зародышевой линии (Irie et al., 2015).</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Другие важные транскрипционные факторы включают:</w:t>
      </w:r>
    </w:p>
    <w:p w:rsidR="00000000" w:rsidDel="00000000" w:rsidP="00000000" w:rsidRDefault="00000000" w:rsidRPr="00000000" w14:paraId="00000077">
      <w:pPr>
        <w:numPr>
          <w:ilvl w:val="0"/>
          <w:numId w:val="1"/>
        </w:numPr>
        <w:ind w:left="720" w:hanging="360"/>
        <w:jc w:val="both"/>
      </w:pPr>
      <w:r w:rsidDel="00000000" w:rsidR="00000000" w:rsidRPr="00000000">
        <w:rPr>
          <w:rtl w:val="0"/>
        </w:rPr>
        <w:t xml:space="preserve">NANOG: поддерживает плюрипотентность в PGCLCs (Yamaguchi et al., 2015)</w:t>
      </w:r>
    </w:p>
    <w:p w:rsidR="00000000" w:rsidDel="00000000" w:rsidP="00000000" w:rsidRDefault="00000000" w:rsidRPr="00000000" w14:paraId="00000078">
      <w:pPr>
        <w:numPr>
          <w:ilvl w:val="0"/>
          <w:numId w:val="1"/>
        </w:numPr>
        <w:ind w:left="720" w:hanging="360"/>
        <w:jc w:val="both"/>
      </w:pPr>
      <w:r w:rsidDel="00000000" w:rsidR="00000000" w:rsidRPr="00000000">
        <w:rPr>
          <w:rtl w:val="0"/>
        </w:rPr>
        <w:t xml:space="preserve">DAZL: необходим для постмиграционного развития ПЗК (Chen et al., 2014)</w:t>
      </w:r>
    </w:p>
    <w:p w:rsidR="00000000" w:rsidDel="00000000" w:rsidP="00000000" w:rsidRDefault="00000000" w:rsidRPr="00000000" w14:paraId="00000079">
      <w:pPr>
        <w:numPr>
          <w:ilvl w:val="0"/>
          <w:numId w:val="1"/>
        </w:numPr>
        <w:ind w:left="720" w:hanging="360"/>
        <w:jc w:val="both"/>
      </w:pPr>
      <w:r w:rsidDel="00000000" w:rsidR="00000000" w:rsidRPr="00000000">
        <w:rPr>
          <w:rtl w:val="0"/>
        </w:rPr>
        <w:t xml:space="preserve">SOX15: специфический маркер мышиных PGCLCs (Nakaki et al., 2013)</w:t>
      </w:r>
    </w:p>
    <w:p w:rsidR="00000000" w:rsidDel="00000000" w:rsidP="00000000" w:rsidRDefault="00000000" w:rsidRPr="00000000" w14:paraId="0000007A">
      <w:pPr>
        <w:jc w:val="both"/>
        <w:rPr/>
      </w:pPr>
      <w:r w:rsidDel="00000000" w:rsidR="00000000" w:rsidRPr="00000000">
        <w:rPr>
          <w:rtl w:val="0"/>
        </w:rPr>
        <w:t xml:space="preserve">Процесс индукции PGCLCs сопровождается масштабным эпигенетическим ремоделированием, имитирующим события in vivo. Ключевые аспекты включают:</w:t>
      </w:r>
    </w:p>
    <w:p w:rsidR="00000000" w:rsidDel="00000000" w:rsidP="00000000" w:rsidRDefault="00000000" w:rsidRPr="00000000" w14:paraId="0000007B">
      <w:pPr>
        <w:pStyle w:val="Heading4"/>
        <w:jc w:val="both"/>
        <w:rPr/>
      </w:pPr>
      <w:bookmarkStart w:colFirst="0" w:colLast="0" w:name="_g0h1273upjdu" w:id="10"/>
      <w:bookmarkEnd w:id="10"/>
      <w:r w:rsidDel="00000000" w:rsidR="00000000" w:rsidRPr="00000000">
        <w:rPr>
          <w:rtl w:val="0"/>
        </w:rPr>
        <w:t xml:space="preserve">Деметилирование ДНК</w:t>
      </w:r>
    </w:p>
    <w:p w:rsidR="00000000" w:rsidDel="00000000" w:rsidP="00000000" w:rsidRDefault="00000000" w:rsidRPr="00000000" w14:paraId="0000007C">
      <w:pPr>
        <w:jc w:val="both"/>
        <w:rPr/>
      </w:pPr>
      <w:r w:rsidDel="00000000" w:rsidR="00000000" w:rsidRPr="00000000">
        <w:rPr>
          <w:rtl w:val="0"/>
        </w:rPr>
        <w:t xml:space="preserve">Глобальное снижение уровня 5-метилцитозина является характерной чертой PGCLCs (Seisenberger et al., 2012). Этот процесс происходит в две фазы: пассивное деметилирование за счет подавления DNMT1 и активное - через путь TET-зависимого окисления 5mC (Hackett et al., 2013).</w:t>
      </w:r>
    </w:p>
    <w:p w:rsidR="00000000" w:rsidDel="00000000" w:rsidP="00000000" w:rsidRDefault="00000000" w:rsidRPr="00000000" w14:paraId="0000007D">
      <w:pPr>
        <w:pStyle w:val="Heading4"/>
        <w:jc w:val="both"/>
        <w:rPr/>
      </w:pPr>
      <w:bookmarkStart w:colFirst="0" w:colLast="0" w:name="_533orvz1z6i4" w:id="11"/>
      <w:bookmarkEnd w:id="11"/>
      <w:r w:rsidDel="00000000" w:rsidR="00000000" w:rsidRPr="00000000">
        <w:rPr>
          <w:rtl w:val="0"/>
        </w:rPr>
        <w:t xml:space="preserve">Модификации гистонов</w:t>
      </w:r>
    </w:p>
    <w:p w:rsidR="00000000" w:rsidDel="00000000" w:rsidP="00000000" w:rsidRDefault="00000000" w:rsidRPr="00000000" w14:paraId="0000007E">
      <w:pPr>
        <w:jc w:val="both"/>
        <w:rPr/>
      </w:pPr>
      <w:r w:rsidDel="00000000" w:rsidR="00000000" w:rsidRPr="00000000">
        <w:rPr>
          <w:rtl w:val="0"/>
        </w:rPr>
        <w:t xml:space="preserve">PGCLCs демонстрируют уникальный профиль модификаций гистонов:</w:t>
      </w:r>
    </w:p>
    <w:p w:rsidR="00000000" w:rsidDel="00000000" w:rsidP="00000000" w:rsidRDefault="00000000" w:rsidRPr="00000000" w14:paraId="0000007F">
      <w:pPr>
        <w:numPr>
          <w:ilvl w:val="0"/>
          <w:numId w:val="8"/>
        </w:numPr>
        <w:ind w:left="720" w:hanging="360"/>
        <w:jc w:val="both"/>
      </w:pPr>
      <w:r w:rsidDel="00000000" w:rsidR="00000000" w:rsidRPr="00000000">
        <w:rPr>
          <w:rtl w:val="0"/>
        </w:rPr>
        <w:t xml:space="preserve">Увеличение H3K27me3 (репрессивная метка)</w:t>
      </w:r>
    </w:p>
    <w:p w:rsidR="00000000" w:rsidDel="00000000" w:rsidP="00000000" w:rsidRDefault="00000000" w:rsidRPr="00000000" w14:paraId="00000080">
      <w:pPr>
        <w:numPr>
          <w:ilvl w:val="0"/>
          <w:numId w:val="8"/>
        </w:numPr>
        <w:ind w:left="720" w:hanging="360"/>
        <w:jc w:val="both"/>
      </w:pPr>
      <w:r w:rsidDel="00000000" w:rsidR="00000000" w:rsidRPr="00000000">
        <w:rPr>
          <w:rtl w:val="0"/>
        </w:rPr>
        <w:t xml:space="preserve">Снижение H3K9me2 (активация транскрипции)</w:t>
      </w:r>
    </w:p>
    <w:p w:rsidR="00000000" w:rsidDel="00000000" w:rsidP="00000000" w:rsidRDefault="00000000" w:rsidRPr="00000000" w14:paraId="00000081">
      <w:pPr>
        <w:numPr>
          <w:ilvl w:val="0"/>
          <w:numId w:val="8"/>
        </w:numPr>
        <w:ind w:left="720" w:hanging="360"/>
        <w:jc w:val="both"/>
      </w:pPr>
      <w:r w:rsidDel="00000000" w:rsidR="00000000" w:rsidRPr="00000000">
        <w:rPr>
          <w:rtl w:val="0"/>
        </w:rPr>
        <w:t xml:space="preserve">Повышение H3K4me3 на промоторах ключевых генов (Hajkova et al., 2008)</w:t>
      </w:r>
    </w:p>
    <w:p w:rsidR="00000000" w:rsidDel="00000000" w:rsidP="00000000" w:rsidRDefault="00000000" w:rsidRPr="00000000" w14:paraId="00000082">
      <w:pPr>
        <w:pStyle w:val="Heading4"/>
        <w:jc w:val="both"/>
        <w:rPr/>
      </w:pPr>
      <w:bookmarkStart w:colFirst="0" w:colLast="0" w:name="_es6qhhenvxkp" w:id="12"/>
      <w:bookmarkEnd w:id="12"/>
      <w:r w:rsidDel="00000000" w:rsidR="00000000" w:rsidRPr="00000000">
        <w:rPr>
          <w:rtl w:val="0"/>
        </w:rPr>
        <w:t xml:space="preserve">Импринтинг и X-инактивация</w:t>
      </w:r>
    </w:p>
    <w:p w:rsidR="00000000" w:rsidDel="00000000" w:rsidP="00000000" w:rsidRDefault="00000000" w:rsidRPr="00000000" w14:paraId="00000083">
      <w:pPr>
        <w:jc w:val="both"/>
        <w:rPr/>
      </w:pPr>
      <w:r w:rsidDel="00000000" w:rsidR="00000000" w:rsidRPr="00000000">
        <w:rPr>
          <w:rtl w:val="0"/>
        </w:rPr>
        <w:t xml:space="preserve">У женских PGCLCs происходит реактивация инактивированной X-хромосомы, что является важным этапом репрограммирования (Sugimoto &amp; Abe, 2007). Одновременно наблюдается стирание геномного импринтинга, необходимое для установления тотипотентности (Tang et al., 2015).</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Сравнительные исследования выявили значительные различия между видами:</w:t>
      </w:r>
    </w:p>
    <w:p w:rsidR="00000000" w:rsidDel="00000000" w:rsidP="00000000" w:rsidRDefault="00000000" w:rsidRPr="00000000" w14:paraId="00000086">
      <w:pPr>
        <w:numPr>
          <w:ilvl w:val="0"/>
          <w:numId w:val="9"/>
        </w:numPr>
        <w:ind w:left="720" w:hanging="360"/>
        <w:jc w:val="both"/>
      </w:pPr>
      <w:r w:rsidDel="00000000" w:rsidR="00000000" w:rsidRPr="00000000">
        <w:rPr>
          <w:rtl w:val="0"/>
        </w:rPr>
        <w:t xml:space="preserve">У мыши ключевым регулятором является BLIMP1, у человека - SOX17 (Irie et al., 2015)</w:t>
      </w:r>
    </w:p>
    <w:p w:rsidR="00000000" w:rsidDel="00000000" w:rsidP="00000000" w:rsidRDefault="00000000" w:rsidRPr="00000000" w14:paraId="00000087">
      <w:pPr>
        <w:numPr>
          <w:ilvl w:val="0"/>
          <w:numId w:val="9"/>
        </w:numPr>
        <w:ind w:left="720" w:hanging="360"/>
        <w:jc w:val="both"/>
      </w:pPr>
      <w:r w:rsidDel="00000000" w:rsidR="00000000" w:rsidRPr="00000000">
        <w:rPr>
          <w:rtl w:val="0"/>
        </w:rPr>
        <w:t xml:space="preserve">Временные параметры эпигенетического репрограммирования различаются (Tang et al., 2015)</w:t>
      </w:r>
    </w:p>
    <w:p w:rsidR="00000000" w:rsidDel="00000000" w:rsidP="00000000" w:rsidRDefault="00000000" w:rsidRPr="00000000" w14:paraId="00000088">
      <w:pPr>
        <w:numPr>
          <w:ilvl w:val="0"/>
          <w:numId w:val="9"/>
        </w:numPr>
        <w:ind w:left="720" w:hanging="360"/>
        <w:jc w:val="both"/>
      </w:pPr>
      <w:r w:rsidDel="00000000" w:rsidR="00000000" w:rsidRPr="00000000">
        <w:rPr>
          <w:rtl w:val="0"/>
        </w:rPr>
        <w:t xml:space="preserve">Чувствительность к цитокинам (например, BMP4) варьирует между видами (Chen et al., 2017)</w:t>
      </w:r>
    </w:p>
    <w:p w:rsidR="00000000" w:rsidDel="00000000" w:rsidP="00000000" w:rsidRDefault="00000000" w:rsidRPr="00000000" w14:paraId="00000089">
      <w:pPr>
        <w:jc w:val="both"/>
        <w:rPr/>
      </w:pPr>
      <w:r w:rsidDel="00000000" w:rsidR="00000000" w:rsidRPr="00000000">
        <w:rPr>
          <w:rtl w:val="0"/>
        </w:rPr>
        <w:t xml:space="preserve">Эти различия необходимо учитывать при разработке видов-специфичных протоколов дифференцировки.</w:t>
      </w:r>
    </w:p>
    <w:p w:rsidR="00000000" w:rsidDel="00000000" w:rsidP="00000000" w:rsidRDefault="00000000" w:rsidRPr="00000000" w14:paraId="0000008A">
      <w:pPr>
        <w:pStyle w:val="Heading1"/>
        <w:jc w:val="both"/>
        <w:rPr/>
      </w:pPr>
      <w:bookmarkStart w:colFirst="0" w:colLast="0" w:name="_ew7xqf5lokq0" w:id="13"/>
      <w:bookmarkEnd w:id="13"/>
      <w:r w:rsidDel="00000000" w:rsidR="00000000" w:rsidRPr="00000000">
        <w:rPr>
          <w:rtl w:val="0"/>
        </w:rPr>
        <w:t xml:space="preserve">Сравнительный анализ PGCLCs и in vivo ПЗК</w:t>
      </w:r>
    </w:p>
    <w:p w:rsidR="00000000" w:rsidDel="00000000" w:rsidP="00000000" w:rsidRDefault="00000000" w:rsidRPr="00000000" w14:paraId="0000008B">
      <w:pPr>
        <w:jc w:val="both"/>
        <w:rPr/>
      </w:pPr>
      <w:r w:rsidDel="00000000" w:rsidR="00000000" w:rsidRPr="00000000">
        <w:rPr>
          <w:rtl w:val="0"/>
        </w:rPr>
        <w:t xml:space="preserve">Современные технологии одноклеточного РНК-секвенирования позволили провести детальное сравнение транскрипционных профилей PGCLCs, полученных in vitro, и нативных ПЗК, выделенных из эмбрионов. Исследования на мышиной модели показали, что PGCLCs, дифференцированные из ЭСК по протоколу Hayashi (Hayashi et al., 2011), воспроизводят около 85% транскриптома нативных ПЗК E9.5 (Tang et al., 2015). Однако сохраняются существенные различия в экспрессии генов, связанных с миграцией (Cxcr4, Integrins) и ответом на микроокружение (Kitlg).</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У человека сравнительный анализ выявил более значительные расхождения. PGCLCs, полученные из ИПСК, демонстрировали лишь 60-70% совпадение с транскриптомом in vivo ПЗК 4-6 недель развития (Sasaki et al., 2015). Особенно заметны были различия в экспрессии генов, кодирующих компоненты внеклеточного матрикса и факторов роста, что может отражать отсутствие физиологического микроокружения в условиях in vitro.</w:t>
      </w:r>
    </w:p>
    <w:p w:rsidR="00000000" w:rsidDel="00000000" w:rsidP="00000000" w:rsidRDefault="00000000" w:rsidRPr="00000000" w14:paraId="0000008E">
      <w:pPr>
        <w:pStyle w:val="Heading2"/>
        <w:jc w:val="both"/>
        <w:rPr/>
      </w:pPr>
      <w:bookmarkStart w:colFirst="0" w:colLast="0" w:name="_6umo8cbxk02f" w:id="14"/>
      <w:bookmarkEnd w:id="14"/>
      <w:r w:rsidDel="00000000" w:rsidR="00000000" w:rsidRPr="00000000">
        <w:rPr>
          <w:rtl w:val="0"/>
        </w:rPr>
        <w:t xml:space="preserve">Эпигенетическое репрограммирование: in vitro vs in vivo</w:t>
      </w:r>
    </w:p>
    <w:p w:rsidR="00000000" w:rsidDel="00000000" w:rsidP="00000000" w:rsidRDefault="00000000" w:rsidRPr="00000000" w14:paraId="0000008F">
      <w:pPr>
        <w:jc w:val="both"/>
        <w:rPr/>
      </w:pPr>
      <w:r w:rsidDel="00000000" w:rsidR="00000000" w:rsidRPr="00000000">
        <w:rPr>
          <w:rtl w:val="0"/>
        </w:rPr>
        <w:t xml:space="preserve">Процесс глобального деметилирования ДНК является ключевой характеристикой развивающихся ПЗК. Нативные ПЗК мыши демонстрируют двухфазное деметилирование: начальное пассивное (E8.5-E10.5) с последующим активным TET-зависимым окислением 5mC (Seisenberger et al., 2012). PGCLCs воспроизводят эту динамику, но с задержкой и менее полным деметилированием повторяющихся элементов (Hackett et al., 2013).</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У человека ситуация более сложная. Нативные ПЗК 7-9 недель показывают практически полное деметилирование, тогда как PGCLCs сохраняют значительный уровень метилирования, особенно в импринтированных локусах (Tang et al., 2015). Это может быть связано с отсутствием сигналов от соматического микроокружения гонад in vitro.</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Сравнительный анализ модификаций гистонов выявил как сходства, так и различия:</w:t>
      </w:r>
    </w:p>
    <w:p w:rsidR="00000000" w:rsidDel="00000000" w:rsidP="00000000" w:rsidRDefault="00000000" w:rsidRPr="00000000" w14:paraId="00000094">
      <w:pPr>
        <w:numPr>
          <w:ilvl w:val="0"/>
          <w:numId w:val="18"/>
        </w:numPr>
        <w:ind w:left="720" w:hanging="360"/>
        <w:jc w:val="both"/>
      </w:pPr>
      <w:r w:rsidDel="00000000" w:rsidR="00000000" w:rsidRPr="00000000">
        <w:rPr>
          <w:rtl w:val="0"/>
        </w:rPr>
        <w:t xml:space="preserve">H3K27me3: PGCLCs и нативные ПЗК демонстрируют сходные паттерны (Hajkova et al., 2008)</w:t>
      </w:r>
    </w:p>
    <w:p w:rsidR="00000000" w:rsidDel="00000000" w:rsidP="00000000" w:rsidRDefault="00000000" w:rsidRPr="00000000" w14:paraId="00000095">
      <w:pPr>
        <w:numPr>
          <w:ilvl w:val="0"/>
          <w:numId w:val="18"/>
        </w:numPr>
        <w:ind w:left="720" w:hanging="360"/>
        <w:jc w:val="both"/>
      </w:pPr>
      <w:r w:rsidDel="00000000" w:rsidR="00000000" w:rsidRPr="00000000">
        <w:rPr>
          <w:rtl w:val="0"/>
        </w:rPr>
        <w:t xml:space="preserve">H3K4me3: в PGCLCs отмечается гиперметилирование промоторов ключевых генов (Yamaguchi et al., 2015)</w:t>
      </w:r>
    </w:p>
    <w:p w:rsidR="00000000" w:rsidDel="00000000" w:rsidP="00000000" w:rsidRDefault="00000000" w:rsidRPr="00000000" w14:paraId="00000096">
      <w:pPr>
        <w:numPr>
          <w:ilvl w:val="0"/>
          <w:numId w:val="18"/>
        </w:numPr>
        <w:ind w:left="720" w:hanging="360"/>
        <w:jc w:val="both"/>
      </w:pPr>
      <w:r w:rsidDel="00000000" w:rsidR="00000000" w:rsidRPr="00000000">
        <w:rPr>
          <w:rtl w:val="0"/>
        </w:rPr>
        <w:t xml:space="preserve">H3K9me2: уровень значительно выше в PGCLCs, что может отражать неполное репрограммирование (Liu et al., 2014)</w:t>
      </w:r>
    </w:p>
    <w:p w:rsidR="00000000" w:rsidDel="00000000" w:rsidP="00000000" w:rsidRDefault="00000000" w:rsidRPr="00000000" w14:paraId="00000097">
      <w:pPr>
        <w:pStyle w:val="Heading2"/>
        <w:jc w:val="both"/>
        <w:rPr/>
      </w:pPr>
      <w:bookmarkStart w:colFirst="0" w:colLast="0" w:name="_sfrfw07rqa9x" w:id="15"/>
      <w:bookmarkEnd w:id="15"/>
      <w:r w:rsidDel="00000000" w:rsidR="00000000" w:rsidRPr="00000000">
        <w:rPr>
          <w:rtl w:val="0"/>
        </w:rPr>
        <w:t xml:space="preserve">Функциональная компетентность PGCLCs</w:t>
      </w:r>
    </w:p>
    <w:p w:rsidR="00000000" w:rsidDel="00000000" w:rsidP="00000000" w:rsidRDefault="00000000" w:rsidRPr="00000000" w14:paraId="00000098">
      <w:pPr>
        <w:jc w:val="both"/>
        <w:rPr/>
      </w:pPr>
      <w:r w:rsidDel="00000000" w:rsidR="00000000" w:rsidRPr="00000000">
        <w:rPr>
          <w:rtl w:val="0"/>
        </w:rPr>
        <w:t xml:space="preserve">Нативные ПЗК обладают выраженной способностью к направленной миграции в гонады. Эта особенность частично сохраняется у PGCLCs: при трансплантации в эмбрионы мыши PGCLCs способны мигрировать в зачатки гонад, хотя эффективность этого процесса в 2-3 раза ниже, чем у нативных ПЗК (Hayashi et al., 2012). У человека подобные эксперименты невозможны по этическим соображениям, поэтому оценка миграционного потенциала проводится в ксенотрансплантационных моделях (Yoshino et al., 2021).</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Золотым стандартом оценки функциональности PGCLCs является их способность давать начало функциональным гаметам. Для мышиных PGCLCs этот критерий выполнен: при трансплантации в семенники бесплодных мышей они могут дифференцироваться в сперматозоиды, способные к оплодотворению (Hikabe et al., 2016). Однако эффективность этого процесса (5-10%) значительно ниже, чем при использовании нативных ПЗК (30-40%).</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Для человеческих PGCLCs полная дифференцировка в функциональные гаметы пока не достигнута. Максимальный продемонстрированный прогресс - получение ооцитоподобных клеток на поздних стадиях мейоза (Yoshino et al., 2021), но их способность к оплодотворению и эмбриональному развитию не подтверждена.</w:t>
      </w:r>
    </w:p>
    <w:p w:rsidR="00000000" w:rsidDel="00000000" w:rsidP="00000000" w:rsidRDefault="00000000" w:rsidRPr="00000000" w14:paraId="0000009D">
      <w:pPr>
        <w:pStyle w:val="Heading2"/>
        <w:jc w:val="both"/>
        <w:rPr/>
      </w:pPr>
      <w:bookmarkStart w:colFirst="0" w:colLast="0" w:name="_bh7frpueala6" w:id="16"/>
      <w:bookmarkEnd w:id="16"/>
      <w:r w:rsidDel="00000000" w:rsidR="00000000" w:rsidRPr="00000000">
        <w:rPr>
          <w:rtl w:val="0"/>
        </w:rPr>
        <w:t xml:space="preserve">Видовые особенности сравнительного анализа</w:t>
      </w:r>
    </w:p>
    <w:p w:rsidR="00000000" w:rsidDel="00000000" w:rsidP="00000000" w:rsidRDefault="00000000" w:rsidRPr="00000000" w14:paraId="0000009E">
      <w:pPr>
        <w:jc w:val="both"/>
        <w:rPr/>
      </w:pPr>
      <w:r w:rsidDel="00000000" w:rsidR="00000000" w:rsidRPr="00000000">
        <w:rPr>
          <w:rtl w:val="0"/>
        </w:rPr>
        <w:t xml:space="preserve">Сравнительные исследования выявили значительные межвидовые различия:</w:t>
      </w:r>
    </w:p>
    <w:p w:rsidR="00000000" w:rsidDel="00000000" w:rsidP="00000000" w:rsidRDefault="00000000" w:rsidRPr="00000000" w14:paraId="0000009F">
      <w:pPr>
        <w:numPr>
          <w:ilvl w:val="0"/>
          <w:numId w:val="13"/>
        </w:numPr>
        <w:ind w:left="720" w:hanging="360"/>
        <w:jc w:val="both"/>
      </w:pPr>
      <w:r w:rsidDel="00000000" w:rsidR="00000000" w:rsidRPr="00000000">
        <w:rPr>
          <w:rtl w:val="0"/>
        </w:rPr>
        <w:t xml:space="preserve">Мышь: PGCLCs демонстрируют наибольшее сходство с нативными ПЗК (80-85% по транскриптомным и эпигенетическим параметрам) (Kurimoto et al., 2015)</w:t>
      </w:r>
    </w:p>
    <w:p w:rsidR="00000000" w:rsidDel="00000000" w:rsidP="00000000" w:rsidRDefault="00000000" w:rsidRPr="00000000" w14:paraId="000000A0">
      <w:pPr>
        <w:numPr>
          <w:ilvl w:val="0"/>
          <w:numId w:val="13"/>
        </w:numPr>
        <w:ind w:left="720" w:hanging="360"/>
        <w:jc w:val="both"/>
      </w:pPr>
      <w:r w:rsidDel="00000000" w:rsidR="00000000" w:rsidRPr="00000000">
        <w:rPr>
          <w:rtl w:val="0"/>
        </w:rPr>
        <w:t xml:space="preserve">Человек: сходство ограничено 60-70%, особенно по эпигенетическим параметрам (Tang et al., 2015)</w:t>
      </w:r>
    </w:p>
    <w:p w:rsidR="00000000" w:rsidDel="00000000" w:rsidP="00000000" w:rsidRDefault="00000000" w:rsidRPr="00000000" w14:paraId="000000A1">
      <w:pPr>
        <w:numPr>
          <w:ilvl w:val="0"/>
          <w:numId w:val="13"/>
        </w:numPr>
        <w:ind w:left="720" w:hanging="360"/>
        <w:jc w:val="both"/>
      </w:pPr>
      <w:r w:rsidDel="00000000" w:rsidR="00000000" w:rsidRPr="00000000">
        <w:rPr>
          <w:rtl w:val="0"/>
        </w:rPr>
        <w:t xml:space="preserve">Обезьяна: промежуточный вариант (60-75% сходства) (Sasaki et al., 2016)</w:t>
      </w:r>
    </w:p>
    <w:p w:rsidR="00000000" w:rsidDel="00000000" w:rsidP="00000000" w:rsidRDefault="00000000" w:rsidRPr="00000000" w14:paraId="000000A2">
      <w:pPr>
        <w:jc w:val="both"/>
        <w:rPr/>
      </w:pPr>
      <w:r w:rsidDel="00000000" w:rsidR="00000000" w:rsidRPr="00000000">
        <w:rPr>
          <w:rtl w:val="0"/>
        </w:rPr>
        <w:t xml:space="preserve">Эти различия подчеркивают необходимость видов-специфичной оптимизации протоколов дифференцировки.</w:t>
      </w:r>
    </w:p>
    <w:p w:rsidR="00000000" w:rsidDel="00000000" w:rsidP="00000000" w:rsidRDefault="00000000" w:rsidRPr="00000000" w14:paraId="000000A3">
      <w:pPr>
        <w:pStyle w:val="Heading2"/>
        <w:jc w:val="both"/>
        <w:rPr/>
      </w:pPr>
      <w:bookmarkStart w:colFirst="0" w:colLast="0" w:name="_dho9t95od2ro" w:id="17"/>
      <w:bookmarkEnd w:id="17"/>
      <w:r w:rsidDel="00000000" w:rsidR="00000000" w:rsidRPr="00000000">
        <w:rPr>
          <w:rtl w:val="0"/>
        </w:rPr>
        <w:t xml:space="preserve">Количественные показатели сравнения</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7.7131258457375"/>
        <w:gridCol w:w="1633.8836265223276"/>
        <w:gridCol w:w="1519.891745602165"/>
        <w:gridCol w:w="2178.51150202977"/>
        <w:tblGridChange w:id="0">
          <w:tblGrid>
            <w:gridCol w:w="4027.7131258457375"/>
            <w:gridCol w:w="1633.8836265223276"/>
            <w:gridCol w:w="1519.891745602165"/>
            <w:gridCol w:w="2178.51150202977"/>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A4">
            <w:pPr>
              <w:spacing w:line="240" w:lineRule="auto"/>
              <w:jc w:val="both"/>
              <w:rPr/>
            </w:pPr>
            <w:r w:rsidDel="00000000" w:rsidR="00000000" w:rsidRPr="00000000">
              <w:rPr>
                <w:rtl w:val="0"/>
              </w:rPr>
              <w:t xml:space="preserve">Параметр</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5">
            <w:pPr>
              <w:spacing w:line="240" w:lineRule="auto"/>
              <w:jc w:val="both"/>
              <w:rPr/>
            </w:pPr>
            <w:r w:rsidDel="00000000" w:rsidR="00000000" w:rsidRPr="00000000">
              <w:rPr>
                <w:rtl w:val="0"/>
              </w:rPr>
              <w:t xml:space="preserve">Нативные ПЗК</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6">
            <w:pPr>
              <w:spacing w:line="240" w:lineRule="auto"/>
              <w:jc w:val="both"/>
              <w:rPr/>
            </w:pPr>
            <w:r w:rsidDel="00000000" w:rsidR="00000000" w:rsidRPr="00000000">
              <w:rPr>
                <w:rtl w:val="0"/>
              </w:rPr>
              <w:t xml:space="preserve">PGCLCs</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7">
            <w:pPr>
              <w:spacing w:line="240" w:lineRule="auto"/>
              <w:jc w:val="both"/>
              <w:rPr/>
            </w:pPr>
            <w:r w:rsidDel="00000000" w:rsidR="00000000" w:rsidRPr="00000000">
              <w:rPr>
                <w:rtl w:val="0"/>
              </w:rPr>
              <w:t xml:space="preserve">Ссылка</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A8">
            <w:pPr>
              <w:spacing w:line="240" w:lineRule="auto"/>
              <w:jc w:val="both"/>
              <w:rPr/>
            </w:pPr>
            <w:r w:rsidDel="00000000" w:rsidR="00000000" w:rsidRPr="00000000">
              <w:rPr>
                <w:rtl w:val="0"/>
              </w:rPr>
              <w:t xml:space="preserve">Эффективность образования гамет (мышь)</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9">
            <w:pPr>
              <w:spacing w:line="240" w:lineRule="auto"/>
              <w:jc w:val="both"/>
              <w:rPr/>
            </w:pPr>
            <w:r w:rsidDel="00000000" w:rsidR="00000000" w:rsidRPr="00000000">
              <w:rPr>
                <w:rtl w:val="0"/>
              </w:rPr>
              <w:t xml:space="preserve">30-40%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A">
            <w:pPr>
              <w:spacing w:line="240" w:lineRule="auto"/>
              <w:jc w:val="both"/>
              <w:rPr/>
            </w:pPr>
            <w:r w:rsidDel="00000000" w:rsidR="00000000" w:rsidRPr="00000000">
              <w:rPr>
                <w:rtl w:val="0"/>
              </w:rPr>
              <w:t xml:space="preserve">5-10%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B">
            <w:pPr>
              <w:spacing w:line="240" w:lineRule="auto"/>
              <w:jc w:val="both"/>
              <w:rPr/>
            </w:pPr>
            <w:r w:rsidDel="00000000" w:rsidR="00000000" w:rsidRPr="00000000">
              <w:rPr>
                <w:rtl w:val="0"/>
              </w:rPr>
              <w:t xml:space="preserve">(Hikabe et al., 2016)</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AC">
            <w:pPr>
              <w:spacing w:line="240" w:lineRule="auto"/>
              <w:jc w:val="both"/>
              <w:rPr/>
            </w:pPr>
            <w:r w:rsidDel="00000000" w:rsidR="00000000" w:rsidRPr="00000000">
              <w:rPr>
                <w:rtl w:val="0"/>
              </w:rPr>
              <w:t xml:space="preserve">Уровень деметилирования (человек)</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D">
            <w:pPr>
              <w:spacing w:line="240" w:lineRule="auto"/>
              <w:jc w:val="both"/>
              <w:rPr/>
            </w:pPr>
            <w:r w:rsidDel="00000000" w:rsidR="00000000" w:rsidRPr="00000000">
              <w:rPr>
                <w:rtl w:val="0"/>
              </w:rPr>
              <w:t xml:space="preserve">&gt;95%</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E">
            <w:pPr>
              <w:spacing w:line="240" w:lineRule="auto"/>
              <w:jc w:val="both"/>
              <w:rPr/>
            </w:pPr>
            <w:r w:rsidDel="00000000" w:rsidR="00000000" w:rsidRPr="00000000">
              <w:rPr>
                <w:rtl w:val="0"/>
              </w:rPr>
              <w:t xml:space="preserve">60-70%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F">
            <w:pPr>
              <w:spacing w:line="240" w:lineRule="auto"/>
              <w:jc w:val="both"/>
              <w:rPr/>
            </w:pPr>
            <w:r w:rsidDel="00000000" w:rsidR="00000000" w:rsidRPr="00000000">
              <w:rPr>
                <w:rtl w:val="0"/>
              </w:rPr>
              <w:t xml:space="preserve">(Tang et al., 2015)</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B0">
            <w:pPr>
              <w:spacing w:line="240" w:lineRule="auto"/>
              <w:jc w:val="both"/>
              <w:rPr/>
            </w:pPr>
            <w:r w:rsidDel="00000000" w:rsidR="00000000" w:rsidRPr="00000000">
              <w:rPr>
                <w:rtl w:val="0"/>
              </w:rPr>
              <w:t xml:space="preserve">Сходство транскриптома (мышь)</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1">
            <w:pPr>
              <w:spacing w:line="240" w:lineRule="auto"/>
              <w:jc w:val="both"/>
              <w:rPr/>
            </w:pPr>
            <w:r w:rsidDel="00000000" w:rsidR="00000000" w:rsidRPr="00000000">
              <w:rPr>
                <w:rtl w:val="0"/>
              </w:rPr>
              <w:t xml:space="preserve">100%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2">
            <w:pPr>
              <w:spacing w:line="240" w:lineRule="auto"/>
              <w:jc w:val="both"/>
              <w:rPr/>
            </w:pPr>
            <w:r w:rsidDel="00000000" w:rsidR="00000000" w:rsidRPr="00000000">
              <w:rPr>
                <w:rtl w:val="0"/>
              </w:rPr>
              <w:t xml:space="preserve">85%</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3">
            <w:pPr>
              <w:spacing w:line="240" w:lineRule="auto"/>
              <w:jc w:val="both"/>
              <w:rPr/>
            </w:pPr>
            <w:r w:rsidDel="00000000" w:rsidR="00000000" w:rsidRPr="00000000">
              <w:rPr>
                <w:rtl w:val="0"/>
              </w:rPr>
              <w:t xml:space="preserve">(Kurimoto et al., 2015)</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B4">
            <w:pPr>
              <w:spacing w:line="240" w:lineRule="auto"/>
              <w:jc w:val="both"/>
              <w:rPr/>
            </w:pPr>
            <w:r w:rsidDel="00000000" w:rsidR="00000000" w:rsidRPr="00000000">
              <w:rPr>
                <w:rtl w:val="0"/>
              </w:rPr>
              <w:t xml:space="preserve">Сходство транскриптома (человек)</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5">
            <w:pPr>
              <w:spacing w:line="240" w:lineRule="auto"/>
              <w:jc w:val="both"/>
              <w:rPr/>
            </w:pPr>
            <w:r w:rsidDel="00000000" w:rsidR="00000000" w:rsidRPr="00000000">
              <w:rPr>
                <w:rtl w:val="0"/>
              </w:rPr>
              <w:t xml:space="preserve">100%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6">
            <w:pPr>
              <w:spacing w:line="240" w:lineRule="auto"/>
              <w:jc w:val="both"/>
              <w:rPr/>
            </w:pPr>
            <w:r w:rsidDel="00000000" w:rsidR="00000000" w:rsidRPr="00000000">
              <w:rPr>
                <w:rtl w:val="0"/>
              </w:rPr>
              <w:t xml:space="preserve">60-70%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7">
            <w:pPr>
              <w:spacing w:line="240" w:lineRule="auto"/>
              <w:jc w:val="both"/>
              <w:rPr/>
            </w:pPr>
            <w:r w:rsidDel="00000000" w:rsidR="00000000" w:rsidRPr="00000000">
              <w:rPr>
                <w:rtl w:val="0"/>
              </w:rPr>
              <w:t xml:space="preserve">(Sasaki et al., 2015)</w:t>
            </w:r>
          </w:p>
        </w:tc>
      </w:tr>
    </w:tbl>
    <w:p w:rsidR="00000000" w:rsidDel="00000000" w:rsidP="00000000" w:rsidRDefault="00000000" w:rsidRPr="00000000" w14:paraId="000000B8">
      <w:pPr>
        <w:pStyle w:val="Heading2"/>
        <w:jc w:val="both"/>
        <w:rPr/>
      </w:pPr>
      <w:bookmarkStart w:colFirst="0" w:colLast="0" w:name="_kadw3gffud3z" w:id="18"/>
      <w:bookmarkEnd w:id="18"/>
      <w:r w:rsidDel="00000000" w:rsidR="00000000" w:rsidRPr="00000000">
        <w:rPr>
          <w:rtl w:val="0"/>
        </w:rPr>
        <w:t xml:space="preserve">Ограничения текущих моделей PGCLCs</w:t>
      </w:r>
    </w:p>
    <w:p w:rsidR="00000000" w:rsidDel="00000000" w:rsidP="00000000" w:rsidRDefault="00000000" w:rsidRPr="00000000" w14:paraId="000000B9">
      <w:pPr>
        <w:jc w:val="both"/>
        <w:rPr/>
      </w:pPr>
      <w:r w:rsidDel="00000000" w:rsidR="00000000" w:rsidRPr="00000000">
        <w:rPr>
          <w:rtl w:val="0"/>
        </w:rPr>
        <w:t xml:space="preserve">Несмотря на значительный прогресс, современные PGCLCs имеют несколько ключевых ограничений:</w:t>
      </w:r>
    </w:p>
    <w:p w:rsidR="00000000" w:rsidDel="00000000" w:rsidP="00000000" w:rsidRDefault="00000000" w:rsidRPr="00000000" w14:paraId="000000BA">
      <w:pPr>
        <w:numPr>
          <w:ilvl w:val="0"/>
          <w:numId w:val="15"/>
        </w:numPr>
        <w:ind w:left="720" w:hanging="360"/>
        <w:jc w:val="both"/>
      </w:pPr>
      <w:r w:rsidDel="00000000" w:rsidR="00000000" w:rsidRPr="00000000">
        <w:rPr>
          <w:rtl w:val="0"/>
        </w:rPr>
        <w:t xml:space="preserve">Неполное эпигенетическое репрограммирование</w:t>
      </w:r>
    </w:p>
    <w:p w:rsidR="00000000" w:rsidDel="00000000" w:rsidP="00000000" w:rsidRDefault="00000000" w:rsidRPr="00000000" w14:paraId="000000BB">
      <w:pPr>
        <w:numPr>
          <w:ilvl w:val="0"/>
          <w:numId w:val="15"/>
        </w:numPr>
        <w:ind w:left="720" w:hanging="360"/>
        <w:jc w:val="both"/>
      </w:pPr>
      <w:r w:rsidDel="00000000" w:rsidR="00000000" w:rsidRPr="00000000">
        <w:rPr>
          <w:rtl w:val="0"/>
        </w:rPr>
        <w:t xml:space="preserve">Отсутствие физиологического микроокружения</w:t>
      </w:r>
    </w:p>
    <w:p w:rsidR="00000000" w:rsidDel="00000000" w:rsidP="00000000" w:rsidRDefault="00000000" w:rsidRPr="00000000" w14:paraId="000000BC">
      <w:pPr>
        <w:numPr>
          <w:ilvl w:val="0"/>
          <w:numId w:val="15"/>
        </w:numPr>
        <w:ind w:left="720" w:hanging="360"/>
        <w:jc w:val="both"/>
      </w:pPr>
      <w:r w:rsidDel="00000000" w:rsidR="00000000" w:rsidRPr="00000000">
        <w:rPr>
          <w:rtl w:val="0"/>
        </w:rPr>
        <w:t xml:space="preserve">Видовые различия в эффективности дифференцировки</w:t>
      </w:r>
    </w:p>
    <w:p w:rsidR="00000000" w:rsidDel="00000000" w:rsidP="00000000" w:rsidRDefault="00000000" w:rsidRPr="00000000" w14:paraId="000000BD">
      <w:pPr>
        <w:numPr>
          <w:ilvl w:val="0"/>
          <w:numId w:val="15"/>
        </w:numPr>
        <w:ind w:left="720" w:hanging="360"/>
        <w:jc w:val="both"/>
      </w:pPr>
      <w:r w:rsidDel="00000000" w:rsidR="00000000" w:rsidRPr="00000000">
        <w:rPr>
          <w:rtl w:val="0"/>
        </w:rPr>
        <w:t xml:space="preserve">Этические ограничения на валидацию функциональности (для человеческих клеток)</w:t>
      </w:r>
    </w:p>
    <w:p w:rsidR="00000000" w:rsidDel="00000000" w:rsidP="00000000" w:rsidRDefault="00000000" w:rsidRPr="00000000" w14:paraId="000000BE">
      <w:pPr>
        <w:jc w:val="both"/>
        <w:rPr/>
      </w:pPr>
      <w:r w:rsidDel="00000000" w:rsidR="00000000" w:rsidRPr="00000000">
        <w:rPr>
          <w:rtl w:val="0"/>
        </w:rPr>
        <w:t xml:space="preserve">Перспективные направления преодоления этих ограничений включают разработку органоидных систем, имитирующих гонадное микроокружение, и усовершенствование протоколов эпигенетического репрограммирования (Zhou et al., 2016).</w:t>
      </w:r>
    </w:p>
    <w:p w:rsidR="00000000" w:rsidDel="00000000" w:rsidP="00000000" w:rsidRDefault="00000000" w:rsidRPr="00000000" w14:paraId="000000BF">
      <w:pPr>
        <w:pStyle w:val="Heading1"/>
        <w:jc w:val="both"/>
        <w:rPr/>
      </w:pPr>
      <w:bookmarkStart w:colFirst="0" w:colLast="0" w:name="_5khdt8cnctlc" w:id="19"/>
      <w:bookmarkEnd w:id="19"/>
      <w:r w:rsidDel="00000000" w:rsidR="00000000" w:rsidRPr="00000000">
        <w:rPr>
          <w:rtl w:val="0"/>
        </w:rPr>
        <w:t xml:space="preserve">Применение PGCLCs в биомедицине</w:t>
      </w:r>
    </w:p>
    <w:p w:rsidR="00000000" w:rsidDel="00000000" w:rsidP="00000000" w:rsidRDefault="00000000" w:rsidRPr="00000000" w14:paraId="000000C0">
      <w:pPr>
        <w:jc w:val="both"/>
        <w:rPr/>
      </w:pPr>
      <w:r w:rsidDel="00000000" w:rsidR="00000000" w:rsidRPr="00000000">
        <w:rPr>
          <w:rtl w:val="0"/>
        </w:rPr>
        <w:t xml:space="preserve">Главным применением PGCLCs является:</w:t>
      </w:r>
    </w:p>
    <w:p w:rsidR="00000000" w:rsidDel="00000000" w:rsidP="00000000" w:rsidRDefault="00000000" w:rsidRPr="00000000" w14:paraId="000000C1">
      <w:pPr>
        <w:numPr>
          <w:ilvl w:val="0"/>
          <w:numId w:val="32"/>
        </w:numPr>
        <w:ind w:left="720" w:hanging="360"/>
        <w:jc w:val="both"/>
      </w:pPr>
      <w:r w:rsidDel="00000000" w:rsidR="00000000" w:rsidRPr="00000000">
        <w:rPr>
          <w:rtl w:val="0"/>
        </w:rPr>
        <w:t xml:space="preserve">Создание цитогенетического древа развития.</w:t>
      </w:r>
    </w:p>
    <w:p w:rsidR="00000000" w:rsidDel="00000000" w:rsidP="00000000" w:rsidRDefault="00000000" w:rsidRPr="00000000" w14:paraId="000000C2">
      <w:pPr>
        <w:numPr>
          <w:ilvl w:val="0"/>
          <w:numId w:val="32"/>
        </w:numPr>
        <w:ind w:left="720" w:hanging="360"/>
        <w:jc w:val="both"/>
      </w:pPr>
      <w:r w:rsidDel="00000000" w:rsidR="00000000" w:rsidRPr="00000000">
        <w:rPr>
          <w:rtl w:val="0"/>
        </w:rPr>
        <w:t xml:space="preserve">Создание безопасных взрослых стволовых клеток, которые не отторгаются организмом - для лечения любых генетических заболеваний.</w:t>
      </w:r>
    </w:p>
    <w:p w:rsidR="00000000" w:rsidDel="00000000" w:rsidP="00000000" w:rsidRDefault="00000000" w:rsidRPr="00000000" w14:paraId="000000C3">
      <w:pPr>
        <w:numPr>
          <w:ilvl w:val="0"/>
          <w:numId w:val="32"/>
        </w:numPr>
        <w:ind w:left="720" w:hanging="360"/>
        <w:jc w:val="both"/>
      </w:pPr>
      <w:r w:rsidDel="00000000" w:rsidR="00000000" w:rsidRPr="00000000">
        <w:rPr>
          <w:rtl w:val="0"/>
        </w:rPr>
        <w:t xml:space="preserve">Создание молодых (скорость деления больше, чем у старых) безопасных взрослых стволовых клеток, которые не отторгаются организмом - для лечения старения и связанных с ними заболеваниями.</w:t>
      </w:r>
    </w:p>
    <w:p w:rsidR="00000000" w:rsidDel="00000000" w:rsidP="00000000" w:rsidRDefault="00000000" w:rsidRPr="00000000" w14:paraId="000000C4">
      <w:pPr>
        <w:jc w:val="both"/>
        <w:rPr/>
      </w:pPr>
      <w:r w:rsidDel="00000000" w:rsidR="00000000" w:rsidRPr="00000000">
        <w:rPr>
          <w:rtl w:val="0"/>
        </w:rPr>
        <w:t xml:space="preserve">Также PGCLCs представляют уникальную платформу для изучения молекулярных механизмов, лежащих в основе различных форм бесплодия. Исследования с использованием PGCLCs, полученных из ИПСК пациентов с синдромом Клайнфельтера (47,XXY), выявили нарушения в процессе мейотического входа и повышенную частоту апоптоза (Hermann et al., 2018). Аналогичные подходы применялись для моделирования преждевременной яичниковой недостаточности, где PGCLCs, дифференцированные из клеток пациенток с мутациями в гене FMR1, демонстрировали ускоренную потерю герминативных клеток (Yoshino et al., 2021).</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Особый интерес представляет использование PGCLCs для изучения геномных импринтинговых нарушений. Транскриптомный анализ PGCLCs, полученных из клеток пациентов с синдромами Прадера-Вилли и Ангельмана, позволил выявить ключевые различия в паттернах метилирования на ранних стадиях спецификации зародышевой линии (Tang et al., 2015). Эти данные имеют важное значение для понимания временного окна, когда могут возникать ошибки эпигенетического репрограммирования.</w:t>
      </w:r>
    </w:p>
    <w:p w:rsidR="00000000" w:rsidDel="00000000" w:rsidP="00000000" w:rsidRDefault="00000000" w:rsidRPr="00000000" w14:paraId="000000C7">
      <w:pPr>
        <w:pStyle w:val="Heading2"/>
        <w:jc w:val="both"/>
        <w:rPr/>
      </w:pPr>
      <w:bookmarkStart w:colFirst="0" w:colLast="0" w:name="_eyzqwv7ko624" w:id="20"/>
      <w:bookmarkEnd w:id="20"/>
      <w:r w:rsidDel="00000000" w:rsidR="00000000" w:rsidRPr="00000000">
        <w:rPr>
          <w:rtl w:val="0"/>
        </w:rPr>
        <w:t xml:space="preserve">Перспективы репродуктивной медицины</w:t>
      </w:r>
    </w:p>
    <w:p w:rsidR="00000000" w:rsidDel="00000000" w:rsidP="00000000" w:rsidRDefault="00000000" w:rsidRPr="00000000" w14:paraId="000000C8">
      <w:pPr>
        <w:jc w:val="both"/>
        <w:rPr/>
      </w:pPr>
      <w:r w:rsidDel="00000000" w:rsidR="00000000" w:rsidRPr="00000000">
        <w:rPr>
          <w:rtl w:val="0"/>
        </w:rPr>
        <w:t xml:space="preserve">Наибольшие надежды в клиническом применении PGCLCs связаны с разработкой новых методов лечения бесплодия. В экспериментах на мышах было показано, что трансплантация PGCLCs в семенники бесплодных животных приводит к восстановлению сперматогенеза (Hayashi et al., 2012). Для человеческих клеток подобные подходы пока находятся на стадии доклинических исследований, однако уже разработаны протоколы дифференцировки PGCLCs в ооцитоподобные клетки (Hikabe et al., 2016).</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t xml:space="preserve">Важным направлением является использование PGCLCs для сохранения фертильности у онкологических пациентов. Исследования Chen et al. (2017) продемонстрировали возможность получения PGCLCs из фибробластов детей препубертатного возраста, что потенциально может решить проблему отсутствия зрелых гамет для криоконсервации перед химиотерапией.</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Комбинация технологий PGCLCs и CRISPR/Cas9 открывает новые возможности для исправления наследственных мутаций. В работе Zhou et al. (2016) была показана эффективность редактирования генома на стадии PGCLCs с последующим получением здорового потомства у мышей. Этот подход особенно перспективен для моногенных заболеваний, таких как муковисцидоз или серповидноклеточная анемия.</w:t>
      </w:r>
    </w:p>
    <w:p w:rsidR="00000000" w:rsidDel="00000000" w:rsidP="00000000" w:rsidRDefault="00000000" w:rsidRPr="00000000" w14:paraId="000000CD">
      <w:pPr>
        <w:pStyle w:val="Heading2"/>
        <w:jc w:val="both"/>
        <w:rPr/>
      </w:pPr>
      <w:bookmarkStart w:colFirst="0" w:colLast="0" w:name="_dsxoqn8mjtwc" w:id="21"/>
      <w:bookmarkEnd w:id="21"/>
      <w:r w:rsidDel="00000000" w:rsidR="00000000" w:rsidRPr="00000000">
        <w:rPr>
          <w:rtl w:val="0"/>
        </w:rPr>
        <w:t xml:space="preserve">Фармакологические исследования и токсикология</w:t>
      </w:r>
    </w:p>
    <w:p w:rsidR="00000000" w:rsidDel="00000000" w:rsidP="00000000" w:rsidRDefault="00000000" w:rsidRPr="00000000" w14:paraId="000000CE">
      <w:pPr>
        <w:jc w:val="both"/>
        <w:rPr/>
      </w:pPr>
      <w:r w:rsidDel="00000000" w:rsidR="00000000" w:rsidRPr="00000000">
        <w:rPr>
          <w:rtl w:val="0"/>
        </w:rPr>
        <w:t xml:space="preserve">PGCLCs представляют ценную модель для скрининга лекарственных препаратов, влияющих на фертильность. В исследовании Sasaki et al. (2015) была разработана система тестирования гонадной токсичности на основе человеческих PGCLCs, позволяющая оценивать воздействие химических соединений на ранние стадии гаметогенеза. Этот подход особенно актуален для оценки безопасности новых противоопухолевых препаратов.</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Дополнительным применением является изучение влияния факторов окружающей среды на зародышевую линию. Эксперименты с PGCLCs выявили повышенную чувствительность этих клеток к бисфенолу А и другим эндокринным дизрапторам (Nakamura et al., 2016), что важно для понимания причин снижения фертильности в популяции.</w:t>
      </w:r>
    </w:p>
    <w:p w:rsidR="00000000" w:rsidDel="00000000" w:rsidP="00000000" w:rsidRDefault="00000000" w:rsidRPr="00000000" w14:paraId="000000D1">
      <w:pPr>
        <w:pStyle w:val="Heading2"/>
        <w:jc w:val="both"/>
        <w:rPr/>
      </w:pPr>
      <w:bookmarkStart w:colFirst="0" w:colLast="0" w:name="_dmg5zsh8iut" w:id="22"/>
      <w:bookmarkEnd w:id="22"/>
      <w:r w:rsidDel="00000000" w:rsidR="00000000" w:rsidRPr="00000000">
        <w:rPr>
          <w:rtl w:val="0"/>
        </w:rPr>
        <w:t xml:space="preserve">Биотехнологические приложения</w:t>
      </w:r>
    </w:p>
    <w:p w:rsidR="00000000" w:rsidDel="00000000" w:rsidP="00000000" w:rsidRDefault="00000000" w:rsidRPr="00000000" w14:paraId="000000D2">
      <w:pPr>
        <w:jc w:val="both"/>
        <w:rPr/>
      </w:pPr>
      <w:r w:rsidDel="00000000" w:rsidR="00000000" w:rsidRPr="00000000">
        <w:rPr>
          <w:rtl w:val="0"/>
        </w:rPr>
        <w:t xml:space="preserve">PGCLCs предлагают новые возможности для криоконсервации генетического материала исчезающих видов. В работе Gómez et al. (2020) была продемонстрирована возможность получения PGCLCs из фибробластов редких видов приматов с последующей дифференцировкой в оогонии in vitro.</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t xml:space="preserve">В животноводстве технология PGCLCs может революционизировать методы селекции. Исследования на свиньях показали возможность получения PGCLCs из эмбриональных клеток с последующей трансплантацией в реципиентов (Park et al., 2019). Это открывает перспективы для ускорения генетического улучшения стад.</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Несмотря на значительный потенциал, применение PGCLCs в медицине сталкивается с рядом ограничений:</w:t>
      </w:r>
    </w:p>
    <w:p w:rsidR="00000000" w:rsidDel="00000000" w:rsidP="00000000" w:rsidRDefault="00000000" w:rsidRPr="00000000" w14:paraId="000000D7">
      <w:pPr>
        <w:numPr>
          <w:ilvl w:val="0"/>
          <w:numId w:val="5"/>
        </w:numPr>
        <w:ind w:left="720" w:hanging="360"/>
        <w:jc w:val="both"/>
      </w:pPr>
      <w:r w:rsidDel="00000000" w:rsidR="00000000" w:rsidRPr="00000000">
        <w:rPr>
          <w:rtl w:val="0"/>
        </w:rPr>
        <w:t xml:space="preserve">Неполная функциональная эквивалентность нативным ПЗК (Sasaki et al., 2015)</w:t>
      </w:r>
    </w:p>
    <w:p w:rsidR="00000000" w:rsidDel="00000000" w:rsidP="00000000" w:rsidRDefault="00000000" w:rsidRPr="00000000" w14:paraId="000000D8">
      <w:pPr>
        <w:numPr>
          <w:ilvl w:val="0"/>
          <w:numId w:val="5"/>
        </w:numPr>
        <w:ind w:left="720" w:hanging="360"/>
        <w:jc w:val="both"/>
      </w:pPr>
      <w:r w:rsidDel="00000000" w:rsidR="00000000" w:rsidRPr="00000000">
        <w:rPr>
          <w:rtl w:val="0"/>
        </w:rPr>
        <w:t xml:space="preserve">Риск эпигенетических аномалий при длительном культивировании (Tang et al., 2015)</w:t>
      </w:r>
    </w:p>
    <w:p w:rsidR="00000000" w:rsidDel="00000000" w:rsidP="00000000" w:rsidRDefault="00000000" w:rsidRPr="00000000" w14:paraId="000000D9">
      <w:pPr>
        <w:numPr>
          <w:ilvl w:val="0"/>
          <w:numId w:val="5"/>
        </w:numPr>
        <w:ind w:left="720" w:hanging="360"/>
        <w:jc w:val="both"/>
      </w:pPr>
      <w:r w:rsidDel="00000000" w:rsidR="00000000" w:rsidRPr="00000000">
        <w:rPr>
          <w:rtl w:val="0"/>
        </w:rPr>
        <w:t xml:space="preserve">Этические вопросы, связанные с возможностью получения человеческих гамет in vitro (Ishii et al., 2015)</w:t>
      </w:r>
    </w:p>
    <w:p w:rsidR="00000000" w:rsidDel="00000000" w:rsidP="00000000" w:rsidRDefault="00000000" w:rsidRPr="00000000" w14:paraId="000000DA">
      <w:pPr>
        <w:jc w:val="both"/>
        <w:rPr/>
      </w:pPr>
      <w:r w:rsidDel="00000000" w:rsidR="00000000" w:rsidRPr="00000000">
        <w:rPr>
          <w:rtl w:val="0"/>
        </w:rPr>
        <w:t xml:space="preserve">Особую дискуссию вызывает потенциальное использование PGCLCs для создания искусственных гамет у человека. В настоящее время большинство стран ввели мораторий на подобные исследования до разработки соответствующих регуляторных рамок (Mathews et al., 2019).</w:t>
      </w:r>
    </w:p>
    <w:p w:rsidR="00000000" w:rsidDel="00000000" w:rsidP="00000000" w:rsidRDefault="00000000" w:rsidRPr="00000000" w14:paraId="000000DB">
      <w:pPr>
        <w:pStyle w:val="Heading1"/>
        <w:jc w:val="both"/>
        <w:rPr/>
      </w:pPr>
      <w:bookmarkStart w:colFirst="0" w:colLast="0" w:name="_1etnpz6mijp9" w:id="23"/>
      <w:bookmarkEnd w:id="23"/>
      <w:r w:rsidDel="00000000" w:rsidR="00000000" w:rsidRPr="00000000">
        <w:rPr>
          <w:rtl w:val="0"/>
        </w:rPr>
        <w:t xml:space="preserve">Этические и регуляторные аспекты исследований PGCLCs</w:t>
      </w:r>
    </w:p>
    <w:p w:rsidR="00000000" w:rsidDel="00000000" w:rsidP="00000000" w:rsidRDefault="00000000" w:rsidRPr="00000000" w14:paraId="000000DC">
      <w:pPr>
        <w:jc w:val="both"/>
        <w:rPr/>
      </w:pPr>
      <w:r w:rsidDel="00000000" w:rsidR="00000000" w:rsidRPr="00000000">
        <w:rPr>
          <w:rtl w:val="0"/>
        </w:rPr>
        <w:t xml:space="preserve">Исследования примордиальных клеток, подобных зародышевым (PGCLCs), поднимают ряд сложных этических вопросов, особенно в контексте их потенциального использования для генерации человеческих гамет in vitro. Основные этические проблемы включают:</w:t>
      </w:r>
    </w:p>
    <w:p w:rsidR="00000000" w:rsidDel="00000000" w:rsidP="00000000" w:rsidRDefault="00000000" w:rsidRPr="00000000" w14:paraId="000000DD">
      <w:pPr>
        <w:pStyle w:val="Heading4"/>
        <w:jc w:val="both"/>
        <w:rPr/>
      </w:pPr>
      <w:bookmarkStart w:colFirst="0" w:colLast="0" w:name="_e6byghnkduyq" w:id="24"/>
      <w:bookmarkEnd w:id="24"/>
      <w:r w:rsidDel="00000000" w:rsidR="00000000" w:rsidRPr="00000000">
        <w:rPr>
          <w:rtl w:val="0"/>
        </w:rPr>
        <w:t xml:space="preserve">Статус искусственно созданных гамет</w:t>
      </w:r>
    </w:p>
    <w:p w:rsidR="00000000" w:rsidDel="00000000" w:rsidP="00000000" w:rsidRDefault="00000000" w:rsidRPr="00000000" w14:paraId="000000DE">
      <w:pPr>
        <w:jc w:val="both"/>
        <w:rPr/>
      </w:pPr>
      <w:r w:rsidDel="00000000" w:rsidR="00000000" w:rsidRPr="00000000">
        <w:rPr>
          <w:rtl w:val="0"/>
        </w:rPr>
        <w:t xml:space="preserve">Главный этический вопрос касается морального статуса гамет, полученных из PGCLCs. Некоторые исследователи утверждают, что такие гаметы не обладают тем же этическим статусом, что и естественные, поскольку они созданы искусственно (Ishii et al., 2015). Однако другие эксперты предупреждают, что при достижении полной функциональной эквивалентности эти различия могут исчезнуть (Mathews et al., 2019).</w:t>
      </w:r>
    </w:p>
    <w:p w:rsidR="00000000" w:rsidDel="00000000" w:rsidP="00000000" w:rsidRDefault="00000000" w:rsidRPr="00000000" w14:paraId="000000DF">
      <w:pPr>
        <w:pStyle w:val="Heading4"/>
        <w:jc w:val="both"/>
        <w:rPr/>
      </w:pPr>
      <w:bookmarkStart w:colFirst="0" w:colLast="0" w:name="_ynyzj23shofo" w:id="25"/>
      <w:bookmarkEnd w:id="25"/>
      <w:r w:rsidDel="00000000" w:rsidR="00000000" w:rsidRPr="00000000">
        <w:rPr>
          <w:rtl w:val="0"/>
        </w:rPr>
        <w:t xml:space="preserve">Проблема согласия доноров</w:t>
      </w:r>
    </w:p>
    <w:p w:rsidR="00000000" w:rsidDel="00000000" w:rsidP="00000000" w:rsidRDefault="00000000" w:rsidRPr="00000000" w14:paraId="000000E0">
      <w:pPr>
        <w:jc w:val="both"/>
        <w:rPr/>
      </w:pPr>
      <w:r w:rsidDel="00000000" w:rsidR="00000000" w:rsidRPr="00000000">
        <w:rPr>
          <w:rtl w:val="0"/>
        </w:rPr>
        <w:t xml:space="preserve">При использовании ИПСК, полученных из соматических клеток взрослых или детей, возникает вопрос о полноте информированного согласия. Исследование Sugarman et al. (2018) показало, что доноры часто не полностью понимают потенциальное использование их клеток для создания зародышевой линии.</w:t>
      </w:r>
    </w:p>
    <w:p w:rsidR="00000000" w:rsidDel="00000000" w:rsidP="00000000" w:rsidRDefault="00000000" w:rsidRPr="00000000" w14:paraId="000000E1">
      <w:pPr>
        <w:pStyle w:val="Heading4"/>
        <w:jc w:val="both"/>
        <w:rPr/>
      </w:pPr>
      <w:bookmarkStart w:colFirst="0" w:colLast="0" w:name="_7mhi2kq2zm1c" w:id="26"/>
      <w:bookmarkEnd w:id="26"/>
      <w:r w:rsidDel="00000000" w:rsidR="00000000" w:rsidRPr="00000000">
        <w:rPr>
          <w:rtl w:val="0"/>
        </w:rPr>
        <w:t xml:space="preserve">Риски для потенциального потомства</w:t>
      </w:r>
    </w:p>
    <w:p w:rsidR="00000000" w:rsidDel="00000000" w:rsidP="00000000" w:rsidRDefault="00000000" w:rsidRPr="00000000" w14:paraId="000000E2">
      <w:pPr>
        <w:jc w:val="both"/>
        <w:rPr/>
      </w:pPr>
      <w:r w:rsidDel="00000000" w:rsidR="00000000" w:rsidRPr="00000000">
        <w:rPr>
          <w:rtl w:val="0"/>
        </w:rPr>
        <w:t xml:space="preserve">Основные опасения связаны с возможными эпигенетическими аномалиями в PGCLCs, которые могут передаваться последующим поколениям (Tang et al., 2015). Исследования на животных моделях выявили повышенный риск аномалий развития при использовании гамет, полученных из PGCLCs (Zhou et al., 2016).</w:t>
      </w:r>
    </w:p>
    <w:p w:rsidR="00000000" w:rsidDel="00000000" w:rsidP="00000000" w:rsidRDefault="00000000" w:rsidRPr="00000000" w14:paraId="000000E3">
      <w:pPr>
        <w:pStyle w:val="Heading2"/>
        <w:jc w:val="both"/>
        <w:rPr/>
      </w:pPr>
      <w:bookmarkStart w:colFirst="0" w:colLast="0" w:name="_z4zm73ln0ro9" w:id="27"/>
      <w:bookmarkEnd w:id="27"/>
      <w:r w:rsidDel="00000000" w:rsidR="00000000" w:rsidRPr="00000000">
        <w:rPr>
          <w:rtl w:val="0"/>
        </w:rPr>
        <w:t xml:space="preserve">Международные регуляторные подходы</w:t>
      </w:r>
    </w:p>
    <w:p w:rsidR="00000000" w:rsidDel="00000000" w:rsidP="00000000" w:rsidRDefault="00000000" w:rsidRPr="00000000" w14:paraId="000000E4">
      <w:pPr>
        <w:jc w:val="both"/>
        <w:rPr/>
      </w:pPr>
      <w:r w:rsidDel="00000000" w:rsidR="00000000" w:rsidRPr="00000000">
        <w:rPr>
          <w:rtl w:val="0"/>
        </w:rPr>
        <w:t xml:space="preserve">Анализ международной нормативной базы показывает значительные различия между странами:</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2.2222222222222"/>
        <w:gridCol w:w="3928.888888888889"/>
        <w:gridCol w:w="3928.888888888889"/>
        <w:tblGridChange w:id="0">
          <w:tblGrid>
            <w:gridCol w:w="1502.2222222222222"/>
            <w:gridCol w:w="3928.888888888889"/>
            <w:gridCol w:w="3928.888888888889"/>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E5">
            <w:pPr>
              <w:spacing w:line="240" w:lineRule="auto"/>
              <w:jc w:val="both"/>
              <w:rPr/>
            </w:pPr>
            <w:r w:rsidDel="00000000" w:rsidR="00000000" w:rsidRPr="00000000">
              <w:rPr>
                <w:rtl w:val="0"/>
              </w:rPr>
              <w:t xml:space="preserve">Страна</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6">
            <w:pPr>
              <w:spacing w:line="240" w:lineRule="auto"/>
              <w:jc w:val="both"/>
              <w:rPr/>
            </w:pPr>
            <w:r w:rsidDel="00000000" w:rsidR="00000000" w:rsidRPr="00000000">
              <w:rPr>
                <w:rtl w:val="0"/>
              </w:rPr>
              <w:t xml:space="preserve">Статус исследований PGCLCs</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7">
            <w:pPr>
              <w:spacing w:line="240" w:lineRule="auto"/>
              <w:jc w:val="both"/>
              <w:rPr/>
            </w:pPr>
            <w:r w:rsidDel="00000000" w:rsidR="00000000" w:rsidRPr="00000000">
              <w:rPr>
                <w:rtl w:val="0"/>
              </w:rPr>
              <w:t xml:space="preserve">Ограничения</w:t>
            </w:r>
          </w:p>
        </w:tc>
      </w:tr>
      <w:tr>
        <w:trPr>
          <w:cantSplit w:val="0"/>
          <w:trHeight w:val="1470"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E8">
            <w:pPr>
              <w:spacing w:line="240" w:lineRule="auto"/>
              <w:jc w:val="both"/>
              <w:rPr/>
            </w:pPr>
            <w:r w:rsidDel="00000000" w:rsidR="00000000" w:rsidRPr="00000000">
              <w:rPr>
                <w:rtl w:val="0"/>
              </w:rPr>
              <w:t xml:space="preserve">США</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9">
            <w:pPr>
              <w:spacing w:line="240" w:lineRule="auto"/>
              <w:jc w:val="both"/>
              <w:rPr/>
            </w:pPr>
            <w:r w:rsidDel="00000000" w:rsidR="00000000" w:rsidRPr="00000000">
              <w:rPr>
                <w:rtl w:val="0"/>
              </w:rPr>
              <w:t xml:space="preserve">Разрешены фундаментальные исследования, запрещено создание эмбрионов для репродукции</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A">
            <w:pPr>
              <w:spacing w:line="240" w:lineRule="auto"/>
              <w:jc w:val="both"/>
              <w:rPr/>
            </w:pPr>
            <w:r w:rsidDel="00000000" w:rsidR="00000000" w:rsidRPr="00000000">
              <w:rPr>
                <w:rtl w:val="0"/>
              </w:rPr>
              <w:t xml:space="preserve">NIH запрещает финансирование исследований с человеческими эмбрионами (Hyun et al., 2016)</w:t>
            </w:r>
          </w:p>
        </w:tc>
      </w:tr>
      <w:tr>
        <w:trPr>
          <w:cantSplit w:val="0"/>
          <w:trHeight w:val="109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EB">
            <w:pPr>
              <w:spacing w:line="240" w:lineRule="auto"/>
              <w:jc w:val="both"/>
              <w:rPr/>
            </w:pPr>
            <w:r w:rsidDel="00000000" w:rsidR="00000000" w:rsidRPr="00000000">
              <w:rPr>
                <w:rtl w:val="0"/>
              </w:rPr>
              <w:t xml:space="preserve">Великобритания</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C">
            <w:pPr>
              <w:spacing w:line="240" w:lineRule="auto"/>
              <w:jc w:val="both"/>
              <w:rPr/>
            </w:pPr>
            <w:r w:rsidDel="00000000" w:rsidR="00000000" w:rsidRPr="00000000">
              <w:rPr>
                <w:rtl w:val="0"/>
              </w:rPr>
              <w:t xml:space="preserve">Разрешены исследования до 14 дня развития эмбриона</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D">
            <w:pPr>
              <w:spacing w:line="240" w:lineRule="auto"/>
              <w:jc w:val="both"/>
              <w:rPr/>
            </w:pPr>
            <w:r w:rsidDel="00000000" w:rsidR="00000000" w:rsidRPr="00000000">
              <w:rPr>
                <w:rtl w:val="0"/>
              </w:rPr>
              <w:t xml:space="preserve">Требуется лицензия HFEA (Lovell-Badge et al., 2020)</w:t>
            </w:r>
          </w:p>
        </w:tc>
      </w:tr>
      <w:tr>
        <w:trPr>
          <w:cantSplit w:val="0"/>
          <w:trHeight w:val="109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EE">
            <w:pPr>
              <w:spacing w:line="240" w:lineRule="auto"/>
              <w:jc w:val="both"/>
              <w:rPr/>
            </w:pPr>
            <w:r w:rsidDel="00000000" w:rsidR="00000000" w:rsidRPr="00000000">
              <w:rPr>
                <w:rtl w:val="0"/>
              </w:rPr>
              <w:t xml:space="preserve">Япония</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F">
            <w:pPr>
              <w:spacing w:line="240" w:lineRule="auto"/>
              <w:jc w:val="both"/>
              <w:rPr/>
            </w:pPr>
            <w:r w:rsidDel="00000000" w:rsidR="00000000" w:rsidRPr="00000000">
              <w:rPr>
                <w:rtl w:val="0"/>
              </w:rPr>
              <w:t xml:space="preserve">Разрешены исследования, ведущие к созданию человеческих гамет</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0">
            <w:pPr>
              <w:spacing w:line="240" w:lineRule="auto"/>
              <w:jc w:val="both"/>
              <w:rPr/>
            </w:pPr>
            <w:r w:rsidDel="00000000" w:rsidR="00000000" w:rsidRPr="00000000">
              <w:rPr>
                <w:rtl w:val="0"/>
              </w:rPr>
              <w:t xml:space="preserve">Запрещена имплантация полученных эмбрионов (Sugarman et al., 2018)</w:t>
            </w:r>
          </w:p>
        </w:tc>
      </w:tr>
      <w:tr>
        <w:trPr>
          <w:cantSplit w:val="0"/>
          <w:trHeight w:val="109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F1">
            <w:pPr>
              <w:spacing w:line="240" w:lineRule="auto"/>
              <w:jc w:val="both"/>
              <w:rPr/>
            </w:pPr>
            <w:r w:rsidDel="00000000" w:rsidR="00000000" w:rsidRPr="00000000">
              <w:rPr>
                <w:rtl w:val="0"/>
              </w:rPr>
              <w:t xml:space="preserve">Германия</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2">
            <w:pPr>
              <w:spacing w:line="240" w:lineRule="auto"/>
              <w:jc w:val="both"/>
              <w:rPr/>
            </w:pPr>
            <w:r w:rsidDel="00000000" w:rsidR="00000000" w:rsidRPr="00000000">
              <w:rPr>
                <w:rtl w:val="0"/>
              </w:rPr>
              <w:t xml:space="preserve">Полный запрет на создание человеческих PGCLCs</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3">
            <w:pPr>
              <w:spacing w:line="240" w:lineRule="auto"/>
              <w:jc w:val="both"/>
              <w:rPr/>
            </w:pPr>
            <w:r w:rsidDel="00000000" w:rsidR="00000000" w:rsidRPr="00000000">
              <w:rPr>
                <w:rtl w:val="0"/>
              </w:rPr>
              <w:t xml:space="preserve">Уголовная ответственность за нарушение (Ishii et al., 2015)</w:t>
            </w:r>
          </w:p>
        </w:tc>
      </w:tr>
    </w:tbl>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Отсутствие международных стандартов создает проблемы для научного сотрудничества. Исследование Lovell-Badge et al. (2020) выявило, что 65% ученых, работающих с PGCLCs, сталкивались с правовыми барьерами при международной коллаборации.</w:t>
      </w:r>
    </w:p>
    <w:p w:rsidR="00000000" w:rsidDel="00000000" w:rsidP="00000000" w:rsidRDefault="00000000" w:rsidRPr="00000000" w14:paraId="000000F6">
      <w:pPr>
        <w:pStyle w:val="Heading2"/>
        <w:jc w:val="both"/>
        <w:rPr/>
      </w:pPr>
      <w:bookmarkStart w:colFirst="0" w:colLast="0" w:name="_e3fqx3gacgd9" w:id="28"/>
      <w:bookmarkEnd w:id="28"/>
      <w:r w:rsidDel="00000000" w:rsidR="00000000" w:rsidRPr="00000000">
        <w:rPr>
          <w:rtl w:val="0"/>
        </w:rPr>
        <w:t xml:space="preserve">Перспективы клинического применения: этические рамки</w:t>
      </w:r>
    </w:p>
    <w:p w:rsidR="00000000" w:rsidDel="00000000" w:rsidP="00000000" w:rsidRDefault="00000000" w:rsidRPr="00000000" w14:paraId="000000F7">
      <w:pPr>
        <w:pStyle w:val="Heading4"/>
        <w:jc w:val="both"/>
        <w:rPr/>
      </w:pPr>
      <w:bookmarkStart w:colFirst="0" w:colLast="0" w:name="_hqurd3uyunsz" w:id="29"/>
      <w:bookmarkEnd w:id="29"/>
      <w:r w:rsidDel="00000000" w:rsidR="00000000" w:rsidRPr="00000000">
        <w:rPr>
          <w:rtl w:val="0"/>
        </w:rPr>
        <w:t xml:space="preserve">Лечение бесплодия</w:t>
      </w:r>
    </w:p>
    <w:p w:rsidR="00000000" w:rsidDel="00000000" w:rsidP="00000000" w:rsidRDefault="00000000" w:rsidRPr="00000000" w14:paraId="000000F8">
      <w:pPr>
        <w:jc w:val="both"/>
        <w:rPr/>
      </w:pPr>
      <w:r w:rsidDel="00000000" w:rsidR="00000000" w:rsidRPr="00000000">
        <w:rPr>
          <w:rtl w:val="0"/>
        </w:rPr>
        <w:t xml:space="preserve">Потенциальное использование PGCLCs для лечения бесплодия требует разработки строгих этических критериев. Эксперты предлагают:</w:t>
      </w:r>
    </w:p>
    <w:p w:rsidR="00000000" w:rsidDel="00000000" w:rsidP="00000000" w:rsidRDefault="00000000" w:rsidRPr="00000000" w14:paraId="000000F9">
      <w:pPr>
        <w:numPr>
          <w:ilvl w:val="0"/>
          <w:numId w:val="31"/>
        </w:numPr>
        <w:ind w:left="720" w:hanging="360"/>
        <w:jc w:val="both"/>
      </w:pPr>
      <w:r w:rsidDel="00000000" w:rsidR="00000000" w:rsidRPr="00000000">
        <w:rPr>
          <w:rtl w:val="0"/>
        </w:rPr>
        <w:t xml:space="preserve">Ограничение применения только для случаев абсолютного бесплодия (Chen et al., 2017)</w:t>
      </w:r>
    </w:p>
    <w:p w:rsidR="00000000" w:rsidDel="00000000" w:rsidP="00000000" w:rsidRDefault="00000000" w:rsidRPr="00000000" w14:paraId="000000FA">
      <w:pPr>
        <w:numPr>
          <w:ilvl w:val="0"/>
          <w:numId w:val="31"/>
        </w:numPr>
        <w:ind w:left="720" w:hanging="360"/>
        <w:jc w:val="both"/>
      </w:pPr>
      <w:r w:rsidDel="00000000" w:rsidR="00000000" w:rsidRPr="00000000">
        <w:rPr>
          <w:rtl w:val="0"/>
        </w:rPr>
        <w:t xml:space="preserve">Обязательное генетическое и эпигенетическое тестирование полученных гамет (Sasaki et al., 2015)</w:t>
      </w:r>
    </w:p>
    <w:p w:rsidR="00000000" w:rsidDel="00000000" w:rsidP="00000000" w:rsidRDefault="00000000" w:rsidRPr="00000000" w14:paraId="000000FB">
      <w:pPr>
        <w:numPr>
          <w:ilvl w:val="0"/>
          <w:numId w:val="31"/>
        </w:numPr>
        <w:ind w:left="720" w:hanging="360"/>
        <w:jc w:val="both"/>
      </w:pPr>
      <w:r w:rsidDel="00000000" w:rsidR="00000000" w:rsidRPr="00000000">
        <w:rPr>
          <w:rtl w:val="0"/>
        </w:rPr>
        <w:t xml:space="preserve">Долгосрочное наблюдение за детьми, рожденными с использованием этой технологии (Mathews et al., 2019)</w:t>
      </w:r>
    </w:p>
    <w:p w:rsidR="00000000" w:rsidDel="00000000" w:rsidP="00000000" w:rsidRDefault="00000000" w:rsidRPr="00000000" w14:paraId="000000FC">
      <w:pPr>
        <w:pStyle w:val="Heading4"/>
        <w:jc w:val="both"/>
        <w:rPr/>
      </w:pPr>
      <w:bookmarkStart w:colFirst="0" w:colLast="0" w:name="_lgn49xpsm5p8" w:id="30"/>
      <w:bookmarkEnd w:id="30"/>
      <w:r w:rsidDel="00000000" w:rsidR="00000000" w:rsidRPr="00000000">
        <w:rPr>
          <w:rtl w:val="0"/>
        </w:rPr>
        <w:t xml:space="preserve">Генетическое улучшение потомства</w:t>
      </w:r>
    </w:p>
    <w:p w:rsidR="00000000" w:rsidDel="00000000" w:rsidP="00000000" w:rsidRDefault="00000000" w:rsidRPr="00000000" w14:paraId="000000FD">
      <w:pPr>
        <w:jc w:val="both"/>
        <w:rPr/>
      </w:pPr>
      <w:r w:rsidDel="00000000" w:rsidR="00000000" w:rsidRPr="00000000">
        <w:rPr>
          <w:rtl w:val="0"/>
        </w:rPr>
        <w:t xml:space="preserve">Возможность редактирования генома на стадии PGCLCs вызывает опасения по поводу евгенического применения. Исследование Ishii et al. (2015) показало, что 78% экспертов выступают за полный запрет редактирования зародышевой линии человека.</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t xml:space="preserve">Использование животных моделей для валидации PGCLCs также поднимает этические вопросы:</w:t>
      </w:r>
    </w:p>
    <w:p w:rsidR="00000000" w:rsidDel="00000000" w:rsidP="00000000" w:rsidRDefault="00000000" w:rsidRPr="00000000" w14:paraId="00000100">
      <w:pPr>
        <w:numPr>
          <w:ilvl w:val="0"/>
          <w:numId w:val="11"/>
        </w:numPr>
        <w:ind w:left="720" w:hanging="360"/>
        <w:jc w:val="both"/>
      </w:pPr>
      <w:r w:rsidDel="00000000" w:rsidR="00000000" w:rsidRPr="00000000">
        <w:rPr>
          <w:rtl w:val="0"/>
        </w:rPr>
        <w:t xml:space="preserve">Необходимость большого количества животных для трансплантационных экспериментов (Hayashi et al., 2012)</w:t>
      </w:r>
    </w:p>
    <w:p w:rsidR="00000000" w:rsidDel="00000000" w:rsidP="00000000" w:rsidRDefault="00000000" w:rsidRPr="00000000" w14:paraId="00000101">
      <w:pPr>
        <w:numPr>
          <w:ilvl w:val="0"/>
          <w:numId w:val="11"/>
        </w:numPr>
        <w:ind w:left="720" w:hanging="360"/>
        <w:jc w:val="both"/>
      </w:pPr>
      <w:r w:rsidDel="00000000" w:rsidR="00000000" w:rsidRPr="00000000">
        <w:rPr>
          <w:rtl w:val="0"/>
        </w:rPr>
        <w:t xml:space="preserve">Проблема благополучия животных при создании химерных эмбрионов (Zhou et al., 2016)</w:t>
      </w:r>
    </w:p>
    <w:p w:rsidR="00000000" w:rsidDel="00000000" w:rsidP="00000000" w:rsidRDefault="00000000" w:rsidRPr="00000000" w14:paraId="00000102">
      <w:pPr>
        <w:numPr>
          <w:ilvl w:val="0"/>
          <w:numId w:val="11"/>
        </w:numPr>
        <w:ind w:left="720" w:hanging="360"/>
        <w:jc w:val="both"/>
      </w:pPr>
      <w:r w:rsidDel="00000000" w:rsidR="00000000" w:rsidRPr="00000000">
        <w:rPr>
          <w:rtl w:val="0"/>
        </w:rPr>
        <w:t xml:space="preserve">Этичность использования приматов в исследованиях PGCLCs (Gómez et al., 2020)</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t xml:space="preserve">Современные тенденции в регулировании исследований PGCLCs включают:</w:t>
      </w:r>
    </w:p>
    <w:p w:rsidR="00000000" w:rsidDel="00000000" w:rsidP="00000000" w:rsidRDefault="00000000" w:rsidRPr="00000000" w14:paraId="00000105">
      <w:pPr>
        <w:numPr>
          <w:ilvl w:val="0"/>
          <w:numId w:val="22"/>
        </w:numPr>
        <w:ind w:left="720" w:hanging="360"/>
        <w:jc w:val="both"/>
      </w:pPr>
      <w:r w:rsidDel="00000000" w:rsidR="00000000" w:rsidRPr="00000000">
        <w:rPr>
          <w:rtl w:val="0"/>
        </w:rPr>
        <w:t xml:space="preserve">Развитие международных консенсусных документов (Hyun et al., 2016)</w:t>
      </w:r>
    </w:p>
    <w:p w:rsidR="00000000" w:rsidDel="00000000" w:rsidP="00000000" w:rsidRDefault="00000000" w:rsidRPr="00000000" w14:paraId="00000106">
      <w:pPr>
        <w:numPr>
          <w:ilvl w:val="0"/>
          <w:numId w:val="22"/>
        </w:numPr>
        <w:ind w:left="720" w:hanging="360"/>
        <w:jc w:val="both"/>
      </w:pPr>
      <w:r w:rsidDel="00000000" w:rsidR="00000000" w:rsidRPr="00000000">
        <w:rPr>
          <w:rtl w:val="0"/>
        </w:rPr>
        <w:t xml:space="preserve">Создание специализированных этических комитетов при научных журналах (Lovell-Badge et al., 2020)</w:t>
      </w:r>
    </w:p>
    <w:p w:rsidR="00000000" w:rsidDel="00000000" w:rsidP="00000000" w:rsidRDefault="00000000" w:rsidRPr="00000000" w14:paraId="00000107">
      <w:pPr>
        <w:numPr>
          <w:ilvl w:val="0"/>
          <w:numId w:val="22"/>
        </w:numPr>
        <w:ind w:left="720" w:hanging="360"/>
        <w:jc w:val="both"/>
      </w:pPr>
      <w:r w:rsidDel="00000000" w:rsidR="00000000" w:rsidRPr="00000000">
        <w:rPr>
          <w:rtl w:val="0"/>
        </w:rPr>
        <w:t xml:space="preserve">Разработку стандартов информированного согласия для доноров клеток (Sugarman et al., 2018)</w:t>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t xml:space="preserve">На основе анализа текущей ситуации можно предложить:</w:t>
      </w:r>
    </w:p>
    <w:p w:rsidR="00000000" w:rsidDel="00000000" w:rsidP="00000000" w:rsidRDefault="00000000" w:rsidRPr="00000000" w14:paraId="0000010A">
      <w:pPr>
        <w:numPr>
          <w:ilvl w:val="0"/>
          <w:numId w:val="16"/>
        </w:numPr>
        <w:ind w:left="720" w:hanging="360"/>
        <w:jc w:val="both"/>
      </w:pPr>
      <w:r w:rsidDel="00000000" w:rsidR="00000000" w:rsidRPr="00000000">
        <w:rPr>
          <w:rtl w:val="0"/>
        </w:rPr>
        <w:t xml:space="preserve">Введение моратория на клиническое использование PGCLCs до завершения фундаментальных исследований (Mathews et al., 2019)</w:t>
      </w:r>
    </w:p>
    <w:p w:rsidR="00000000" w:rsidDel="00000000" w:rsidP="00000000" w:rsidRDefault="00000000" w:rsidRPr="00000000" w14:paraId="0000010B">
      <w:pPr>
        <w:numPr>
          <w:ilvl w:val="0"/>
          <w:numId w:val="16"/>
        </w:numPr>
        <w:ind w:left="720" w:hanging="360"/>
        <w:jc w:val="both"/>
      </w:pPr>
      <w:r w:rsidDel="00000000" w:rsidR="00000000" w:rsidRPr="00000000">
        <w:rPr>
          <w:rtl w:val="0"/>
        </w:rPr>
        <w:t xml:space="preserve">Создание международного реестра исследований PGCLCs (Hyun et al., 2016)</w:t>
      </w:r>
    </w:p>
    <w:p w:rsidR="00000000" w:rsidDel="00000000" w:rsidP="00000000" w:rsidRDefault="00000000" w:rsidRPr="00000000" w14:paraId="0000010C">
      <w:pPr>
        <w:numPr>
          <w:ilvl w:val="0"/>
          <w:numId w:val="16"/>
        </w:numPr>
        <w:ind w:left="720" w:hanging="360"/>
        <w:jc w:val="both"/>
      </w:pPr>
      <w:r w:rsidDel="00000000" w:rsidR="00000000" w:rsidRPr="00000000">
        <w:rPr>
          <w:rtl w:val="0"/>
        </w:rPr>
        <w:t xml:space="preserve">Развитие общественного диалога о приемлемости технологий (Ishii et al., 2015)</w:t>
      </w:r>
    </w:p>
    <w:p w:rsidR="00000000" w:rsidDel="00000000" w:rsidP="00000000" w:rsidRDefault="00000000" w:rsidRPr="00000000" w14:paraId="0000010D">
      <w:pPr>
        <w:pStyle w:val="Heading1"/>
        <w:jc w:val="both"/>
        <w:rPr/>
      </w:pPr>
      <w:bookmarkStart w:colFirst="0" w:colLast="0" w:name="_s7ad9awz1k7x" w:id="31"/>
      <w:bookmarkEnd w:id="31"/>
      <w:r w:rsidDel="00000000" w:rsidR="00000000" w:rsidRPr="00000000">
        <w:rPr>
          <w:rtl w:val="0"/>
        </w:rPr>
        <w:t xml:space="preserve">Дискуссия</w:t>
      </w:r>
    </w:p>
    <w:p w:rsidR="00000000" w:rsidDel="00000000" w:rsidP="00000000" w:rsidRDefault="00000000" w:rsidRPr="00000000" w14:paraId="0000010E">
      <w:pPr>
        <w:jc w:val="both"/>
        <w:rPr/>
      </w:pPr>
      <w:r w:rsidDel="00000000" w:rsidR="00000000" w:rsidRPr="00000000">
        <w:rPr>
          <w:rtl w:val="0"/>
        </w:rPr>
        <w:t xml:space="preserve">Современные протоколы дифференцировки PGCLCs из плюрипотентных стволовых клеток достигли значительного прогресса, однако остаются существенные ограничения. Двухэтапный метод, разработанный Hayashi et al. (2011), демонстрирует эффективность около 30-40% для мышиных клеток, но лишь 5-20% для человеческих (Sasaki et al., 2015). Это различие подчеркивает фундаментальные видовые различия в механизмах спецификации зародышевой линии, требующие дальнейшего изучения.</w:t>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t xml:space="preserve">Основные ограничения существующих протоколов включают:</w:t>
      </w:r>
    </w:p>
    <w:p w:rsidR="00000000" w:rsidDel="00000000" w:rsidP="00000000" w:rsidRDefault="00000000" w:rsidRPr="00000000" w14:paraId="00000111">
      <w:pPr>
        <w:numPr>
          <w:ilvl w:val="0"/>
          <w:numId w:val="33"/>
        </w:numPr>
        <w:ind w:left="720" w:hanging="360"/>
        <w:jc w:val="both"/>
      </w:pPr>
      <w:r w:rsidDel="00000000" w:rsidR="00000000" w:rsidRPr="00000000">
        <w:rPr>
          <w:rtl w:val="0"/>
        </w:rPr>
        <w:t xml:space="preserve">Неполное эпигенетическое репрограммирование, особенно в импринтированных локусах (Tang et al., 2015)</w:t>
      </w:r>
    </w:p>
    <w:p w:rsidR="00000000" w:rsidDel="00000000" w:rsidP="00000000" w:rsidRDefault="00000000" w:rsidRPr="00000000" w14:paraId="00000112">
      <w:pPr>
        <w:numPr>
          <w:ilvl w:val="0"/>
          <w:numId w:val="33"/>
        </w:numPr>
        <w:ind w:left="720" w:hanging="360"/>
        <w:jc w:val="both"/>
      </w:pPr>
      <w:r w:rsidDel="00000000" w:rsidR="00000000" w:rsidRPr="00000000">
        <w:rPr>
          <w:rtl w:val="0"/>
        </w:rPr>
        <w:t xml:space="preserve">Отсутствие физиологического микроокружения, критического для миграции и дальнейшей дифференцировки (Hayashi et al., 2012)</w:t>
      </w:r>
    </w:p>
    <w:p w:rsidR="00000000" w:rsidDel="00000000" w:rsidP="00000000" w:rsidRDefault="00000000" w:rsidRPr="00000000" w14:paraId="00000113">
      <w:pPr>
        <w:numPr>
          <w:ilvl w:val="0"/>
          <w:numId w:val="33"/>
        </w:numPr>
        <w:ind w:left="720" w:hanging="360"/>
        <w:jc w:val="both"/>
      </w:pPr>
      <w:r w:rsidDel="00000000" w:rsidR="00000000" w:rsidRPr="00000000">
        <w:rPr>
          <w:rtl w:val="0"/>
        </w:rPr>
        <w:t xml:space="preserve">Видовую специфичность факторов дифференцировки (Irie et al., 2015)</w:t>
      </w:r>
    </w:p>
    <w:p w:rsidR="00000000" w:rsidDel="00000000" w:rsidP="00000000" w:rsidRDefault="00000000" w:rsidRPr="00000000" w14:paraId="00000114">
      <w:pPr>
        <w:jc w:val="both"/>
        <w:rPr/>
      </w:pPr>
      <w:r w:rsidDel="00000000" w:rsidR="00000000" w:rsidRPr="00000000">
        <w:rPr>
          <w:rtl w:val="0"/>
        </w:rPr>
        <w:t xml:space="preserve">Перспективным направлением представляется разработка органоидных систем, имитирующих гонадное микроокружение. Исследования Zhou et al. (2016) показали, что кокультура с соматическими клетками гонад значительно улучшает эффективность дифференцировки и функциональность PGCLCs.</w:t>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t xml:space="preserve">Традиционный подход через плюрипотентные стволовые клетки обеспечивает лучшую воспроизводимость и более полное эпигенетическое репрограммирование (Sasaki et al., 2015). Однако прямое репрограммирование соматических клеток, предложенное Murakami et al. (2016), позволяет избежать этических проблем, связанных с использованием эмбриональных клеток.</w:t>
      </w:r>
    </w:p>
    <w:p w:rsidR="00000000" w:rsidDel="00000000" w:rsidP="00000000" w:rsidRDefault="00000000" w:rsidRPr="00000000" w14:paraId="00000117">
      <w:pPr>
        <w:jc w:val="both"/>
        <w:rPr/>
      </w:pPr>
      <w:r w:rsidDel="00000000" w:rsidR="00000000" w:rsidRPr="00000000">
        <w:rPr>
          <w:rtl w:val="0"/>
        </w:rPr>
        <w:t xml:space="preserve">Ключевые различия этих подходов:</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4.8211920529798"/>
        <w:gridCol w:w="2677.8278145695363"/>
        <w:gridCol w:w="3037.3509933774835"/>
        <w:tblGridChange w:id="0">
          <w:tblGrid>
            <w:gridCol w:w="3644.8211920529798"/>
            <w:gridCol w:w="2677.8278145695363"/>
            <w:gridCol w:w="3037.3509933774835"/>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18">
            <w:pPr>
              <w:spacing w:line="240" w:lineRule="auto"/>
              <w:jc w:val="both"/>
              <w:rPr/>
            </w:pPr>
            <w:r w:rsidDel="00000000" w:rsidR="00000000" w:rsidRPr="00000000">
              <w:rPr>
                <w:rtl w:val="0"/>
              </w:rPr>
              <w:t xml:space="preserve">Параметр</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9">
            <w:pPr>
              <w:spacing w:line="240" w:lineRule="auto"/>
              <w:jc w:val="both"/>
              <w:rPr/>
            </w:pPr>
            <w:r w:rsidDel="00000000" w:rsidR="00000000" w:rsidRPr="00000000">
              <w:rPr>
                <w:rtl w:val="0"/>
              </w:rPr>
              <w:t xml:space="preserve">Дифференцировка из PSC</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A">
            <w:pPr>
              <w:spacing w:line="240" w:lineRule="auto"/>
              <w:jc w:val="both"/>
              <w:rPr/>
            </w:pPr>
            <w:r w:rsidDel="00000000" w:rsidR="00000000" w:rsidRPr="00000000">
              <w:rPr>
                <w:rtl w:val="0"/>
              </w:rPr>
              <w:t xml:space="preserve">Прямое репрограммирование</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1B">
            <w:pPr>
              <w:spacing w:line="240" w:lineRule="auto"/>
              <w:jc w:val="both"/>
              <w:rPr/>
            </w:pPr>
            <w:r w:rsidDel="00000000" w:rsidR="00000000" w:rsidRPr="00000000">
              <w:rPr>
                <w:rtl w:val="0"/>
              </w:rPr>
              <w:t xml:space="preserve">Эффективность</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C">
            <w:pPr>
              <w:spacing w:line="240" w:lineRule="auto"/>
              <w:jc w:val="both"/>
              <w:rPr/>
            </w:pPr>
            <w:r w:rsidDel="00000000" w:rsidR="00000000" w:rsidRPr="00000000">
              <w:rPr>
                <w:rtl w:val="0"/>
              </w:rPr>
              <w:t xml:space="preserve">5-40%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D">
            <w:pPr>
              <w:spacing w:line="240" w:lineRule="auto"/>
              <w:jc w:val="both"/>
              <w:rPr/>
            </w:pPr>
            <w:r w:rsidDel="00000000" w:rsidR="00000000" w:rsidRPr="00000000">
              <w:rPr>
                <w:rtl w:val="0"/>
              </w:rPr>
              <w:t xml:space="preserve">1-15%</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1E">
            <w:pPr>
              <w:spacing w:line="240" w:lineRule="auto"/>
              <w:jc w:val="both"/>
              <w:rPr/>
            </w:pPr>
            <w:r w:rsidDel="00000000" w:rsidR="00000000" w:rsidRPr="00000000">
              <w:rPr>
                <w:rtl w:val="0"/>
              </w:rPr>
              <w:t xml:space="preserve">Эпигенетическое репрограммирование</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F">
            <w:pPr>
              <w:spacing w:line="240" w:lineRule="auto"/>
              <w:jc w:val="both"/>
              <w:rPr/>
            </w:pPr>
            <w:r w:rsidDel="00000000" w:rsidR="00000000" w:rsidRPr="00000000">
              <w:rPr>
                <w:rtl w:val="0"/>
              </w:rPr>
              <w:t xml:space="preserve">Более полное</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20">
            <w:pPr>
              <w:spacing w:line="240" w:lineRule="auto"/>
              <w:jc w:val="both"/>
              <w:rPr/>
            </w:pPr>
            <w:r w:rsidDel="00000000" w:rsidR="00000000" w:rsidRPr="00000000">
              <w:rPr>
                <w:rtl w:val="0"/>
              </w:rPr>
              <w:t xml:space="preserve">Частичное</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21">
            <w:pPr>
              <w:spacing w:line="240" w:lineRule="auto"/>
              <w:jc w:val="both"/>
              <w:rPr/>
            </w:pPr>
            <w:r w:rsidDel="00000000" w:rsidR="00000000" w:rsidRPr="00000000">
              <w:rPr>
                <w:rtl w:val="0"/>
              </w:rPr>
              <w:t xml:space="preserve">Этические ограничения</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22">
            <w:pPr>
              <w:spacing w:line="240" w:lineRule="auto"/>
              <w:jc w:val="both"/>
              <w:rPr/>
            </w:pPr>
            <w:r w:rsidDel="00000000" w:rsidR="00000000" w:rsidRPr="00000000">
              <w:rPr>
                <w:rtl w:val="0"/>
              </w:rPr>
              <w:t xml:space="preserve">Высокие</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23">
            <w:pPr>
              <w:spacing w:line="240" w:lineRule="auto"/>
              <w:jc w:val="both"/>
              <w:rPr/>
            </w:pPr>
            <w:r w:rsidDel="00000000" w:rsidR="00000000" w:rsidRPr="00000000">
              <w:rPr>
                <w:rtl w:val="0"/>
              </w:rPr>
              <w:t xml:space="preserve">Низкие</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24">
            <w:pPr>
              <w:spacing w:line="240" w:lineRule="auto"/>
              <w:jc w:val="both"/>
              <w:rPr/>
            </w:pPr>
            <w:r w:rsidDel="00000000" w:rsidR="00000000" w:rsidRPr="00000000">
              <w:rPr>
                <w:rtl w:val="0"/>
              </w:rPr>
              <w:t xml:space="preserve">Временные затраты</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25">
            <w:pPr>
              <w:spacing w:line="240" w:lineRule="auto"/>
              <w:jc w:val="both"/>
              <w:rPr/>
            </w:pPr>
            <w:r w:rsidDel="00000000" w:rsidR="00000000" w:rsidRPr="00000000">
              <w:rPr>
                <w:rtl w:val="0"/>
              </w:rPr>
              <w:t xml:space="preserve">10-15 дней</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26">
            <w:pPr>
              <w:spacing w:line="240" w:lineRule="auto"/>
              <w:jc w:val="both"/>
              <w:rPr/>
            </w:pPr>
            <w:r w:rsidDel="00000000" w:rsidR="00000000" w:rsidRPr="00000000">
              <w:rPr>
                <w:rtl w:val="0"/>
              </w:rPr>
              <w:t xml:space="preserve">7-10 дней</w:t>
            </w:r>
          </w:p>
        </w:tc>
      </w:tr>
    </w:tbl>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t xml:space="preserve">Методы, основанные исключительно на малых молекулах (Hou et al., 2014), представляют особый интерес для потенциального клинического применения, так как исключают генетические модификации. Однако их эффективность остается неудовлетворительной (2-5%), а полученные клетки часто демонстрируют неполное репрограммирование (Zhao et al., 2018).</w: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t xml:space="preserve">Несмотря на значительное транскриптомное сходство (80-85% для мышиных клеток), PGCLCs демонстрируют ограниченную функциональность по сравнению с нативными ПЗК (Kurimoto et al., 2015). Критическими остаются следующие аспекты:</w:t>
      </w:r>
    </w:p>
    <w:p w:rsidR="00000000" w:rsidDel="00000000" w:rsidP="00000000" w:rsidRDefault="00000000" w:rsidRPr="00000000" w14:paraId="0000012B">
      <w:pPr>
        <w:numPr>
          <w:ilvl w:val="0"/>
          <w:numId w:val="25"/>
        </w:numPr>
        <w:ind w:left="720" w:hanging="360"/>
        <w:jc w:val="both"/>
      </w:pPr>
      <w:r w:rsidDel="00000000" w:rsidR="00000000" w:rsidRPr="00000000">
        <w:rPr>
          <w:rtl w:val="0"/>
        </w:rPr>
        <w:t xml:space="preserve">Способность к миграции (в 2-3 раза ниже у PGCLCs) (Hayashi et al., 2012)</w:t>
      </w:r>
    </w:p>
    <w:p w:rsidR="00000000" w:rsidDel="00000000" w:rsidP="00000000" w:rsidRDefault="00000000" w:rsidRPr="00000000" w14:paraId="0000012C">
      <w:pPr>
        <w:numPr>
          <w:ilvl w:val="0"/>
          <w:numId w:val="25"/>
        </w:numPr>
        <w:ind w:left="720" w:hanging="360"/>
        <w:jc w:val="both"/>
      </w:pPr>
      <w:r w:rsidDel="00000000" w:rsidR="00000000" w:rsidRPr="00000000">
        <w:rPr>
          <w:rtl w:val="0"/>
        </w:rPr>
        <w:t xml:space="preserve">Эффективность образования функциональных гамет (5-10% vs 30-40% у нативных ПЗК) (Hikabe et al., 2016)</w:t>
      </w:r>
    </w:p>
    <w:p w:rsidR="00000000" w:rsidDel="00000000" w:rsidP="00000000" w:rsidRDefault="00000000" w:rsidRPr="00000000" w14:paraId="0000012D">
      <w:pPr>
        <w:numPr>
          <w:ilvl w:val="0"/>
          <w:numId w:val="25"/>
        </w:numPr>
        <w:ind w:left="720" w:hanging="360"/>
        <w:jc w:val="both"/>
      </w:pPr>
      <w:r w:rsidDel="00000000" w:rsidR="00000000" w:rsidRPr="00000000">
        <w:rPr>
          <w:rtl w:val="0"/>
        </w:rPr>
        <w:t xml:space="preserve">Стабильность эпигенетического состояния (Tang et al., 2015)</w:t>
      </w:r>
    </w:p>
    <w:p w:rsidR="00000000" w:rsidDel="00000000" w:rsidP="00000000" w:rsidRDefault="00000000" w:rsidRPr="00000000" w14:paraId="0000012E">
      <w:pPr>
        <w:jc w:val="both"/>
        <w:rPr/>
      </w:pPr>
      <w:r w:rsidDel="00000000" w:rsidR="00000000" w:rsidRPr="00000000">
        <w:rPr>
          <w:rtl w:val="0"/>
        </w:rPr>
        <w:t xml:space="preserve">Эти ограничения особенно выражены для человеческих PGCLCs, где полная дифференцировка в функциональные гаметы in vitro пока не достигнута (Yoshino et al., 2021). Это подчеркивает необходимость дальнейшей оптимизации культуральных условий.</w:t>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t xml:space="preserve">PGCLCs предлагают принципиально новые возможности для лечения абсолютного бесплодия, особенно у пациентов с отсутствием собственных гамет (Chen et al., 2017). Однако перед клиническим применением необходимо решить:</w:t>
      </w:r>
    </w:p>
    <w:p w:rsidR="00000000" w:rsidDel="00000000" w:rsidP="00000000" w:rsidRDefault="00000000" w:rsidRPr="00000000" w14:paraId="00000131">
      <w:pPr>
        <w:numPr>
          <w:ilvl w:val="0"/>
          <w:numId w:val="24"/>
        </w:numPr>
        <w:ind w:left="720" w:hanging="360"/>
        <w:jc w:val="both"/>
      </w:pPr>
      <w:r w:rsidDel="00000000" w:rsidR="00000000" w:rsidRPr="00000000">
        <w:rPr>
          <w:rtl w:val="0"/>
        </w:rPr>
        <w:t xml:space="preserve">Проблему безопасности (риск эпигенетических аномалий)</w:t>
      </w:r>
    </w:p>
    <w:p w:rsidR="00000000" w:rsidDel="00000000" w:rsidP="00000000" w:rsidRDefault="00000000" w:rsidRPr="00000000" w14:paraId="00000132">
      <w:pPr>
        <w:numPr>
          <w:ilvl w:val="0"/>
          <w:numId w:val="24"/>
        </w:numPr>
        <w:ind w:left="720" w:hanging="360"/>
        <w:jc w:val="both"/>
      </w:pPr>
      <w:r w:rsidDel="00000000" w:rsidR="00000000" w:rsidRPr="00000000">
        <w:rPr>
          <w:rtl w:val="0"/>
        </w:rPr>
        <w:t xml:space="preserve">Вопросы эффективности (низкая выходная эффективность)</w:t>
      </w:r>
    </w:p>
    <w:p w:rsidR="00000000" w:rsidDel="00000000" w:rsidP="00000000" w:rsidRDefault="00000000" w:rsidRPr="00000000" w14:paraId="00000133">
      <w:pPr>
        <w:numPr>
          <w:ilvl w:val="0"/>
          <w:numId w:val="24"/>
        </w:numPr>
        <w:ind w:left="720" w:hanging="360"/>
        <w:jc w:val="both"/>
      </w:pPr>
      <w:r w:rsidDel="00000000" w:rsidR="00000000" w:rsidRPr="00000000">
        <w:rPr>
          <w:rtl w:val="0"/>
        </w:rPr>
        <w:t xml:space="preserve">Этические дилеммы (статус искусственных гамет) (Ishii et al., 2015)</w:t>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t xml:space="preserve">Комбинация PGCLCs и CRISPR/Cas9 открывает уникальные возможности для исправления наследственных заболеваний (Zhou et al., 2016). Однако существующие технические ограничения включают:</w:t>
      </w:r>
    </w:p>
    <w:p w:rsidR="00000000" w:rsidDel="00000000" w:rsidP="00000000" w:rsidRDefault="00000000" w:rsidRPr="00000000" w14:paraId="00000136">
      <w:pPr>
        <w:numPr>
          <w:ilvl w:val="0"/>
          <w:numId w:val="3"/>
        </w:numPr>
        <w:ind w:left="720" w:hanging="360"/>
        <w:jc w:val="both"/>
      </w:pPr>
      <w:r w:rsidDel="00000000" w:rsidR="00000000" w:rsidRPr="00000000">
        <w:rPr>
          <w:rtl w:val="0"/>
        </w:rPr>
        <w:t xml:space="preserve">Неполную эффективность редактирования</w:t>
      </w:r>
    </w:p>
    <w:p w:rsidR="00000000" w:rsidDel="00000000" w:rsidP="00000000" w:rsidRDefault="00000000" w:rsidRPr="00000000" w14:paraId="00000137">
      <w:pPr>
        <w:numPr>
          <w:ilvl w:val="0"/>
          <w:numId w:val="3"/>
        </w:numPr>
        <w:ind w:left="720" w:hanging="360"/>
        <w:jc w:val="both"/>
      </w:pPr>
      <w:r w:rsidDel="00000000" w:rsidR="00000000" w:rsidRPr="00000000">
        <w:rPr>
          <w:rtl w:val="0"/>
        </w:rPr>
        <w:t xml:space="preserve">Проблемы мозаицизма</w:t>
      </w:r>
    </w:p>
    <w:p w:rsidR="00000000" w:rsidDel="00000000" w:rsidP="00000000" w:rsidRDefault="00000000" w:rsidRPr="00000000" w14:paraId="00000138">
      <w:pPr>
        <w:numPr>
          <w:ilvl w:val="0"/>
          <w:numId w:val="3"/>
        </w:numPr>
        <w:ind w:left="720" w:hanging="360"/>
        <w:jc w:val="both"/>
      </w:pPr>
      <w:r w:rsidDel="00000000" w:rsidR="00000000" w:rsidRPr="00000000">
        <w:rPr>
          <w:rtl w:val="0"/>
        </w:rPr>
        <w:t xml:space="preserve">Риск off-target эффектов</w:t>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pPr>
      <w:r w:rsidDel="00000000" w:rsidR="00000000" w:rsidRPr="00000000">
        <w:rPr>
          <w:rtl w:val="0"/>
        </w:rPr>
        <w:t xml:space="preserve">На основании критического анализа текущего состояния исследований можно выделить следующие приоритетные направления:</w:t>
      </w:r>
    </w:p>
    <w:p w:rsidR="00000000" w:rsidDel="00000000" w:rsidP="00000000" w:rsidRDefault="00000000" w:rsidRPr="00000000" w14:paraId="0000013B">
      <w:pPr>
        <w:numPr>
          <w:ilvl w:val="0"/>
          <w:numId w:val="29"/>
        </w:numPr>
        <w:ind w:left="720" w:hanging="360"/>
        <w:jc w:val="both"/>
      </w:pPr>
      <w:r w:rsidDel="00000000" w:rsidR="00000000" w:rsidRPr="00000000">
        <w:rPr>
          <w:rtl w:val="0"/>
        </w:rPr>
        <w:t xml:space="preserve">Оптимизация культуральных систем:</w:t>
      </w:r>
    </w:p>
    <w:p w:rsidR="00000000" w:rsidDel="00000000" w:rsidP="00000000" w:rsidRDefault="00000000" w:rsidRPr="00000000" w14:paraId="0000013C">
      <w:pPr>
        <w:numPr>
          <w:ilvl w:val="1"/>
          <w:numId w:val="29"/>
        </w:numPr>
        <w:ind w:left="1440" w:hanging="360"/>
        <w:jc w:val="both"/>
      </w:pPr>
      <w:r w:rsidDel="00000000" w:rsidR="00000000" w:rsidRPr="00000000">
        <w:rPr>
          <w:rtl w:val="0"/>
        </w:rPr>
        <w:t xml:space="preserve">Разработка трехмерных органоидных моделей (Zhou et al., 2016)</w:t>
      </w:r>
    </w:p>
    <w:p w:rsidR="00000000" w:rsidDel="00000000" w:rsidP="00000000" w:rsidRDefault="00000000" w:rsidRPr="00000000" w14:paraId="0000013D">
      <w:pPr>
        <w:numPr>
          <w:ilvl w:val="1"/>
          <w:numId w:val="29"/>
        </w:numPr>
        <w:ind w:left="1440" w:hanging="360"/>
        <w:jc w:val="both"/>
      </w:pPr>
      <w:r w:rsidDel="00000000" w:rsidR="00000000" w:rsidRPr="00000000">
        <w:rPr>
          <w:rtl w:val="0"/>
        </w:rPr>
        <w:t xml:space="preserve">Использование биоматериалов, имитирующих гонадное микроокружение (Sugawa et al., 2015)</w:t>
      </w:r>
    </w:p>
    <w:p w:rsidR="00000000" w:rsidDel="00000000" w:rsidP="00000000" w:rsidRDefault="00000000" w:rsidRPr="00000000" w14:paraId="0000013E">
      <w:pPr>
        <w:numPr>
          <w:ilvl w:val="1"/>
          <w:numId w:val="29"/>
        </w:numPr>
        <w:ind w:left="1440" w:hanging="360"/>
        <w:jc w:val="both"/>
      </w:pPr>
      <w:r w:rsidDel="00000000" w:rsidR="00000000" w:rsidRPr="00000000">
        <w:rPr>
          <w:rtl w:val="0"/>
        </w:rPr>
        <w:t xml:space="preserve">Персонализированные подходы с учетом генетического фона (Sasaki et al., 2015)</w:t>
      </w:r>
    </w:p>
    <w:p w:rsidR="00000000" w:rsidDel="00000000" w:rsidP="00000000" w:rsidRDefault="00000000" w:rsidRPr="00000000" w14:paraId="0000013F">
      <w:pPr>
        <w:numPr>
          <w:ilvl w:val="0"/>
          <w:numId w:val="29"/>
        </w:numPr>
        <w:ind w:left="720" w:hanging="360"/>
        <w:jc w:val="both"/>
      </w:pPr>
      <w:r w:rsidDel="00000000" w:rsidR="00000000" w:rsidRPr="00000000">
        <w:rPr>
          <w:rtl w:val="0"/>
        </w:rPr>
        <w:t xml:space="preserve">Улучшение эпигенетического репрограммирования:</w:t>
      </w:r>
    </w:p>
    <w:p w:rsidR="00000000" w:rsidDel="00000000" w:rsidP="00000000" w:rsidRDefault="00000000" w:rsidRPr="00000000" w14:paraId="00000140">
      <w:pPr>
        <w:numPr>
          <w:ilvl w:val="1"/>
          <w:numId w:val="29"/>
        </w:numPr>
        <w:ind w:left="1440" w:hanging="360"/>
        <w:jc w:val="both"/>
      </w:pPr>
      <w:r w:rsidDel="00000000" w:rsidR="00000000" w:rsidRPr="00000000">
        <w:rPr>
          <w:rtl w:val="0"/>
        </w:rPr>
        <w:t xml:space="preserve">Контроль деметилирования ДНК (Hackett et al., 2013)</w:t>
      </w:r>
    </w:p>
    <w:p w:rsidR="00000000" w:rsidDel="00000000" w:rsidP="00000000" w:rsidRDefault="00000000" w:rsidRPr="00000000" w14:paraId="00000141">
      <w:pPr>
        <w:numPr>
          <w:ilvl w:val="1"/>
          <w:numId w:val="29"/>
        </w:numPr>
        <w:ind w:left="1440" w:hanging="360"/>
        <w:jc w:val="both"/>
      </w:pPr>
      <w:r w:rsidDel="00000000" w:rsidR="00000000" w:rsidRPr="00000000">
        <w:rPr>
          <w:rtl w:val="0"/>
        </w:rPr>
        <w:t xml:space="preserve">Регуляция модификаций гистонов (Yamaguchi et al., 2015)</w:t>
      </w:r>
    </w:p>
    <w:p w:rsidR="00000000" w:rsidDel="00000000" w:rsidP="00000000" w:rsidRDefault="00000000" w:rsidRPr="00000000" w14:paraId="00000142">
      <w:pPr>
        <w:numPr>
          <w:ilvl w:val="1"/>
          <w:numId w:val="29"/>
        </w:numPr>
        <w:ind w:left="1440" w:hanging="360"/>
        <w:jc w:val="both"/>
      </w:pPr>
      <w:r w:rsidDel="00000000" w:rsidR="00000000" w:rsidRPr="00000000">
        <w:rPr>
          <w:rtl w:val="0"/>
        </w:rPr>
        <w:t xml:space="preserve">Контроль активности транспозонов (Molaro et al., 2014)</w:t>
      </w:r>
    </w:p>
    <w:p w:rsidR="00000000" w:rsidDel="00000000" w:rsidP="00000000" w:rsidRDefault="00000000" w:rsidRPr="00000000" w14:paraId="00000143">
      <w:pPr>
        <w:numPr>
          <w:ilvl w:val="0"/>
          <w:numId w:val="29"/>
        </w:numPr>
        <w:ind w:left="720" w:hanging="360"/>
        <w:jc w:val="both"/>
      </w:pPr>
      <w:r w:rsidDel="00000000" w:rsidR="00000000" w:rsidRPr="00000000">
        <w:rPr>
          <w:rtl w:val="0"/>
        </w:rPr>
        <w:t xml:space="preserve">Разработка стандартов качества:</w:t>
      </w:r>
    </w:p>
    <w:p w:rsidR="00000000" w:rsidDel="00000000" w:rsidP="00000000" w:rsidRDefault="00000000" w:rsidRPr="00000000" w14:paraId="00000144">
      <w:pPr>
        <w:numPr>
          <w:ilvl w:val="1"/>
          <w:numId w:val="29"/>
        </w:numPr>
        <w:ind w:left="1440" w:hanging="360"/>
        <w:jc w:val="both"/>
      </w:pPr>
      <w:r w:rsidDel="00000000" w:rsidR="00000000" w:rsidRPr="00000000">
        <w:rPr>
          <w:rtl w:val="0"/>
        </w:rPr>
        <w:t xml:space="preserve">Молекулярные маркеры функциональности (Tang et al., 2016)</w:t>
      </w:r>
    </w:p>
    <w:p w:rsidR="00000000" w:rsidDel="00000000" w:rsidP="00000000" w:rsidRDefault="00000000" w:rsidRPr="00000000" w14:paraId="00000145">
      <w:pPr>
        <w:numPr>
          <w:ilvl w:val="1"/>
          <w:numId w:val="29"/>
        </w:numPr>
        <w:ind w:left="1440" w:hanging="360"/>
        <w:jc w:val="both"/>
      </w:pPr>
      <w:r w:rsidDel="00000000" w:rsidR="00000000" w:rsidRPr="00000000">
        <w:rPr>
          <w:rtl w:val="0"/>
        </w:rPr>
        <w:t xml:space="preserve">Протоколы валидации (Yoshino et al., 2021)</w:t>
      </w:r>
    </w:p>
    <w:p w:rsidR="00000000" w:rsidDel="00000000" w:rsidP="00000000" w:rsidRDefault="00000000" w:rsidRPr="00000000" w14:paraId="00000146">
      <w:pPr>
        <w:numPr>
          <w:ilvl w:val="1"/>
          <w:numId w:val="29"/>
        </w:numPr>
        <w:ind w:left="1440" w:hanging="360"/>
        <w:jc w:val="both"/>
      </w:pPr>
      <w:r w:rsidDel="00000000" w:rsidR="00000000" w:rsidRPr="00000000">
        <w:rPr>
          <w:rtl w:val="0"/>
        </w:rPr>
        <w:t xml:space="preserve">Международные консенсусные критерии (Lovell-Badge et al., 2020)</w:t>
      </w:r>
    </w:p>
    <w:p w:rsidR="00000000" w:rsidDel="00000000" w:rsidP="00000000" w:rsidRDefault="00000000" w:rsidRPr="00000000" w14:paraId="00000147">
      <w:pPr>
        <w:numPr>
          <w:ilvl w:val="0"/>
          <w:numId w:val="29"/>
        </w:numPr>
        <w:ind w:left="720" w:hanging="360"/>
        <w:jc w:val="both"/>
      </w:pPr>
      <w:r w:rsidDel="00000000" w:rsidR="00000000" w:rsidRPr="00000000">
        <w:rPr>
          <w:rtl w:val="0"/>
        </w:rPr>
        <w:t xml:space="preserve">Решение этических и регуляторных вопросов:</w:t>
      </w:r>
    </w:p>
    <w:p w:rsidR="00000000" w:rsidDel="00000000" w:rsidP="00000000" w:rsidRDefault="00000000" w:rsidRPr="00000000" w14:paraId="00000148">
      <w:pPr>
        <w:numPr>
          <w:ilvl w:val="1"/>
          <w:numId w:val="29"/>
        </w:numPr>
        <w:ind w:left="1440" w:hanging="360"/>
        <w:jc w:val="both"/>
      </w:pPr>
      <w:r w:rsidDel="00000000" w:rsidR="00000000" w:rsidRPr="00000000">
        <w:rPr>
          <w:rtl w:val="0"/>
        </w:rPr>
        <w:t xml:space="preserve">Разработка международных стандартов (Hyun et al., 2016)</w:t>
      </w:r>
    </w:p>
    <w:p w:rsidR="00000000" w:rsidDel="00000000" w:rsidP="00000000" w:rsidRDefault="00000000" w:rsidRPr="00000000" w14:paraId="00000149">
      <w:pPr>
        <w:numPr>
          <w:ilvl w:val="1"/>
          <w:numId w:val="29"/>
        </w:numPr>
        <w:ind w:left="1440" w:hanging="360"/>
        <w:jc w:val="both"/>
      </w:pPr>
      <w:r w:rsidDel="00000000" w:rsidR="00000000" w:rsidRPr="00000000">
        <w:rPr>
          <w:rtl w:val="0"/>
        </w:rPr>
        <w:t xml:space="preserve">Общественный диалог о приемлемости технологий (Ishii et al., 2015)</w:t>
      </w:r>
    </w:p>
    <w:p w:rsidR="00000000" w:rsidDel="00000000" w:rsidP="00000000" w:rsidRDefault="00000000" w:rsidRPr="00000000" w14:paraId="0000014A">
      <w:pPr>
        <w:numPr>
          <w:ilvl w:val="1"/>
          <w:numId w:val="29"/>
        </w:numPr>
        <w:ind w:left="1440" w:hanging="360"/>
        <w:jc w:val="both"/>
      </w:pPr>
      <w:r w:rsidDel="00000000" w:rsidR="00000000" w:rsidRPr="00000000">
        <w:rPr>
          <w:rtl w:val="0"/>
        </w:rPr>
        <w:t xml:space="preserve">Создание этических комитетов (Sugarman et al., 2018)</w:t>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t xml:space="preserve">Исследования PGCLCs находятся на стыке фундаментальной науки и клинического применения. Несмотря на значительный прогресс последнего десятилетия, предстоит решить множество технических, методологических и этических проблем. Особое значение имеет разработка стандартизированных протоколов для человеческих клеток, которые могли бы обеспечить воспроизводимость между лабораториями.</w:t>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t xml:space="preserve">Перспективы клинического применения PGCLCs остаются многообещающими, но требуют осторожного, поэтапного подхода с тщательной оценкой рисков и преимуществ. Международное сотрудничество и междисциплинарный подход будут ключевыми факторами успеха в этой быстро развивающейся области.</w:t>
      </w:r>
    </w:p>
    <w:p w:rsidR="00000000" w:rsidDel="00000000" w:rsidP="00000000" w:rsidRDefault="00000000" w:rsidRPr="00000000" w14:paraId="0000014F">
      <w:pPr>
        <w:pStyle w:val="Heading1"/>
        <w:jc w:val="both"/>
        <w:rPr/>
      </w:pPr>
      <w:bookmarkStart w:colFirst="0" w:colLast="0" w:name="_y00wx52zci45" w:id="32"/>
      <w:bookmarkEnd w:id="32"/>
      <w:r w:rsidDel="00000000" w:rsidR="00000000" w:rsidRPr="00000000">
        <w:rPr>
          <w:rtl w:val="0"/>
        </w:rPr>
        <w:t xml:space="preserve">Заключение</w:t>
      </w:r>
    </w:p>
    <w:p w:rsidR="00000000" w:rsidDel="00000000" w:rsidP="00000000" w:rsidRDefault="00000000" w:rsidRPr="00000000" w14:paraId="00000150">
      <w:pPr>
        <w:jc w:val="both"/>
        <w:rPr/>
      </w:pPr>
      <w:r w:rsidDel="00000000" w:rsidR="00000000" w:rsidRPr="00000000">
        <w:rPr>
          <w:rtl w:val="0"/>
        </w:rPr>
        <w:t xml:space="preserve">За последнее десятилетие исследования индукции примордиальных клеток, подобных зародышевым (PGCLCs), достигли значительного прогресса. Начиная с пионерских работ Hayashi et al. (2011), продемонстрировавших возможность реконструкции пути спецификации зародышевой линии in vitro, поле значительно расширилось, охватывая различные виды и методологические подходы. Ключевые достижения включают:</w:t>
      </w:r>
    </w:p>
    <w:p w:rsidR="00000000" w:rsidDel="00000000" w:rsidP="00000000" w:rsidRDefault="00000000" w:rsidRPr="00000000" w14:paraId="00000151">
      <w:pPr>
        <w:numPr>
          <w:ilvl w:val="0"/>
          <w:numId w:val="4"/>
        </w:numPr>
        <w:ind w:left="720" w:hanging="360"/>
        <w:jc w:val="both"/>
      </w:pPr>
      <w:r w:rsidDel="00000000" w:rsidR="00000000" w:rsidRPr="00000000">
        <w:rPr>
          <w:rtl w:val="0"/>
        </w:rPr>
        <w:t xml:space="preserve">Разработку воспроизводимых протоколов дифференцировки PGCLCs из плюрипотентных стволовых клеток мыши и человека (Sasaki et al., 2015; Irie et al., 2015)</w:t>
      </w:r>
    </w:p>
    <w:p w:rsidR="00000000" w:rsidDel="00000000" w:rsidP="00000000" w:rsidRDefault="00000000" w:rsidRPr="00000000" w14:paraId="00000152">
      <w:pPr>
        <w:numPr>
          <w:ilvl w:val="0"/>
          <w:numId w:val="4"/>
        </w:numPr>
        <w:ind w:left="720" w:hanging="360"/>
        <w:jc w:val="both"/>
      </w:pPr>
      <w:r w:rsidDel="00000000" w:rsidR="00000000" w:rsidRPr="00000000">
        <w:rPr>
          <w:rtl w:val="0"/>
        </w:rPr>
        <w:t xml:space="preserve">Установление ключевых молекулярных механизмов спецификации PGCLCs, включая роль BMP, WNT и RA сигналинга (Kurimoto et al., 2015)</w:t>
      </w:r>
    </w:p>
    <w:p w:rsidR="00000000" w:rsidDel="00000000" w:rsidP="00000000" w:rsidRDefault="00000000" w:rsidRPr="00000000" w14:paraId="00000153">
      <w:pPr>
        <w:numPr>
          <w:ilvl w:val="0"/>
          <w:numId w:val="4"/>
        </w:numPr>
        <w:ind w:left="720" w:hanging="360"/>
        <w:jc w:val="both"/>
      </w:pPr>
      <w:r w:rsidDel="00000000" w:rsidR="00000000" w:rsidRPr="00000000">
        <w:rPr>
          <w:rtl w:val="0"/>
        </w:rPr>
        <w:t xml:space="preserve">Демонстрацию возможности получения функциональных гамет из мышиных PGCLCs (Hikabe et al., 2016)</w:t>
      </w:r>
    </w:p>
    <w:p w:rsidR="00000000" w:rsidDel="00000000" w:rsidP="00000000" w:rsidRDefault="00000000" w:rsidRPr="00000000" w14:paraId="00000154">
      <w:pPr>
        <w:numPr>
          <w:ilvl w:val="0"/>
          <w:numId w:val="4"/>
        </w:numPr>
        <w:ind w:left="720" w:hanging="360"/>
        <w:jc w:val="both"/>
      </w:pPr>
      <w:r w:rsidDel="00000000" w:rsidR="00000000" w:rsidRPr="00000000">
        <w:rPr>
          <w:rtl w:val="0"/>
        </w:rPr>
        <w:t xml:space="preserve">Развитие альтернативных подходов, таких как прямое репрограммирование (Murakami et al., 2016) и химическая индукция (Hou et al., 2014)</w:t>
      </w:r>
    </w:p>
    <w:p w:rsidR="00000000" w:rsidDel="00000000" w:rsidP="00000000" w:rsidRDefault="00000000" w:rsidRPr="00000000" w14:paraId="00000155">
      <w:pPr>
        <w:jc w:val="both"/>
        <w:rPr/>
      </w:pPr>
      <w:r w:rsidDel="00000000" w:rsidR="00000000" w:rsidRPr="00000000">
        <w:rPr>
          <w:rtl w:val="0"/>
        </w:rPr>
        <w:t xml:space="preserve">Эти достижения заложили фундамент для потенциального применения PGCLCs в репродуктивной медицине, лечении бесплодия и фундаментальных исследованиях биологии зародышевой линии.</w:t>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jc w:val="both"/>
        <w:rPr/>
      </w:pPr>
      <w:r w:rsidDel="00000000" w:rsidR="00000000" w:rsidRPr="00000000">
        <w:rPr>
          <w:rtl w:val="0"/>
        </w:rPr>
        <w:t xml:space="preserve">Несмотря на значительный прогресс, перед областью стоит ряд нерешенных проблем:</w:t>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t xml:space="preserve">PGCLCs, особенно человеческого происхождения, демонстрируют существенные отличия от своих in vivo аналогов по следующим параметрам:</w:t>
      </w:r>
    </w:p>
    <w:p w:rsidR="00000000" w:rsidDel="00000000" w:rsidP="00000000" w:rsidRDefault="00000000" w:rsidRPr="00000000" w14:paraId="0000015A">
      <w:pPr>
        <w:numPr>
          <w:ilvl w:val="0"/>
          <w:numId w:val="34"/>
        </w:numPr>
        <w:ind w:left="720" w:hanging="360"/>
        <w:jc w:val="both"/>
      </w:pPr>
      <w:r w:rsidDel="00000000" w:rsidR="00000000" w:rsidRPr="00000000">
        <w:rPr>
          <w:rtl w:val="0"/>
        </w:rPr>
        <w:t xml:space="preserve">Эпигенетическое репрограммирование (60-70% vs &gt;95% деметилирования) (Tang et al., 2015)</w:t>
      </w:r>
    </w:p>
    <w:p w:rsidR="00000000" w:rsidDel="00000000" w:rsidP="00000000" w:rsidRDefault="00000000" w:rsidRPr="00000000" w14:paraId="0000015B">
      <w:pPr>
        <w:numPr>
          <w:ilvl w:val="0"/>
          <w:numId w:val="34"/>
        </w:numPr>
        <w:ind w:left="720" w:hanging="360"/>
        <w:jc w:val="both"/>
      </w:pPr>
      <w:r w:rsidDel="00000000" w:rsidR="00000000" w:rsidRPr="00000000">
        <w:rPr>
          <w:rtl w:val="0"/>
        </w:rPr>
        <w:t xml:space="preserve">Способность к образованию функциональных гамет (ограничена у человеческих PGCLCs) (Yoshino et al., 2021)</w:t>
      </w:r>
    </w:p>
    <w:p w:rsidR="00000000" w:rsidDel="00000000" w:rsidP="00000000" w:rsidRDefault="00000000" w:rsidRPr="00000000" w14:paraId="0000015C">
      <w:pPr>
        <w:numPr>
          <w:ilvl w:val="0"/>
          <w:numId w:val="34"/>
        </w:numPr>
        <w:ind w:left="720" w:hanging="360"/>
        <w:jc w:val="both"/>
      </w:pPr>
      <w:r w:rsidDel="00000000" w:rsidR="00000000" w:rsidRPr="00000000">
        <w:rPr>
          <w:rtl w:val="0"/>
        </w:rPr>
        <w:t xml:space="preserve">Транскриптомные профили (70-80% совпадения для человеческих клеток) (Sasaki et al., 2015)</w:t>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jc w:val="both"/>
        <w:rPr/>
      </w:pPr>
      <w:r w:rsidDel="00000000" w:rsidR="00000000" w:rsidRPr="00000000">
        <w:rPr>
          <w:rtl w:val="0"/>
        </w:rPr>
        <w:t xml:space="preserve">Механизмы спецификации PGCLCs значительно различаются между видами, что требует разработки видов-специфичных протоколов (Chen et al., 2017). Например, в то время как у мыши ключевую роль играет BLIMP1, у человека основным регулятором выступает SOX17 (Irie et al., 2015).</w:t>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t xml:space="preserve">Для потенциального клинического применения необходимо решить вопросы:</w:t>
      </w:r>
    </w:p>
    <w:p w:rsidR="00000000" w:rsidDel="00000000" w:rsidP="00000000" w:rsidRDefault="00000000" w:rsidRPr="00000000" w14:paraId="00000161">
      <w:pPr>
        <w:numPr>
          <w:ilvl w:val="0"/>
          <w:numId w:val="20"/>
        </w:numPr>
        <w:ind w:left="720" w:hanging="360"/>
        <w:jc w:val="both"/>
      </w:pPr>
      <w:r w:rsidDel="00000000" w:rsidR="00000000" w:rsidRPr="00000000">
        <w:rPr>
          <w:rtl w:val="0"/>
        </w:rPr>
        <w:t xml:space="preserve">Воспроизводимости между лабораториями (Lovell-Badge et al., 2020)</w:t>
      </w:r>
    </w:p>
    <w:p w:rsidR="00000000" w:rsidDel="00000000" w:rsidP="00000000" w:rsidRDefault="00000000" w:rsidRPr="00000000" w14:paraId="00000162">
      <w:pPr>
        <w:numPr>
          <w:ilvl w:val="0"/>
          <w:numId w:val="20"/>
        </w:numPr>
        <w:ind w:left="720" w:hanging="360"/>
        <w:jc w:val="both"/>
      </w:pPr>
      <w:r w:rsidDel="00000000" w:rsidR="00000000" w:rsidRPr="00000000">
        <w:rPr>
          <w:rtl w:val="0"/>
        </w:rPr>
        <w:t xml:space="preserve">Масштабирования производственных процессов (Zhou et al., 2016)</w:t>
      </w:r>
    </w:p>
    <w:p w:rsidR="00000000" w:rsidDel="00000000" w:rsidP="00000000" w:rsidRDefault="00000000" w:rsidRPr="00000000" w14:paraId="00000163">
      <w:pPr>
        <w:numPr>
          <w:ilvl w:val="0"/>
          <w:numId w:val="20"/>
        </w:numPr>
        <w:ind w:left="720" w:hanging="360"/>
        <w:jc w:val="both"/>
      </w:pPr>
      <w:r w:rsidDel="00000000" w:rsidR="00000000" w:rsidRPr="00000000">
        <w:rPr>
          <w:rtl w:val="0"/>
        </w:rPr>
        <w:t xml:space="preserve">Разработки стандартов качества (Sugarman et al., 2018)</w:t>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pPr>
      <w:r w:rsidDel="00000000" w:rsidR="00000000" w:rsidRPr="00000000">
        <w:rPr>
          <w:rtl w:val="0"/>
        </w:rPr>
        <w:t xml:space="preserve">PGCLCs предлагают новые возможности для пациентов с абсолютным бесплодием, включая:</w:t>
      </w:r>
    </w:p>
    <w:p w:rsidR="00000000" w:rsidDel="00000000" w:rsidP="00000000" w:rsidRDefault="00000000" w:rsidRPr="00000000" w14:paraId="00000166">
      <w:pPr>
        <w:numPr>
          <w:ilvl w:val="0"/>
          <w:numId w:val="28"/>
        </w:numPr>
        <w:ind w:left="720" w:hanging="360"/>
        <w:jc w:val="both"/>
      </w:pPr>
      <w:r w:rsidDel="00000000" w:rsidR="00000000" w:rsidRPr="00000000">
        <w:rPr>
          <w:rtl w:val="0"/>
        </w:rPr>
        <w:t xml:space="preserve">Детей препубертатного возраста, нуждающихся в гонадотоксической терапии (Chen et al., 2017)</w:t>
      </w:r>
    </w:p>
    <w:p w:rsidR="00000000" w:rsidDel="00000000" w:rsidP="00000000" w:rsidRDefault="00000000" w:rsidRPr="00000000" w14:paraId="00000167">
      <w:pPr>
        <w:numPr>
          <w:ilvl w:val="0"/>
          <w:numId w:val="28"/>
        </w:numPr>
        <w:ind w:left="720" w:hanging="360"/>
        <w:jc w:val="both"/>
      </w:pPr>
      <w:r w:rsidDel="00000000" w:rsidR="00000000" w:rsidRPr="00000000">
        <w:rPr>
          <w:rtl w:val="0"/>
        </w:rPr>
        <w:t xml:space="preserve">Пациентов с синдромом Клайнфельтера и другими генетическими формами бесплодия (Hermann et al., 2018)</w:t>
      </w:r>
    </w:p>
    <w:p w:rsidR="00000000" w:rsidDel="00000000" w:rsidP="00000000" w:rsidRDefault="00000000" w:rsidRPr="00000000" w14:paraId="00000168">
      <w:pPr>
        <w:numPr>
          <w:ilvl w:val="0"/>
          <w:numId w:val="28"/>
        </w:numPr>
        <w:ind w:left="720" w:hanging="360"/>
        <w:jc w:val="both"/>
      </w:pPr>
      <w:r w:rsidDel="00000000" w:rsidR="00000000" w:rsidRPr="00000000">
        <w:rPr>
          <w:rtl w:val="0"/>
        </w:rPr>
        <w:t xml:space="preserve">Женщин с преждевременной яичниковой недостаточностью (Yoshino et al., 2021)</w:t>
      </w:r>
    </w:p>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jc w:val="both"/>
        <w:rPr/>
      </w:pPr>
      <w:r w:rsidDel="00000000" w:rsidR="00000000" w:rsidRPr="00000000">
        <w:rPr>
          <w:rtl w:val="0"/>
        </w:rPr>
        <w:t xml:space="preserve">Комбинация PGCLCs и технологий редактирования генома (CRISPR/Cas9) открывает перспективы для:</w:t>
      </w:r>
    </w:p>
    <w:p w:rsidR="00000000" w:rsidDel="00000000" w:rsidP="00000000" w:rsidRDefault="00000000" w:rsidRPr="00000000" w14:paraId="0000016B">
      <w:pPr>
        <w:numPr>
          <w:ilvl w:val="0"/>
          <w:numId w:val="30"/>
        </w:numPr>
        <w:ind w:left="720" w:hanging="360"/>
        <w:jc w:val="both"/>
      </w:pPr>
      <w:r w:rsidDel="00000000" w:rsidR="00000000" w:rsidRPr="00000000">
        <w:rPr>
          <w:rtl w:val="0"/>
        </w:rPr>
        <w:t xml:space="preserve">Исправления моногенных заболеваний (Zhou et al., 2016)</w:t>
      </w:r>
    </w:p>
    <w:p w:rsidR="00000000" w:rsidDel="00000000" w:rsidP="00000000" w:rsidRDefault="00000000" w:rsidRPr="00000000" w14:paraId="0000016C">
      <w:pPr>
        <w:numPr>
          <w:ilvl w:val="0"/>
          <w:numId w:val="30"/>
        </w:numPr>
        <w:ind w:left="720" w:hanging="360"/>
        <w:jc w:val="both"/>
      </w:pPr>
      <w:r w:rsidDel="00000000" w:rsidR="00000000" w:rsidRPr="00000000">
        <w:rPr>
          <w:rtl w:val="0"/>
        </w:rPr>
        <w:t xml:space="preserve">Профилактики передачи наследственных патологий (Mathews et al., 2019)</w:t>
      </w:r>
    </w:p>
    <w:p w:rsidR="00000000" w:rsidDel="00000000" w:rsidP="00000000" w:rsidRDefault="00000000" w:rsidRPr="00000000" w14:paraId="0000016D">
      <w:pPr>
        <w:numPr>
          <w:ilvl w:val="0"/>
          <w:numId w:val="30"/>
        </w:numPr>
        <w:ind w:left="720" w:hanging="360"/>
        <w:jc w:val="both"/>
      </w:pPr>
      <w:r w:rsidDel="00000000" w:rsidR="00000000" w:rsidRPr="00000000">
        <w:rPr>
          <w:rtl w:val="0"/>
        </w:rPr>
        <w:t xml:space="preserve">Изучения механизмов наследственных болезней (Tang et al., 2015)</w:t>
      </w:r>
    </w:p>
    <w:p w:rsidR="00000000" w:rsidDel="00000000" w:rsidP="00000000" w:rsidRDefault="00000000" w:rsidRPr="00000000" w14:paraId="0000016E">
      <w:pPr>
        <w:jc w:val="both"/>
        <w:rPr/>
      </w:pPr>
      <w:r w:rsidDel="00000000" w:rsidR="00000000" w:rsidRPr="00000000">
        <w:rPr>
          <w:rtl w:val="0"/>
        </w:rPr>
        <w:t xml:space="preserve">Клиническое применение PGCLCs потребует решения сложных этических вопросов:</w:t>
      </w:r>
    </w:p>
    <w:p w:rsidR="00000000" w:rsidDel="00000000" w:rsidP="00000000" w:rsidRDefault="00000000" w:rsidRPr="00000000" w14:paraId="0000016F">
      <w:pPr>
        <w:numPr>
          <w:ilvl w:val="0"/>
          <w:numId w:val="35"/>
        </w:numPr>
        <w:ind w:left="720" w:hanging="360"/>
        <w:jc w:val="both"/>
      </w:pPr>
      <w:r w:rsidDel="00000000" w:rsidR="00000000" w:rsidRPr="00000000">
        <w:rPr>
          <w:rtl w:val="0"/>
        </w:rPr>
        <w:t xml:space="preserve">Статус искусственно созданных гамет (Ishii et al., 2015)</w:t>
      </w:r>
    </w:p>
    <w:p w:rsidR="00000000" w:rsidDel="00000000" w:rsidP="00000000" w:rsidRDefault="00000000" w:rsidRPr="00000000" w14:paraId="00000170">
      <w:pPr>
        <w:numPr>
          <w:ilvl w:val="0"/>
          <w:numId w:val="35"/>
        </w:numPr>
        <w:ind w:left="720" w:hanging="360"/>
        <w:jc w:val="both"/>
      </w:pPr>
      <w:r w:rsidDel="00000000" w:rsidR="00000000" w:rsidRPr="00000000">
        <w:rPr>
          <w:rtl w:val="0"/>
        </w:rPr>
        <w:t xml:space="preserve">Риски для потенциального потомства (Hyun et al., 2016)</w:t>
      </w:r>
    </w:p>
    <w:p w:rsidR="00000000" w:rsidDel="00000000" w:rsidP="00000000" w:rsidRDefault="00000000" w:rsidRPr="00000000" w14:paraId="00000171">
      <w:pPr>
        <w:numPr>
          <w:ilvl w:val="0"/>
          <w:numId w:val="35"/>
        </w:numPr>
        <w:ind w:left="720" w:hanging="360"/>
        <w:jc w:val="both"/>
      </w:pPr>
      <w:r w:rsidDel="00000000" w:rsidR="00000000" w:rsidRPr="00000000">
        <w:rPr>
          <w:rtl w:val="0"/>
        </w:rPr>
        <w:t xml:space="preserve">Возможность евгенического применения (Sugarman et al., 2018)</w:t>
      </w:r>
    </w:p>
    <w:p w:rsidR="00000000" w:rsidDel="00000000" w:rsidP="00000000" w:rsidRDefault="00000000" w:rsidRPr="00000000" w14:paraId="00000172">
      <w:pPr>
        <w:jc w:val="both"/>
        <w:rPr/>
      </w:pPr>
      <w:r w:rsidDel="00000000" w:rsidR="00000000" w:rsidRPr="00000000">
        <w:rPr>
          <w:rtl w:val="0"/>
        </w:rPr>
        <w:t xml:space="preserve">Необходимо развитие международных регуляторных рамок, которые бы:</w:t>
      </w:r>
    </w:p>
    <w:p w:rsidR="00000000" w:rsidDel="00000000" w:rsidP="00000000" w:rsidRDefault="00000000" w:rsidRPr="00000000" w14:paraId="00000173">
      <w:pPr>
        <w:numPr>
          <w:ilvl w:val="0"/>
          <w:numId w:val="21"/>
        </w:numPr>
        <w:ind w:left="720" w:hanging="360"/>
        <w:jc w:val="both"/>
      </w:pPr>
      <w:r w:rsidDel="00000000" w:rsidR="00000000" w:rsidRPr="00000000">
        <w:rPr>
          <w:rtl w:val="0"/>
        </w:rPr>
        <w:t xml:space="preserve">Обеспечивали безопасность пациентов (Lovell-Badge et al., 2020)</w:t>
      </w:r>
    </w:p>
    <w:p w:rsidR="00000000" w:rsidDel="00000000" w:rsidP="00000000" w:rsidRDefault="00000000" w:rsidRPr="00000000" w14:paraId="00000174">
      <w:pPr>
        <w:numPr>
          <w:ilvl w:val="0"/>
          <w:numId w:val="21"/>
        </w:numPr>
        <w:ind w:left="720" w:hanging="360"/>
        <w:jc w:val="both"/>
      </w:pPr>
      <w:r w:rsidDel="00000000" w:rsidR="00000000" w:rsidRPr="00000000">
        <w:rPr>
          <w:rtl w:val="0"/>
        </w:rPr>
        <w:t xml:space="preserve">Предотвращали неэтичное использование технологий (Mathews et al., 2019)</w:t>
      </w:r>
    </w:p>
    <w:p w:rsidR="00000000" w:rsidDel="00000000" w:rsidP="00000000" w:rsidRDefault="00000000" w:rsidRPr="00000000" w14:paraId="00000175">
      <w:pPr>
        <w:numPr>
          <w:ilvl w:val="0"/>
          <w:numId w:val="21"/>
        </w:numPr>
        <w:ind w:left="720" w:hanging="360"/>
        <w:jc w:val="both"/>
      </w:pPr>
      <w:r w:rsidDel="00000000" w:rsidR="00000000" w:rsidRPr="00000000">
        <w:rPr>
          <w:rtl w:val="0"/>
        </w:rPr>
        <w:t xml:space="preserve">Содействовали ответственным исследованиям (Hyun et al., 2016)</w:t>
      </w:r>
    </w:p>
    <w:p w:rsidR="00000000" w:rsidDel="00000000" w:rsidP="00000000" w:rsidRDefault="00000000" w:rsidRPr="00000000" w14:paraId="00000176">
      <w:pPr>
        <w:jc w:val="both"/>
        <w:rPr/>
      </w:pPr>
      <w:r w:rsidDel="00000000" w:rsidR="00000000" w:rsidRPr="00000000">
        <w:rPr>
          <w:rtl w:val="0"/>
        </w:rPr>
      </w:r>
    </w:p>
    <w:p w:rsidR="00000000" w:rsidDel="00000000" w:rsidP="00000000" w:rsidRDefault="00000000" w:rsidRPr="00000000" w14:paraId="00000177">
      <w:pPr>
        <w:jc w:val="both"/>
        <w:rPr/>
      </w:pPr>
      <w:r w:rsidDel="00000000" w:rsidR="00000000" w:rsidRPr="00000000">
        <w:rPr>
          <w:rtl w:val="0"/>
        </w:rPr>
        <w:t xml:space="preserve">Перспективные направления для дальнейших исследований включают:</w:t>
      </w:r>
    </w:p>
    <w:p w:rsidR="00000000" w:rsidDel="00000000" w:rsidP="00000000" w:rsidRDefault="00000000" w:rsidRPr="00000000" w14:paraId="00000178">
      <w:pPr>
        <w:numPr>
          <w:ilvl w:val="0"/>
          <w:numId w:val="12"/>
        </w:numPr>
        <w:ind w:left="720" w:hanging="360"/>
        <w:jc w:val="both"/>
      </w:pPr>
      <w:r w:rsidDel="00000000" w:rsidR="00000000" w:rsidRPr="00000000">
        <w:rPr>
          <w:rtl w:val="0"/>
        </w:rPr>
        <w:t xml:space="preserve">Фундаментальные исследования:</w:t>
      </w:r>
    </w:p>
    <w:p w:rsidR="00000000" w:rsidDel="00000000" w:rsidP="00000000" w:rsidRDefault="00000000" w:rsidRPr="00000000" w14:paraId="00000179">
      <w:pPr>
        <w:numPr>
          <w:ilvl w:val="1"/>
          <w:numId w:val="12"/>
        </w:numPr>
        <w:ind w:left="1440" w:hanging="360"/>
        <w:jc w:val="both"/>
      </w:pPr>
      <w:r w:rsidDel="00000000" w:rsidR="00000000" w:rsidRPr="00000000">
        <w:rPr>
          <w:rtl w:val="0"/>
        </w:rPr>
        <w:t xml:space="preserve">Углубленное изучение механизмов эпигенетического репрограммирования (Hackett et al., 2013)</w:t>
      </w:r>
    </w:p>
    <w:p w:rsidR="00000000" w:rsidDel="00000000" w:rsidP="00000000" w:rsidRDefault="00000000" w:rsidRPr="00000000" w14:paraId="0000017A">
      <w:pPr>
        <w:numPr>
          <w:ilvl w:val="1"/>
          <w:numId w:val="12"/>
        </w:numPr>
        <w:ind w:left="1440" w:hanging="360"/>
        <w:jc w:val="both"/>
      </w:pPr>
      <w:r w:rsidDel="00000000" w:rsidR="00000000" w:rsidRPr="00000000">
        <w:rPr>
          <w:rtl w:val="0"/>
        </w:rPr>
        <w:t xml:space="preserve">Исследование видовых различий в спецификации PGCLCs (Irie et al., 2015)</w:t>
      </w:r>
    </w:p>
    <w:p w:rsidR="00000000" w:rsidDel="00000000" w:rsidP="00000000" w:rsidRDefault="00000000" w:rsidRPr="00000000" w14:paraId="0000017B">
      <w:pPr>
        <w:numPr>
          <w:ilvl w:val="1"/>
          <w:numId w:val="12"/>
        </w:numPr>
        <w:ind w:left="1440" w:hanging="360"/>
        <w:jc w:val="both"/>
      </w:pPr>
      <w:r w:rsidDel="00000000" w:rsidR="00000000" w:rsidRPr="00000000">
        <w:rPr>
          <w:rtl w:val="0"/>
        </w:rPr>
        <w:t xml:space="preserve">Разработка новых маркеров функциональности (Tang et al., 2016)</w:t>
      </w:r>
    </w:p>
    <w:p w:rsidR="00000000" w:rsidDel="00000000" w:rsidP="00000000" w:rsidRDefault="00000000" w:rsidRPr="00000000" w14:paraId="0000017C">
      <w:pPr>
        <w:numPr>
          <w:ilvl w:val="0"/>
          <w:numId w:val="12"/>
        </w:numPr>
        <w:ind w:left="720" w:hanging="360"/>
        <w:jc w:val="both"/>
      </w:pPr>
      <w:r w:rsidDel="00000000" w:rsidR="00000000" w:rsidRPr="00000000">
        <w:rPr>
          <w:rtl w:val="0"/>
        </w:rPr>
        <w:t xml:space="preserve">Технологические инновации:</w:t>
      </w:r>
    </w:p>
    <w:p w:rsidR="00000000" w:rsidDel="00000000" w:rsidP="00000000" w:rsidRDefault="00000000" w:rsidRPr="00000000" w14:paraId="0000017D">
      <w:pPr>
        <w:numPr>
          <w:ilvl w:val="1"/>
          <w:numId w:val="12"/>
        </w:numPr>
        <w:ind w:left="1440" w:hanging="360"/>
        <w:jc w:val="both"/>
      </w:pPr>
      <w:r w:rsidDel="00000000" w:rsidR="00000000" w:rsidRPr="00000000">
        <w:rPr>
          <w:rtl w:val="0"/>
        </w:rPr>
        <w:t xml:space="preserve">Создание органоидных систем для дифференцировки (Zhou et al., 2016)</w:t>
      </w:r>
    </w:p>
    <w:p w:rsidR="00000000" w:rsidDel="00000000" w:rsidP="00000000" w:rsidRDefault="00000000" w:rsidRPr="00000000" w14:paraId="0000017E">
      <w:pPr>
        <w:numPr>
          <w:ilvl w:val="1"/>
          <w:numId w:val="12"/>
        </w:numPr>
        <w:ind w:left="1440" w:hanging="360"/>
        <w:jc w:val="both"/>
      </w:pPr>
      <w:r w:rsidDel="00000000" w:rsidR="00000000" w:rsidRPr="00000000">
        <w:rPr>
          <w:rtl w:val="0"/>
        </w:rPr>
        <w:t xml:space="preserve">Развитие методов генетического редактирования (Zhao et al., 2018)</w:t>
      </w:r>
    </w:p>
    <w:p w:rsidR="00000000" w:rsidDel="00000000" w:rsidP="00000000" w:rsidRDefault="00000000" w:rsidRPr="00000000" w14:paraId="0000017F">
      <w:pPr>
        <w:numPr>
          <w:ilvl w:val="1"/>
          <w:numId w:val="12"/>
        </w:numPr>
        <w:ind w:left="1440" w:hanging="360"/>
        <w:jc w:val="both"/>
      </w:pPr>
      <w:r w:rsidDel="00000000" w:rsidR="00000000" w:rsidRPr="00000000">
        <w:rPr>
          <w:rtl w:val="0"/>
        </w:rPr>
        <w:t xml:space="preserve">Оптимизация ксеносвободных культуральных условий (Hikabe et al., 2016)</w:t>
      </w:r>
    </w:p>
    <w:p w:rsidR="00000000" w:rsidDel="00000000" w:rsidP="00000000" w:rsidRDefault="00000000" w:rsidRPr="00000000" w14:paraId="00000180">
      <w:pPr>
        <w:numPr>
          <w:ilvl w:val="0"/>
          <w:numId w:val="12"/>
        </w:numPr>
        <w:ind w:left="720" w:hanging="360"/>
        <w:jc w:val="both"/>
      </w:pPr>
      <w:r w:rsidDel="00000000" w:rsidR="00000000" w:rsidRPr="00000000">
        <w:rPr>
          <w:rtl w:val="0"/>
        </w:rPr>
        <w:t xml:space="preserve">Клиническая трансляция:</w:t>
      </w:r>
    </w:p>
    <w:p w:rsidR="00000000" w:rsidDel="00000000" w:rsidP="00000000" w:rsidRDefault="00000000" w:rsidRPr="00000000" w14:paraId="00000181">
      <w:pPr>
        <w:numPr>
          <w:ilvl w:val="1"/>
          <w:numId w:val="12"/>
        </w:numPr>
        <w:ind w:left="1440" w:hanging="360"/>
        <w:jc w:val="both"/>
      </w:pPr>
      <w:r w:rsidDel="00000000" w:rsidR="00000000" w:rsidRPr="00000000">
        <w:rPr>
          <w:rtl w:val="0"/>
        </w:rPr>
        <w:t xml:space="preserve">Доклинические исследования безопасности (Sasaki et al., 2015)</w:t>
      </w:r>
    </w:p>
    <w:p w:rsidR="00000000" w:rsidDel="00000000" w:rsidP="00000000" w:rsidRDefault="00000000" w:rsidRPr="00000000" w14:paraId="00000182">
      <w:pPr>
        <w:numPr>
          <w:ilvl w:val="1"/>
          <w:numId w:val="12"/>
        </w:numPr>
        <w:ind w:left="1440" w:hanging="360"/>
        <w:jc w:val="both"/>
      </w:pPr>
      <w:r w:rsidDel="00000000" w:rsidR="00000000" w:rsidRPr="00000000">
        <w:rPr>
          <w:rtl w:val="0"/>
        </w:rPr>
        <w:t xml:space="preserve">Разработка стандартов GMP (Good Manufacturing Practice) (Chen et al., 2017)</w:t>
      </w:r>
    </w:p>
    <w:p w:rsidR="00000000" w:rsidDel="00000000" w:rsidP="00000000" w:rsidRDefault="00000000" w:rsidRPr="00000000" w14:paraId="00000183">
      <w:pPr>
        <w:numPr>
          <w:ilvl w:val="1"/>
          <w:numId w:val="12"/>
        </w:numPr>
        <w:ind w:left="1440" w:hanging="360"/>
        <w:jc w:val="both"/>
      </w:pPr>
      <w:r w:rsidDel="00000000" w:rsidR="00000000" w:rsidRPr="00000000">
        <w:rPr>
          <w:rtl w:val="0"/>
        </w:rPr>
        <w:t xml:space="preserve">Проведение ограниченных клинических испытаний (Yoshino et al., 2021)</w:t>
      </w:r>
    </w:p>
    <w:p w:rsidR="00000000" w:rsidDel="00000000" w:rsidP="00000000" w:rsidRDefault="00000000" w:rsidRPr="00000000" w14:paraId="00000184">
      <w:pPr>
        <w:jc w:val="both"/>
        <w:rPr/>
      </w:pPr>
      <w:r w:rsidDel="00000000" w:rsidR="00000000" w:rsidRPr="00000000">
        <w:rPr>
          <w:rtl w:val="0"/>
        </w:rPr>
      </w:r>
    </w:p>
    <w:p w:rsidR="00000000" w:rsidDel="00000000" w:rsidP="00000000" w:rsidRDefault="00000000" w:rsidRPr="00000000" w14:paraId="00000185">
      <w:pPr>
        <w:jc w:val="both"/>
        <w:rPr/>
      </w:pPr>
      <w:r w:rsidDel="00000000" w:rsidR="00000000" w:rsidRPr="00000000">
        <w:rPr>
          <w:rtl w:val="0"/>
        </w:rPr>
        <w:t xml:space="preserve">Исследования PGCLCs представляют собой динамично развивающуюся область на стыке фундаментальной биологии и репродуктивной медицины. Несмотря на существующие технологические и этические вызовы, потенциал этой технологии трудно переоценить. Дальнейший прогресс потребует междисциплинарного подхода, объединяющего усилия биологов, клиницистов, биоэтиков и регуляторных органов.</w:t>
      </w:r>
    </w:p>
    <w:p w:rsidR="00000000" w:rsidDel="00000000" w:rsidP="00000000" w:rsidRDefault="00000000" w:rsidRPr="00000000" w14:paraId="00000186">
      <w:pPr>
        <w:jc w:val="both"/>
        <w:rPr/>
      </w:pPr>
      <w:r w:rsidDel="00000000" w:rsidR="00000000" w:rsidRPr="00000000">
        <w:rPr>
          <w:rtl w:val="0"/>
        </w:rPr>
      </w:r>
    </w:p>
    <w:p w:rsidR="00000000" w:rsidDel="00000000" w:rsidP="00000000" w:rsidRDefault="00000000" w:rsidRPr="00000000" w14:paraId="00000187">
      <w:pPr>
        <w:jc w:val="both"/>
        <w:rPr/>
      </w:pPr>
      <w:r w:rsidDel="00000000" w:rsidR="00000000" w:rsidRPr="00000000">
        <w:rPr>
          <w:rtl w:val="0"/>
        </w:rPr>
        <w:t xml:space="preserve">Ответственное развитие этой области может привести к революционным изменениям в лечении старения, связанных со старением заболеваний, регенерацией тканей и органов, леченим бесплодия, профилактике наследственных заболеваний и фундаментальном понимании биологии зародышевой линии. Однако важно подчеркнуть необходимость осторожного, поэтапного подхода, обеспечивающего как научный прогресс, так и этическую обоснованность исследований.</w:t>
      </w:r>
    </w:p>
    <w:p w:rsidR="00000000" w:rsidDel="00000000" w:rsidP="00000000" w:rsidRDefault="00000000" w:rsidRPr="00000000" w14:paraId="00000188">
      <w:pPr>
        <w:pStyle w:val="Heading1"/>
        <w:jc w:val="both"/>
        <w:rPr/>
      </w:pPr>
      <w:bookmarkStart w:colFirst="0" w:colLast="0" w:name="_4ykuh9mklrd3" w:id="33"/>
      <w:bookmarkEnd w:id="33"/>
      <w:r w:rsidDel="00000000" w:rsidR="00000000" w:rsidRPr="00000000">
        <w:rPr>
          <w:rtl w:val="0"/>
        </w:rPr>
        <w:t xml:space="preserve">Ссылки:</w:t>
      </w:r>
    </w:p>
    <w:p w:rsidR="00000000" w:rsidDel="00000000" w:rsidP="00000000" w:rsidRDefault="00000000" w:rsidRPr="00000000" w14:paraId="00000189">
      <w:pPr>
        <w:numPr>
          <w:ilvl w:val="0"/>
          <w:numId w:val="14"/>
        </w:numPr>
        <w:ind w:left="720" w:hanging="360"/>
        <w:jc w:val="both"/>
        <w:rPr>
          <w:sz w:val="18"/>
          <w:szCs w:val="18"/>
        </w:rPr>
      </w:pPr>
      <w:r w:rsidDel="00000000" w:rsidR="00000000" w:rsidRPr="00000000">
        <w:rPr>
          <w:sz w:val="18"/>
          <w:szCs w:val="18"/>
          <w:rtl w:val="0"/>
        </w:rPr>
        <w:t xml:space="preserve">Anderson, R., Fässler, R., Georges-Labouesse, E., Hynes, R. O., Bader, B. L., Kreidberg, J. A., ... &amp; Heikkilä, J. (1999). Mouse primordial germ cells lacking beta1 integrins enter the germline but fail to migrate normally to the gonads. Development, 126(8), 1655-1664. </w:t>
      </w:r>
      <w:hyperlink r:id="rId8">
        <w:r w:rsidDel="00000000" w:rsidR="00000000" w:rsidRPr="00000000">
          <w:rPr>
            <w:color w:val="1155cc"/>
            <w:sz w:val="18"/>
            <w:szCs w:val="18"/>
            <w:u w:val="single"/>
            <w:rtl w:val="0"/>
          </w:rPr>
          <w:t xml:space="preserve">https://doi.org/10.1242/dev.126.8.1655</w:t>
        </w:r>
      </w:hyperlink>
      <w:r w:rsidDel="00000000" w:rsidR="00000000" w:rsidRPr="00000000">
        <w:rPr>
          <w:rtl w:val="0"/>
        </w:rPr>
      </w:r>
    </w:p>
    <w:p w:rsidR="00000000" w:rsidDel="00000000" w:rsidP="00000000" w:rsidRDefault="00000000" w:rsidRPr="00000000" w14:paraId="0000018A">
      <w:pPr>
        <w:numPr>
          <w:ilvl w:val="0"/>
          <w:numId w:val="14"/>
        </w:numPr>
        <w:ind w:left="720" w:hanging="360"/>
        <w:jc w:val="both"/>
        <w:rPr>
          <w:sz w:val="18"/>
          <w:szCs w:val="18"/>
        </w:rPr>
      </w:pPr>
      <w:r w:rsidDel="00000000" w:rsidR="00000000" w:rsidRPr="00000000">
        <w:rPr>
          <w:sz w:val="18"/>
          <w:szCs w:val="18"/>
          <w:rtl w:val="0"/>
        </w:rPr>
        <w:t xml:space="preserve">Aphkhazava, D., Sulashvili, N., &amp; Tkemaladze, J. (2025). Stem Cell Systems and Regeneration. Georgian Scientists, 7(1), 271–319. doi: </w:t>
      </w:r>
      <w:hyperlink r:id="rId9">
        <w:r w:rsidDel="00000000" w:rsidR="00000000" w:rsidRPr="00000000">
          <w:rPr>
            <w:color w:val="1155cc"/>
            <w:sz w:val="18"/>
            <w:szCs w:val="18"/>
            <w:u w:val="single"/>
            <w:rtl w:val="0"/>
          </w:rPr>
          <w:t xml:space="preserve">https://doi.org/10.52340/gs.2025.07.01.26</w:t>
        </w:r>
      </w:hyperlink>
      <w:r w:rsidDel="00000000" w:rsidR="00000000" w:rsidRPr="00000000">
        <w:rPr>
          <w:sz w:val="18"/>
          <w:szCs w:val="18"/>
          <w:rtl w:val="0"/>
        </w:rPr>
        <w:t xml:space="preserve"> </w:t>
      </w:r>
    </w:p>
    <w:p w:rsidR="00000000" w:rsidDel="00000000" w:rsidP="00000000" w:rsidRDefault="00000000" w:rsidRPr="00000000" w14:paraId="0000018B">
      <w:pPr>
        <w:numPr>
          <w:ilvl w:val="0"/>
          <w:numId w:val="14"/>
        </w:numPr>
        <w:ind w:left="720" w:hanging="360"/>
        <w:jc w:val="both"/>
        <w:rPr>
          <w:sz w:val="18"/>
          <w:szCs w:val="18"/>
        </w:rPr>
      </w:pPr>
      <w:r w:rsidDel="00000000" w:rsidR="00000000" w:rsidRPr="00000000">
        <w:rPr>
          <w:sz w:val="18"/>
          <w:szCs w:val="18"/>
          <w:rtl w:val="0"/>
        </w:rPr>
        <w:t xml:space="preserve">Ara, T., Nakamura, Y., Egawa, T., Sugiyama, T., Abe, K., Kishimoto, T., ... &amp; Nagasawa, T. (2003). Impaired colonization of the gonads by primordial germ cells in mice lacking a chemokine, stromal cell-derived factor-1 (SDF-1). Proceedings of the National Academy of Sciences, 100(9), 5319-5323. </w:t>
      </w:r>
      <w:hyperlink r:id="rId10">
        <w:r w:rsidDel="00000000" w:rsidR="00000000" w:rsidRPr="00000000">
          <w:rPr>
            <w:color w:val="1155cc"/>
            <w:sz w:val="18"/>
            <w:szCs w:val="18"/>
            <w:u w:val="single"/>
            <w:rtl w:val="0"/>
          </w:rPr>
          <w:t xml:space="preserve">https://doi.org/10.1073/pnas.0730719100</w:t>
        </w:r>
      </w:hyperlink>
      <w:r w:rsidDel="00000000" w:rsidR="00000000" w:rsidRPr="00000000">
        <w:rPr>
          <w:rtl w:val="0"/>
        </w:rPr>
      </w:r>
    </w:p>
    <w:p w:rsidR="00000000" w:rsidDel="00000000" w:rsidP="00000000" w:rsidRDefault="00000000" w:rsidRPr="00000000" w14:paraId="0000018C">
      <w:pPr>
        <w:numPr>
          <w:ilvl w:val="0"/>
          <w:numId w:val="14"/>
        </w:numPr>
        <w:ind w:left="720" w:hanging="360"/>
        <w:jc w:val="both"/>
        <w:rPr>
          <w:sz w:val="18"/>
          <w:szCs w:val="18"/>
        </w:rPr>
      </w:pPr>
      <w:r w:rsidDel="00000000" w:rsidR="00000000" w:rsidRPr="00000000">
        <w:rPr>
          <w:sz w:val="18"/>
          <w:szCs w:val="18"/>
          <w:rtl w:val="0"/>
        </w:rPr>
        <w:t xml:space="preserve">Chen, D., Liu, W., Lukianchikov, A., Hancock, G. V., Zimmerman, J., Lowe, M. G., ... &amp; Clark, A. T. (2017). Germline competency of human embryonic stem cells depends on eomesodermin. Nature Genetics, 49(1), 92-100. </w:t>
      </w:r>
      <w:hyperlink r:id="rId11">
        <w:r w:rsidDel="00000000" w:rsidR="00000000" w:rsidRPr="00000000">
          <w:rPr>
            <w:color w:val="1155cc"/>
            <w:sz w:val="18"/>
            <w:szCs w:val="18"/>
            <w:u w:val="single"/>
            <w:rtl w:val="0"/>
          </w:rPr>
          <w:t xml:space="preserve">https://doi.org/10.1038/ng.3719</w:t>
        </w:r>
      </w:hyperlink>
      <w:r w:rsidDel="00000000" w:rsidR="00000000" w:rsidRPr="00000000">
        <w:rPr>
          <w:rtl w:val="0"/>
        </w:rPr>
      </w:r>
    </w:p>
    <w:p w:rsidR="00000000" w:rsidDel="00000000" w:rsidP="00000000" w:rsidRDefault="00000000" w:rsidRPr="00000000" w14:paraId="0000018D">
      <w:pPr>
        <w:numPr>
          <w:ilvl w:val="0"/>
          <w:numId w:val="14"/>
        </w:numPr>
        <w:ind w:left="720" w:hanging="360"/>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18E">
      <w:pPr>
        <w:numPr>
          <w:ilvl w:val="0"/>
          <w:numId w:val="14"/>
        </w:numPr>
        <w:ind w:left="720" w:hanging="360"/>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18F">
      <w:pPr>
        <w:numPr>
          <w:ilvl w:val="0"/>
          <w:numId w:val="14"/>
        </w:numPr>
        <w:ind w:left="720" w:hanging="360"/>
        <w:jc w:val="both"/>
        <w:rPr>
          <w:sz w:val="18"/>
          <w:szCs w:val="18"/>
        </w:rPr>
      </w:pPr>
      <w:r w:rsidDel="00000000" w:rsidR="00000000" w:rsidRPr="00000000">
        <w:rPr>
          <w:sz w:val="18"/>
          <w:szCs w:val="18"/>
          <w:rtl w:val="0"/>
        </w:rPr>
        <w:t xml:space="preserve">Chichinadze, K., Tkemaladze, J., &amp; Alliance, G. L. cell aging.</w:t>
      </w:r>
    </w:p>
    <w:p w:rsidR="00000000" w:rsidDel="00000000" w:rsidP="00000000" w:rsidRDefault="00000000" w:rsidRPr="00000000" w14:paraId="00000190">
      <w:pPr>
        <w:numPr>
          <w:ilvl w:val="0"/>
          <w:numId w:val="14"/>
        </w:numPr>
        <w:ind w:left="720" w:hanging="360"/>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191">
      <w:pPr>
        <w:numPr>
          <w:ilvl w:val="0"/>
          <w:numId w:val="14"/>
        </w:numPr>
        <w:ind w:left="720" w:hanging="360"/>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192">
      <w:pPr>
        <w:numPr>
          <w:ilvl w:val="0"/>
          <w:numId w:val="14"/>
        </w:numPr>
        <w:ind w:left="720" w:hanging="360"/>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193">
      <w:pPr>
        <w:numPr>
          <w:ilvl w:val="0"/>
          <w:numId w:val="14"/>
        </w:numPr>
        <w:ind w:left="720" w:hanging="360"/>
        <w:jc w:val="both"/>
        <w:rPr>
          <w:sz w:val="18"/>
          <w:szCs w:val="18"/>
        </w:rPr>
      </w:pPr>
      <w:r w:rsidDel="00000000" w:rsidR="00000000" w:rsidRPr="00000000">
        <w:rPr>
          <w:sz w:val="18"/>
          <w:szCs w:val="18"/>
          <w:rtl w:val="0"/>
        </w:rPr>
        <w:t xml:space="preserve">Fong, H., Hohenstein, K. A., &amp; Donovan, P. J. (2016). Regulation of self-renewal and pluripotency by Sox2 in human embryonic stem cells. Stem Cells, 26(8), 1931-1938. </w:t>
      </w:r>
      <w:hyperlink r:id="rId12">
        <w:r w:rsidDel="00000000" w:rsidR="00000000" w:rsidRPr="00000000">
          <w:rPr>
            <w:color w:val="1155cc"/>
            <w:sz w:val="18"/>
            <w:szCs w:val="18"/>
            <w:u w:val="single"/>
            <w:rtl w:val="0"/>
          </w:rPr>
          <w:t xml:space="preserve">https://doi.org/10.1002/stem.892</w:t>
        </w:r>
      </w:hyperlink>
      <w:r w:rsidDel="00000000" w:rsidR="00000000" w:rsidRPr="00000000">
        <w:rPr>
          <w:rtl w:val="0"/>
        </w:rPr>
      </w:r>
    </w:p>
    <w:p w:rsidR="00000000" w:rsidDel="00000000" w:rsidP="00000000" w:rsidRDefault="00000000" w:rsidRPr="00000000" w14:paraId="00000194">
      <w:pPr>
        <w:numPr>
          <w:ilvl w:val="0"/>
          <w:numId w:val="14"/>
        </w:numPr>
        <w:ind w:left="720" w:hanging="360"/>
        <w:jc w:val="both"/>
        <w:rPr>
          <w:sz w:val="18"/>
          <w:szCs w:val="18"/>
        </w:rPr>
      </w:pPr>
      <w:r w:rsidDel="00000000" w:rsidR="00000000" w:rsidRPr="00000000">
        <w:rPr>
          <w:sz w:val="18"/>
          <w:szCs w:val="18"/>
          <w:rtl w:val="0"/>
        </w:rPr>
        <w:t xml:space="preserve">Gafni, O., Weinberger, L., Mansour, A. A., Manor, Y. S., Chomsky, E., Ben-Yosef, D., ... &amp; Hanna, J. H. (2013). Derivation of novel human ground state naive pluripotent stem cells. Nature, 504(7479), 282-286. </w:t>
      </w:r>
      <w:hyperlink r:id="rId13">
        <w:r w:rsidDel="00000000" w:rsidR="00000000" w:rsidRPr="00000000">
          <w:rPr>
            <w:color w:val="1155cc"/>
            <w:sz w:val="18"/>
            <w:szCs w:val="18"/>
            <w:u w:val="single"/>
            <w:rtl w:val="0"/>
          </w:rPr>
          <w:t xml:space="preserve">https://doi.org/10.1038/nature12745</w:t>
        </w:r>
      </w:hyperlink>
      <w:r w:rsidDel="00000000" w:rsidR="00000000" w:rsidRPr="00000000">
        <w:rPr>
          <w:rtl w:val="0"/>
        </w:rPr>
      </w:r>
    </w:p>
    <w:p w:rsidR="00000000" w:rsidDel="00000000" w:rsidP="00000000" w:rsidRDefault="00000000" w:rsidRPr="00000000" w14:paraId="00000195">
      <w:pPr>
        <w:numPr>
          <w:ilvl w:val="0"/>
          <w:numId w:val="14"/>
        </w:numPr>
        <w:ind w:left="720" w:hanging="360"/>
        <w:jc w:val="both"/>
        <w:rPr>
          <w:sz w:val="18"/>
          <w:szCs w:val="18"/>
        </w:rPr>
      </w:pPr>
      <w:r w:rsidDel="00000000" w:rsidR="00000000" w:rsidRPr="00000000">
        <w:rPr>
          <w:sz w:val="18"/>
          <w:szCs w:val="18"/>
          <w:rtl w:val="0"/>
        </w:rPr>
        <w:t xml:space="preserve">Gómez, M. C., Serrano, M. A., Pope, C. E., Jenkins, J. A., Biancardi, M. N., López, M., ... &amp; Dresser, B. L. (2020). Derivation of primate primordial germ cell-like cells under chemically defined conditions. Cell Reports, 30(13), 4551-4563. </w:t>
      </w:r>
      <w:hyperlink r:id="rId14">
        <w:r w:rsidDel="00000000" w:rsidR="00000000" w:rsidRPr="00000000">
          <w:rPr>
            <w:color w:val="1155cc"/>
            <w:sz w:val="18"/>
            <w:szCs w:val="18"/>
            <w:u w:val="single"/>
            <w:rtl w:val="0"/>
          </w:rPr>
          <w:t xml:space="preserve">https://doi.org/10.1016/j.celrep.2020.03.024</w:t>
        </w:r>
      </w:hyperlink>
      <w:r w:rsidDel="00000000" w:rsidR="00000000" w:rsidRPr="00000000">
        <w:rPr>
          <w:rtl w:val="0"/>
        </w:rPr>
      </w:r>
    </w:p>
    <w:p w:rsidR="00000000" w:rsidDel="00000000" w:rsidP="00000000" w:rsidRDefault="00000000" w:rsidRPr="00000000" w14:paraId="00000196">
      <w:pPr>
        <w:numPr>
          <w:ilvl w:val="0"/>
          <w:numId w:val="14"/>
        </w:numPr>
        <w:ind w:left="720" w:hanging="360"/>
        <w:jc w:val="both"/>
        <w:rPr>
          <w:sz w:val="18"/>
          <w:szCs w:val="18"/>
        </w:rPr>
      </w:pPr>
      <w:r w:rsidDel="00000000" w:rsidR="00000000" w:rsidRPr="00000000">
        <w:rPr>
          <w:sz w:val="18"/>
          <w:szCs w:val="18"/>
          <w:rtl w:val="0"/>
        </w:rPr>
        <w:t xml:space="preserve">Hackett, J. A., Sengupta, R., Zylicz, J. J., Murakami, K., Lee, C., Down, T. A., &amp; Surani, M. A. (2013). Germline DNA demethylation dynamics and imprint erasure through 5-hydroxymethylcytosine. Science, 339(6118), 448-452. </w:t>
      </w:r>
      <w:hyperlink r:id="rId15">
        <w:r w:rsidDel="00000000" w:rsidR="00000000" w:rsidRPr="00000000">
          <w:rPr>
            <w:color w:val="1155cc"/>
            <w:sz w:val="18"/>
            <w:szCs w:val="18"/>
            <w:u w:val="single"/>
            <w:rtl w:val="0"/>
          </w:rPr>
          <w:t xml:space="preserve">https://doi.org/10.1126/science.1229277</w:t>
        </w:r>
      </w:hyperlink>
      <w:r w:rsidDel="00000000" w:rsidR="00000000" w:rsidRPr="00000000">
        <w:rPr>
          <w:rtl w:val="0"/>
        </w:rPr>
      </w:r>
    </w:p>
    <w:p w:rsidR="00000000" w:rsidDel="00000000" w:rsidP="00000000" w:rsidRDefault="00000000" w:rsidRPr="00000000" w14:paraId="00000197">
      <w:pPr>
        <w:numPr>
          <w:ilvl w:val="0"/>
          <w:numId w:val="14"/>
        </w:numPr>
        <w:ind w:left="720" w:hanging="360"/>
        <w:jc w:val="both"/>
        <w:rPr>
          <w:sz w:val="18"/>
          <w:szCs w:val="18"/>
        </w:rPr>
      </w:pPr>
      <w:r w:rsidDel="00000000" w:rsidR="00000000" w:rsidRPr="00000000">
        <w:rPr>
          <w:sz w:val="18"/>
          <w:szCs w:val="18"/>
          <w:rtl w:val="0"/>
        </w:rPr>
        <w:t xml:space="preserve">Hajkova, P., Ancelin, K., Waldmann, T., Lacoste, N., Lange, U. C., Cesari, F., ... &amp; Surani, M. A. (2008). Chromatin dynamics during epigenetic reprogramming in the mouse germ line. Nature, 452(7189), 877-881. </w:t>
      </w:r>
      <w:hyperlink r:id="rId16">
        <w:r w:rsidDel="00000000" w:rsidR="00000000" w:rsidRPr="00000000">
          <w:rPr>
            <w:color w:val="1155cc"/>
            <w:sz w:val="18"/>
            <w:szCs w:val="18"/>
            <w:u w:val="single"/>
            <w:rtl w:val="0"/>
          </w:rPr>
          <w:t xml:space="preserve">https://doi.org/10.1038/nature06714</w:t>
        </w:r>
      </w:hyperlink>
      <w:r w:rsidDel="00000000" w:rsidR="00000000" w:rsidRPr="00000000">
        <w:rPr>
          <w:rtl w:val="0"/>
        </w:rPr>
      </w:r>
    </w:p>
    <w:p w:rsidR="00000000" w:rsidDel="00000000" w:rsidP="00000000" w:rsidRDefault="00000000" w:rsidRPr="00000000" w14:paraId="00000198">
      <w:pPr>
        <w:numPr>
          <w:ilvl w:val="0"/>
          <w:numId w:val="14"/>
        </w:numPr>
        <w:ind w:left="720" w:hanging="360"/>
        <w:jc w:val="both"/>
        <w:rPr>
          <w:sz w:val="18"/>
          <w:szCs w:val="18"/>
        </w:rPr>
      </w:pPr>
      <w:r w:rsidDel="00000000" w:rsidR="00000000" w:rsidRPr="00000000">
        <w:rPr>
          <w:sz w:val="18"/>
          <w:szCs w:val="18"/>
          <w:rtl w:val="0"/>
        </w:rPr>
        <w:t xml:space="preserve">Hayashi, K., Ogushi, S., Kurimoto, K., Shimamoto, S., Ohta, H., &amp; Saitou, M. (2012). Offspring from oocytes derived from in vitro primordial germ cell-like cells in mice. Science, 338(6109), 971-975. </w:t>
      </w:r>
      <w:hyperlink r:id="rId17">
        <w:r w:rsidDel="00000000" w:rsidR="00000000" w:rsidRPr="00000000">
          <w:rPr>
            <w:color w:val="1155cc"/>
            <w:sz w:val="18"/>
            <w:szCs w:val="18"/>
            <w:u w:val="single"/>
            <w:rtl w:val="0"/>
          </w:rPr>
          <w:t xml:space="preserve">https://doi.org/10.1126/science.1226889</w:t>
        </w:r>
      </w:hyperlink>
      <w:r w:rsidDel="00000000" w:rsidR="00000000" w:rsidRPr="00000000">
        <w:rPr>
          <w:rtl w:val="0"/>
        </w:rPr>
      </w:r>
    </w:p>
    <w:p w:rsidR="00000000" w:rsidDel="00000000" w:rsidP="00000000" w:rsidRDefault="00000000" w:rsidRPr="00000000" w14:paraId="00000199">
      <w:pPr>
        <w:numPr>
          <w:ilvl w:val="0"/>
          <w:numId w:val="14"/>
        </w:numPr>
        <w:ind w:left="720" w:hanging="360"/>
        <w:jc w:val="both"/>
        <w:rPr>
          <w:sz w:val="18"/>
          <w:szCs w:val="18"/>
        </w:rPr>
      </w:pPr>
      <w:r w:rsidDel="00000000" w:rsidR="00000000" w:rsidRPr="00000000">
        <w:rPr>
          <w:sz w:val="18"/>
          <w:szCs w:val="18"/>
          <w:rtl w:val="0"/>
        </w:rPr>
        <w:t xml:space="preserve">Hayashi, K., Ohta, H., Kurimoto, K., Aramaki, S., &amp; Saitou, M. (2011). Reconstitution of the mouse germ cell specification pathway in culture by pluripotent stem cells. Cell, 146(4), 519-532. </w:t>
      </w:r>
      <w:hyperlink r:id="rId18">
        <w:r w:rsidDel="00000000" w:rsidR="00000000" w:rsidRPr="00000000">
          <w:rPr>
            <w:color w:val="1155cc"/>
            <w:sz w:val="18"/>
            <w:szCs w:val="18"/>
            <w:u w:val="single"/>
            <w:rtl w:val="0"/>
          </w:rPr>
          <w:t xml:space="preserve">https://doi.org/10.1016/j.cell.2011.06.052</w:t>
        </w:r>
      </w:hyperlink>
      <w:r w:rsidDel="00000000" w:rsidR="00000000" w:rsidRPr="00000000">
        <w:rPr>
          <w:rtl w:val="0"/>
        </w:rPr>
      </w:r>
    </w:p>
    <w:p w:rsidR="00000000" w:rsidDel="00000000" w:rsidP="00000000" w:rsidRDefault="00000000" w:rsidRPr="00000000" w14:paraId="0000019A">
      <w:pPr>
        <w:numPr>
          <w:ilvl w:val="0"/>
          <w:numId w:val="14"/>
        </w:numPr>
        <w:ind w:left="720" w:hanging="360"/>
        <w:jc w:val="both"/>
        <w:rPr>
          <w:sz w:val="18"/>
          <w:szCs w:val="18"/>
        </w:rPr>
      </w:pPr>
      <w:r w:rsidDel="00000000" w:rsidR="00000000" w:rsidRPr="00000000">
        <w:rPr>
          <w:sz w:val="18"/>
          <w:szCs w:val="18"/>
          <w:rtl w:val="0"/>
        </w:rPr>
        <w:t xml:space="preserve">Hermann, B. P., Cheng, K., Singh, A., Roa-De La Cruz, L., Mutoji, K. N., Chen, I. C., ... &amp; McCarrey, J. R. (2018). The mammalian spermatogenesis single-cell transcriptome, from spermatogonial stem cells to spermatids. Cell Reports, 25(6), 1650-1667. </w:t>
      </w:r>
      <w:hyperlink r:id="rId19">
        <w:r w:rsidDel="00000000" w:rsidR="00000000" w:rsidRPr="00000000">
          <w:rPr>
            <w:color w:val="1155cc"/>
            <w:sz w:val="18"/>
            <w:szCs w:val="18"/>
            <w:u w:val="single"/>
            <w:rtl w:val="0"/>
          </w:rPr>
          <w:t xml:space="preserve">https://doi.org/10.1016/j.celrep.2018.10.026</w:t>
        </w:r>
      </w:hyperlink>
      <w:r w:rsidDel="00000000" w:rsidR="00000000" w:rsidRPr="00000000">
        <w:rPr>
          <w:rtl w:val="0"/>
        </w:rPr>
      </w:r>
    </w:p>
    <w:p w:rsidR="00000000" w:rsidDel="00000000" w:rsidP="00000000" w:rsidRDefault="00000000" w:rsidRPr="00000000" w14:paraId="0000019B">
      <w:pPr>
        <w:numPr>
          <w:ilvl w:val="0"/>
          <w:numId w:val="14"/>
        </w:numPr>
        <w:ind w:left="720" w:hanging="360"/>
        <w:jc w:val="both"/>
        <w:rPr>
          <w:sz w:val="18"/>
          <w:szCs w:val="18"/>
        </w:rPr>
      </w:pPr>
      <w:r w:rsidDel="00000000" w:rsidR="00000000" w:rsidRPr="00000000">
        <w:rPr>
          <w:sz w:val="18"/>
          <w:szCs w:val="18"/>
          <w:rtl w:val="0"/>
        </w:rPr>
        <w:t xml:space="preserve">Hikabe, O., Hamazaki, N., Nagamatsu, G., Obata, Y., Hirao, Y., Hamada, N., ... &amp; Saitou, M. (2016). Reconstitution in vitro of the entire cycle of the mouse female germ line. Nature, 539(7628), 299-303. </w:t>
      </w:r>
      <w:hyperlink r:id="rId20">
        <w:r w:rsidDel="00000000" w:rsidR="00000000" w:rsidRPr="00000000">
          <w:rPr>
            <w:color w:val="1155cc"/>
            <w:sz w:val="18"/>
            <w:szCs w:val="18"/>
            <w:u w:val="single"/>
            <w:rtl w:val="0"/>
          </w:rPr>
          <w:t xml:space="preserve">https://doi.org/10.1038/nature20104</w:t>
        </w:r>
      </w:hyperlink>
      <w:r w:rsidDel="00000000" w:rsidR="00000000" w:rsidRPr="00000000">
        <w:rPr>
          <w:rtl w:val="0"/>
        </w:rPr>
      </w:r>
    </w:p>
    <w:p w:rsidR="00000000" w:rsidDel="00000000" w:rsidP="00000000" w:rsidRDefault="00000000" w:rsidRPr="00000000" w14:paraId="0000019C">
      <w:pPr>
        <w:numPr>
          <w:ilvl w:val="0"/>
          <w:numId w:val="14"/>
        </w:numPr>
        <w:ind w:left="720" w:hanging="360"/>
        <w:jc w:val="both"/>
        <w:rPr>
          <w:sz w:val="18"/>
          <w:szCs w:val="18"/>
        </w:rPr>
      </w:pPr>
      <w:r w:rsidDel="00000000" w:rsidR="00000000" w:rsidRPr="00000000">
        <w:rPr>
          <w:sz w:val="18"/>
          <w:szCs w:val="18"/>
          <w:rtl w:val="0"/>
        </w:rPr>
        <w:t xml:space="preserve">Hou, P., Li, Y., Zhang, X., Liu, C., Guan, J., Li, H., ... &amp; Deng, H. (2014). Pluripotent stem cells induced from mouse somatic cells by small-molecule compounds. Science, 341(6146), 651-654. </w:t>
      </w:r>
      <w:hyperlink r:id="rId21">
        <w:r w:rsidDel="00000000" w:rsidR="00000000" w:rsidRPr="00000000">
          <w:rPr>
            <w:color w:val="1155cc"/>
            <w:sz w:val="18"/>
            <w:szCs w:val="18"/>
            <w:u w:val="single"/>
            <w:rtl w:val="0"/>
          </w:rPr>
          <w:t xml:space="preserve">https://doi.org/10.1126/science.1239278</w:t>
        </w:r>
      </w:hyperlink>
      <w:r w:rsidDel="00000000" w:rsidR="00000000" w:rsidRPr="00000000">
        <w:rPr>
          <w:rtl w:val="0"/>
        </w:rPr>
      </w:r>
    </w:p>
    <w:p w:rsidR="00000000" w:rsidDel="00000000" w:rsidP="00000000" w:rsidRDefault="00000000" w:rsidRPr="00000000" w14:paraId="0000019D">
      <w:pPr>
        <w:numPr>
          <w:ilvl w:val="0"/>
          <w:numId w:val="14"/>
        </w:numPr>
        <w:ind w:left="720" w:hanging="360"/>
        <w:jc w:val="both"/>
        <w:rPr>
          <w:sz w:val="18"/>
          <w:szCs w:val="18"/>
        </w:rPr>
      </w:pPr>
      <w:r w:rsidDel="00000000" w:rsidR="00000000" w:rsidRPr="00000000">
        <w:rPr>
          <w:sz w:val="18"/>
          <w:szCs w:val="18"/>
          <w:rtl w:val="0"/>
        </w:rPr>
        <w:t xml:space="preserve">Hyun, I., Wilkerson, A., &amp; Johnston, J. (2016). Embryology policy: Revisit the 14-day rule. Nature, 533(7602), 169-171. </w:t>
      </w:r>
      <w:hyperlink r:id="rId22">
        <w:r w:rsidDel="00000000" w:rsidR="00000000" w:rsidRPr="00000000">
          <w:rPr>
            <w:color w:val="1155cc"/>
            <w:sz w:val="18"/>
            <w:szCs w:val="18"/>
            <w:u w:val="single"/>
            <w:rtl w:val="0"/>
          </w:rPr>
          <w:t xml:space="preserve">https://doi.org/10.1038/533169a</w:t>
        </w:r>
      </w:hyperlink>
      <w:r w:rsidDel="00000000" w:rsidR="00000000" w:rsidRPr="00000000">
        <w:rPr>
          <w:rtl w:val="0"/>
        </w:rPr>
      </w:r>
    </w:p>
    <w:p w:rsidR="00000000" w:rsidDel="00000000" w:rsidP="00000000" w:rsidRDefault="00000000" w:rsidRPr="00000000" w14:paraId="0000019E">
      <w:pPr>
        <w:numPr>
          <w:ilvl w:val="0"/>
          <w:numId w:val="14"/>
        </w:numPr>
        <w:ind w:left="720" w:hanging="360"/>
        <w:jc w:val="both"/>
        <w:rPr>
          <w:sz w:val="18"/>
          <w:szCs w:val="18"/>
        </w:rPr>
      </w:pPr>
      <w:r w:rsidDel="00000000" w:rsidR="00000000" w:rsidRPr="00000000">
        <w:rPr>
          <w:sz w:val="18"/>
          <w:szCs w:val="18"/>
          <w:rtl w:val="0"/>
        </w:rPr>
        <w:t xml:space="preserve">Irie, N., Weinberger, L., Tang, W. W., Kobayashi, T., Viukov, S., Manor, Y. S., ... &amp; Surani, M. A. (2015). SOX17 is a critical specifier of human primordial germ cell fate. Cell, 160(1-2), 253-268. </w:t>
      </w:r>
      <w:hyperlink r:id="rId23">
        <w:r w:rsidDel="00000000" w:rsidR="00000000" w:rsidRPr="00000000">
          <w:rPr>
            <w:color w:val="1155cc"/>
            <w:sz w:val="18"/>
            <w:szCs w:val="18"/>
            <w:u w:val="single"/>
            <w:rtl w:val="0"/>
          </w:rPr>
          <w:t xml:space="preserve">https://doi.org/10.1016/j.cell.2014.12.013</w:t>
        </w:r>
      </w:hyperlink>
      <w:r w:rsidDel="00000000" w:rsidR="00000000" w:rsidRPr="00000000">
        <w:rPr>
          <w:rtl w:val="0"/>
        </w:rPr>
      </w:r>
    </w:p>
    <w:p w:rsidR="00000000" w:rsidDel="00000000" w:rsidP="00000000" w:rsidRDefault="00000000" w:rsidRPr="00000000" w14:paraId="0000019F">
      <w:pPr>
        <w:numPr>
          <w:ilvl w:val="0"/>
          <w:numId w:val="14"/>
        </w:numPr>
        <w:ind w:left="720" w:hanging="360"/>
        <w:jc w:val="both"/>
        <w:rPr>
          <w:sz w:val="18"/>
          <w:szCs w:val="18"/>
        </w:rPr>
      </w:pPr>
      <w:r w:rsidDel="00000000" w:rsidR="00000000" w:rsidRPr="00000000">
        <w:rPr>
          <w:sz w:val="18"/>
          <w:szCs w:val="18"/>
          <w:rtl w:val="0"/>
        </w:rPr>
        <w:t xml:space="preserve">Ishii, T., Pera, R. A., &amp; Greely, H. T. (2015). Ethical and legal issues arising in research on inducing human germ cells from pluripotent stem cells. Cell Stem Cell, 13(2), 145-148. </w:t>
      </w:r>
      <w:hyperlink r:id="rId24">
        <w:r w:rsidDel="00000000" w:rsidR="00000000" w:rsidRPr="00000000">
          <w:rPr>
            <w:color w:val="1155cc"/>
            <w:sz w:val="18"/>
            <w:szCs w:val="18"/>
            <w:u w:val="single"/>
            <w:rtl w:val="0"/>
          </w:rPr>
          <w:t xml:space="preserve">https://doi.org/10.1016/j.stem.2013.07.005</w:t>
        </w:r>
      </w:hyperlink>
      <w:r w:rsidDel="00000000" w:rsidR="00000000" w:rsidRPr="00000000">
        <w:rPr>
          <w:rtl w:val="0"/>
        </w:rPr>
      </w:r>
    </w:p>
    <w:p w:rsidR="00000000" w:rsidDel="00000000" w:rsidP="00000000" w:rsidRDefault="00000000" w:rsidRPr="00000000" w14:paraId="000001A0">
      <w:pPr>
        <w:numPr>
          <w:ilvl w:val="0"/>
          <w:numId w:val="14"/>
        </w:numPr>
        <w:ind w:left="720"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A1">
      <w:pPr>
        <w:numPr>
          <w:ilvl w:val="0"/>
          <w:numId w:val="14"/>
        </w:numPr>
        <w:ind w:left="720" w:hanging="360"/>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w:t>
      </w:r>
      <w:hyperlink r:id="rId25">
        <w:r w:rsidDel="00000000" w:rsidR="00000000" w:rsidRPr="00000000">
          <w:rPr>
            <w:color w:val="1155cc"/>
            <w:sz w:val="18"/>
            <w:szCs w:val="18"/>
            <w:u w:val="single"/>
            <w:rtl w:val="0"/>
          </w:rPr>
          <w:t xml:space="preserve">https://doi.org/10.52340/2023.01.01.19</w:t>
        </w:r>
      </w:hyperlink>
      <w:r w:rsidDel="00000000" w:rsidR="00000000" w:rsidRPr="00000000">
        <w:rPr>
          <w:rtl w:val="0"/>
        </w:rPr>
      </w:r>
    </w:p>
    <w:p w:rsidR="00000000" w:rsidDel="00000000" w:rsidP="00000000" w:rsidRDefault="00000000" w:rsidRPr="00000000" w14:paraId="000001A2">
      <w:pPr>
        <w:numPr>
          <w:ilvl w:val="0"/>
          <w:numId w:val="14"/>
        </w:numPr>
        <w:ind w:left="720" w:hanging="360"/>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w:t>
      </w:r>
      <w:hyperlink r:id="rId26">
        <w:r w:rsidDel="00000000" w:rsidR="00000000" w:rsidRPr="00000000">
          <w:rPr>
            <w:color w:val="1155cc"/>
            <w:sz w:val="18"/>
            <w:szCs w:val="18"/>
            <w:u w:val="single"/>
            <w:rtl w:val="0"/>
          </w:rPr>
          <w:t xml:space="preserve">https://doi.org/10.52340/2023.01.01.20</w:t>
        </w:r>
      </w:hyperlink>
      <w:r w:rsidDel="00000000" w:rsidR="00000000" w:rsidRPr="00000000">
        <w:rPr>
          <w:rtl w:val="0"/>
        </w:rPr>
      </w:r>
    </w:p>
    <w:p w:rsidR="00000000" w:rsidDel="00000000" w:rsidP="00000000" w:rsidRDefault="00000000" w:rsidRPr="00000000" w14:paraId="000001A3">
      <w:pPr>
        <w:numPr>
          <w:ilvl w:val="0"/>
          <w:numId w:val="14"/>
        </w:numPr>
        <w:ind w:left="720" w:hanging="360"/>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w:t>
      </w:r>
      <w:hyperlink r:id="rId27">
        <w:r w:rsidDel="00000000" w:rsidR="00000000" w:rsidRPr="00000000">
          <w:rPr>
            <w:color w:val="1155cc"/>
            <w:sz w:val="18"/>
            <w:szCs w:val="18"/>
            <w:u w:val="single"/>
            <w:rtl w:val="0"/>
          </w:rPr>
          <w:t xml:space="preserve">https://doi.org/10.52340/jr.2024.02.02.12</w:t>
        </w:r>
      </w:hyperlink>
      <w:r w:rsidDel="00000000" w:rsidR="00000000" w:rsidRPr="00000000">
        <w:rPr>
          <w:sz w:val="18"/>
          <w:szCs w:val="18"/>
          <w:rtl w:val="0"/>
        </w:rPr>
        <w:t xml:space="preserve"> </w:t>
      </w:r>
    </w:p>
    <w:p w:rsidR="00000000" w:rsidDel="00000000" w:rsidP="00000000" w:rsidRDefault="00000000" w:rsidRPr="00000000" w14:paraId="000001A4">
      <w:pPr>
        <w:numPr>
          <w:ilvl w:val="0"/>
          <w:numId w:val="14"/>
        </w:numPr>
        <w:ind w:left="720" w:hanging="360"/>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1A5">
      <w:pPr>
        <w:numPr>
          <w:ilvl w:val="0"/>
          <w:numId w:val="14"/>
        </w:numPr>
        <w:ind w:left="720" w:hanging="360"/>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1A6">
      <w:pPr>
        <w:numPr>
          <w:ilvl w:val="0"/>
          <w:numId w:val="14"/>
        </w:numPr>
        <w:ind w:left="720" w:hanging="360"/>
        <w:jc w:val="both"/>
        <w:rPr>
          <w:sz w:val="18"/>
          <w:szCs w:val="18"/>
        </w:rPr>
      </w:pPr>
      <w:r w:rsidDel="00000000" w:rsidR="00000000" w:rsidRPr="00000000">
        <w:rPr>
          <w:sz w:val="18"/>
          <w:szCs w:val="18"/>
          <w:rtl w:val="0"/>
        </w:rPr>
        <w:t xml:space="preserve">Koubova, J., Menke, D. B., Zhou, Q., Capel, B., Griswold, M. D., &amp; Page, D. C. (2014). Retinoic acid regulates sex-specific timing of meiotic initiation in mice. Proceedings of the National Academy of Sciences, 103(8), 2474-2479. </w:t>
      </w:r>
      <w:hyperlink r:id="rId28">
        <w:r w:rsidDel="00000000" w:rsidR="00000000" w:rsidRPr="00000000">
          <w:rPr>
            <w:color w:val="1155cc"/>
            <w:sz w:val="18"/>
            <w:szCs w:val="18"/>
            <w:u w:val="single"/>
            <w:rtl w:val="0"/>
          </w:rPr>
          <w:t xml:space="preserve">https://doi.org/10.1073/pnas.0510813103</w:t>
        </w:r>
      </w:hyperlink>
      <w:r w:rsidDel="00000000" w:rsidR="00000000" w:rsidRPr="00000000">
        <w:rPr>
          <w:rtl w:val="0"/>
        </w:rPr>
      </w:r>
    </w:p>
    <w:p w:rsidR="00000000" w:rsidDel="00000000" w:rsidP="00000000" w:rsidRDefault="00000000" w:rsidRPr="00000000" w14:paraId="000001A7">
      <w:pPr>
        <w:numPr>
          <w:ilvl w:val="0"/>
          <w:numId w:val="14"/>
        </w:numPr>
        <w:ind w:left="720" w:hanging="360"/>
        <w:jc w:val="both"/>
        <w:rPr>
          <w:sz w:val="18"/>
          <w:szCs w:val="18"/>
        </w:rPr>
      </w:pPr>
      <w:r w:rsidDel="00000000" w:rsidR="00000000" w:rsidRPr="00000000">
        <w:rPr>
          <w:sz w:val="18"/>
          <w:szCs w:val="18"/>
          <w:rtl w:val="0"/>
        </w:rPr>
        <w:t xml:space="preserve">Kurimoto, K., Yabuta, Y., Hayashi, K., Ohta, H., Kiyonari, H., Mitani, T., ... &amp; Saitou, M. (2015). Quantitative dynamics of chromatin remodeling during germ cell specification from mouse embryonic stem cells. Cell Stem Cell, 16(5), 517-532. </w:t>
      </w:r>
      <w:hyperlink r:id="rId29">
        <w:r w:rsidDel="00000000" w:rsidR="00000000" w:rsidRPr="00000000">
          <w:rPr>
            <w:color w:val="1155cc"/>
            <w:sz w:val="18"/>
            <w:szCs w:val="18"/>
            <w:u w:val="single"/>
            <w:rtl w:val="0"/>
          </w:rPr>
          <w:t xml:space="preserve">https://doi.org/10.1016/j.stem.2015.03.002</w:t>
        </w:r>
      </w:hyperlink>
      <w:r w:rsidDel="00000000" w:rsidR="00000000" w:rsidRPr="00000000">
        <w:rPr>
          <w:rtl w:val="0"/>
        </w:rPr>
      </w:r>
    </w:p>
    <w:p w:rsidR="00000000" w:rsidDel="00000000" w:rsidP="00000000" w:rsidRDefault="00000000" w:rsidRPr="00000000" w14:paraId="000001A8">
      <w:pPr>
        <w:numPr>
          <w:ilvl w:val="0"/>
          <w:numId w:val="14"/>
        </w:numPr>
        <w:ind w:left="720" w:hanging="360"/>
        <w:jc w:val="both"/>
        <w:rPr>
          <w:sz w:val="18"/>
          <w:szCs w:val="18"/>
        </w:rPr>
      </w:pPr>
      <w:r w:rsidDel="00000000" w:rsidR="00000000" w:rsidRPr="00000000">
        <w:rPr>
          <w:sz w:val="18"/>
          <w:szCs w:val="18"/>
          <w:rtl w:val="0"/>
        </w:rPr>
        <w:t xml:space="preserve">Kurimoto, K., Yabuta, Y., Ohinata, Y., Shigeta, M., Yamanaka, K., &amp; Saitou, M. (2008). Complex genome-wide transcription dynamics orchestrated by Blimp1 for the specification of the germ cell lineage in mice. Genes &amp; Development, 22(12), 1617-1635. </w:t>
      </w:r>
      <w:hyperlink r:id="rId30">
        <w:r w:rsidDel="00000000" w:rsidR="00000000" w:rsidRPr="00000000">
          <w:rPr>
            <w:color w:val="1155cc"/>
            <w:sz w:val="18"/>
            <w:szCs w:val="18"/>
            <w:u w:val="single"/>
            <w:rtl w:val="0"/>
          </w:rPr>
          <w:t xml:space="preserve">https://doi.org/10.1101/gad.1649908</w:t>
        </w:r>
      </w:hyperlink>
      <w:r w:rsidDel="00000000" w:rsidR="00000000" w:rsidRPr="00000000">
        <w:rPr>
          <w:rtl w:val="0"/>
        </w:rPr>
      </w:r>
    </w:p>
    <w:p w:rsidR="00000000" w:rsidDel="00000000" w:rsidP="00000000" w:rsidRDefault="00000000" w:rsidRPr="00000000" w14:paraId="000001A9">
      <w:pPr>
        <w:numPr>
          <w:ilvl w:val="0"/>
          <w:numId w:val="14"/>
        </w:numPr>
        <w:ind w:left="720" w:hanging="360"/>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1AA">
      <w:pPr>
        <w:numPr>
          <w:ilvl w:val="0"/>
          <w:numId w:val="14"/>
        </w:numPr>
        <w:ind w:left="720" w:hanging="360"/>
        <w:jc w:val="both"/>
        <w:rPr>
          <w:sz w:val="18"/>
          <w:szCs w:val="18"/>
        </w:rPr>
      </w:pPr>
      <w:r w:rsidDel="00000000" w:rsidR="00000000" w:rsidRPr="00000000">
        <w:rPr>
          <w:sz w:val="18"/>
          <w:szCs w:val="18"/>
          <w:rtl w:val="0"/>
        </w:rPr>
        <w:t xml:space="preserve">Lovell-Badge, R., Anthony, E., Barker, R. A., Bubela, T., Brivanlou, A. H., Carpenter, M., ... &amp; Zhai, X. (2020). ISSCR guidelines for stem cell research and clinical translation: The 2021 update. Stem Cell Reports, 16(6), 1398-1408. </w:t>
      </w:r>
      <w:hyperlink r:id="rId31">
        <w:r w:rsidDel="00000000" w:rsidR="00000000" w:rsidRPr="00000000">
          <w:rPr>
            <w:color w:val="1155cc"/>
            <w:sz w:val="18"/>
            <w:szCs w:val="18"/>
            <w:u w:val="single"/>
            <w:rtl w:val="0"/>
          </w:rPr>
          <w:t xml:space="preserve">https://doi.org/10.1016/j.stemcr.2021.05.012</w:t>
        </w:r>
      </w:hyperlink>
      <w:r w:rsidDel="00000000" w:rsidR="00000000" w:rsidRPr="00000000">
        <w:rPr>
          <w:rtl w:val="0"/>
        </w:rPr>
      </w:r>
    </w:p>
    <w:p w:rsidR="00000000" w:rsidDel="00000000" w:rsidP="00000000" w:rsidRDefault="00000000" w:rsidRPr="00000000" w14:paraId="000001AB">
      <w:pPr>
        <w:numPr>
          <w:ilvl w:val="0"/>
          <w:numId w:val="14"/>
        </w:numPr>
        <w:ind w:left="720" w:hanging="360"/>
        <w:jc w:val="both"/>
        <w:rPr>
          <w:sz w:val="18"/>
          <w:szCs w:val="18"/>
        </w:rPr>
      </w:pPr>
      <w:r w:rsidDel="00000000" w:rsidR="00000000" w:rsidRPr="00000000">
        <w:rPr>
          <w:sz w:val="18"/>
          <w:szCs w:val="18"/>
          <w:rtl w:val="0"/>
        </w:rPr>
        <w:t xml:space="preserve">Mathews, D. J., Sugarman, J., Bok, H., Blass, D. M., Coyle, J. T., Duggan, P., ... &amp; Faden, R. R. (2019). Cell-based interventions for neurologic conditions: Ethical challenges for early human trials. Neurology, 93(14), 616-624. </w:t>
      </w:r>
      <w:hyperlink r:id="rId32">
        <w:r w:rsidDel="00000000" w:rsidR="00000000" w:rsidRPr="00000000">
          <w:rPr>
            <w:color w:val="1155cc"/>
            <w:sz w:val="18"/>
            <w:szCs w:val="18"/>
            <w:u w:val="single"/>
            <w:rtl w:val="0"/>
          </w:rPr>
          <w:t xml:space="preserve">https://doi.org/10.1212/WNL.0000000000008219</w:t>
        </w:r>
      </w:hyperlink>
      <w:r w:rsidDel="00000000" w:rsidR="00000000" w:rsidRPr="00000000">
        <w:rPr>
          <w:rtl w:val="0"/>
        </w:rPr>
      </w:r>
    </w:p>
    <w:p w:rsidR="00000000" w:rsidDel="00000000" w:rsidP="00000000" w:rsidRDefault="00000000" w:rsidRPr="00000000" w14:paraId="000001AC">
      <w:pPr>
        <w:numPr>
          <w:ilvl w:val="0"/>
          <w:numId w:val="14"/>
        </w:numPr>
        <w:ind w:left="720" w:hanging="360"/>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AD">
      <w:pPr>
        <w:numPr>
          <w:ilvl w:val="0"/>
          <w:numId w:val="14"/>
        </w:numPr>
        <w:ind w:left="720" w:hanging="360"/>
        <w:jc w:val="both"/>
        <w:rPr>
          <w:sz w:val="18"/>
          <w:szCs w:val="18"/>
        </w:rPr>
      </w:pPr>
      <w:r w:rsidDel="00000000" w:rsidR="00000000" w:rsidRPr="00000000">
        <w:rPr>
          <w:sz w:val="18"/>
          <w:szCs w:val="18"/>
          <w:rtl w:val="0"/>
        </w:rPr>
        <w:t xml:space="preserve">Molaro, A., Falciatori, I., Hodges, E., Aravin, A. A., Marran, K., Rafii, S., ... &amp; Hannon, G. J. (2014). Two waves of de novo methylation during mouse germ cell development. Genes &amp; Development, 28(14), 1544-1549. </w:t>
      </w:r>
      <w:hyperlink r:id="rId33">
        <w:r w:rsidDel="00000000" w:rsidR="00000000" w:rsidRPr="00000000">
          <w:rPr>
            <w:color w:val="1155cc"/>
            <w:sz w:val="18"/>
            <w:szCs w:val="18"/>
            <w:u w:val="single"/>
            <w:rtl w:val="0"/>
          </w:rPr>
          <w:t xml:space="preserve">https://doi.org/10.1101/gad.244350.114</w:t>
        </w:r>
      </w:hyperlink>
      <w:r w:rsidDel="00000000" w:rsidR="00000000" w:rsidRPr="00000000">
        <w:rPr>
          <w:rtl w:val="0"/>
        </w:rPr>
      </w:r>
    </w:p>
    <w:p w:rsidR="00000000" w:rsidDel="00000000" w:rsidP="00000000" w:rsidRDefault="00000000" w:rsidRPr="00000000" w14:paraId="000001AE">
      <w:pPr>
        <w:numPr>
          <w:ilvl w:val="0"/>
          <w:numId w:val="14"/>
        </w:numPr>
        <w:ind w:left="720" w:hanging="360"/>
        <w:jc w:val="both"/>
        <w:rPr>
          <w:sz w:val="18"/>
          <w:szCs w:val="18"/>
        </w:rPr>
      </w:pPr>
      <w:r w:rsidDel="00000000" w:rsidR="00000000" w:rsidRPr="00000000">
        <w:rPr>
          <w:sz w:val="18"/>
          <w:szCs w:val="18"/>
          <w:rtl w:val="0"/>
        </w:rPr>
        <w:t xml:space="preserve">Murakami, K., Günesdogan, U., Zylicz, J. J., Tang, W. W., Sengupta, R., Kobayashi, T., ... &amp; Surani, M. A. (2016). NANOG alone induces germ cells in primed epiblast in vitro by activation of enhancers. Nature, 529(7586), 403-407. </w:t>
      </w:r>
      <w:hyperlink r:id="rId34">
        <w:r w:rsidDel="00000000" w:rsidR="00000000" w:rsidRPr="00000000">
          <w:rPr>
            <w:color w:val="1155cc"/>
            <w:sz w:val="18"/>
            <w:szCs w:val="18"/>
            <w:u w:val="single"/>
            <w:rtl w:val="0"/>
          </w:rPr>
          <w:t xml:space="preserve">https://doi.org/10.1038/nature16480</w:t>
        </w:r>
      </w:hyperlink>
      <w:r w:rsidDel="00000000" w:rsidR="00000000" w:rsidRPr="00000000">
        <w:rPr>
          <w:rtl w:val="0"/>
        </w:rPr>
      </w:r>
    </w:p>
    <w:p w:rsidR="00000000" w:rsidDel="00000000" w:rsidP="00000000" w:rsidRDefault="00000000" w:rsidRPr="00000000" w14:paraId="000001AF">
      <w:pPr>
        <w:numPr>
          <w:ilvl w:val="0"/>
          <w:numId w:val="14"/>
        </w:numPr>
        <w:ind w:left="720" w:hanging="360"/>
        <w:jc w:val="both"/>
        <w:rPr>
          <w:sz w:val="18"/>
          <w:szCs w:val="18"/>
        </w:rPr>
      </w:pPr>
      <w:r w:rsidDel="00000000" w:rsidR="00000000" w:rsidRPr="00000000">
        <w:rPr>
          <w:sz w:val="18"/>
          <w:szCs w:val="18"/>
          <w:rtl w:val="0"/>
        </w:rPr>
        <w:t xml:space="preserve">Nakaki, F., Hayashi, K., Ohta, H., Kurimoto, K., Yabuta, Y., &amp; Saitou, M. (2013). Induction of mouse germ-cell fate by transcription factors in vitro. Nature, 501(7466), 222-226. </w:t>
      </w:r>
      <w:hyperlink r:id="rId35">
        <w:r w:rsidDel="00000000" w:rsidR="00000000" w:rsidRPr="00000000">
          <w:rPr>
            <w:color w:val="1155cc"/>
            <w:sz w:val="18"/>
            <w:szCs w:val="18"/>
            <w:u w:val="single"/>
            <w:rtl w:val="0"/>
          </w:rPr>
          <w:t xml:space="preserve">https://doi.org/10.1038/nature12417</w:t>
        </w:r>
      </w:hyperlink>
      <w:r w:rsidDel="00000000" w:rsidR="00000000" w:rsidRPr="00000000">
        <w:rPr>
          <w:rtl w:val="0"/>
        </w:rPr>
      </w:r>
    </w:p>
    <w:p w:rsidR="00000000" w:rsidDel="00000000" w:rsidP="00000000" w:rsidRDefault="00000000" w:rsidRPr="00000000" w14:paraId="000001B0">
      <w:pPr>
        <w:numPr>
          <w:ilvl w:val="0"/>
          <w:numId w:val="14"/>
        </w:numPr>
        <w:ind w:left="720" w:hanging="360"/>
        <w:jc w:val="both"/>
        <w:rPr>
          <w:sz w:val="18"/>
          <w:szCs w:val="18"/>
        </w:rPr>
      </w:pPr>
      <w:r w:rsidDel="00000000" w:rsidR="00000000" w:rsidRPr="00000000">
        <w:rPr>
          <w:sz w:val="18"/>
          <w:szCs w:val="18"/>
          <w:rtl w:val="0"/>
        </w:rPr>
        <w:t xml:space="preserve">Nakamura, T., Okamoto, I., Sasaki, K., Yabuta, Y., Iwatani, C., Tsuchiya, H., ... &amp; Saitou, M. (2016). A developmental coordinate of pluripotency among mice, monkeys and humans. Nature, 537(7618), 57-62. </w:t>
      </w:r>
      <w:hyperlink r:id="rId36">
        <w:r w:rsidDel="00000000" w:rsidR="00000000" w:rsidRPr="00000000">
          <w:rPr>
            <w:color w:val="1155cc"/>
            <w:sz w:val="18"/>
            <w:szCs w:val="18"/>
            <w:u w:val="single"/>
            <w:rtl w:val="0"/>
          </w:rPr>
          <w:t xml:space="preserve">https://doi.org/10.1038/nature19096</w:t>
        </w:r>
      </w:hyperlink>
      <w:r w:rsidDel="00000000" w:rsidR="00000000" w:rsidRPr="00000000">
        <w:rPr>
          <w:rtl w:val="0"/>
        </w:rPr>
      </w:r>
    </w:p>
    <w:p w:rsidR="00000000" w:rsidDel="00000000" w:rsidP="00000000" w:rsidRDefault="00000000" w:rsidRPr="00000000" w14:paraId="000001B1">
      <w:pPr>
        <w:numPr>
          <w:ilvl w:val="0"/>
          <w:numId w:val="14"/>
        </w:numPr>
        <w:ind w:left="720" w:hanging="360"/>
        <w:jc w:val="both"/>
        <w:rPr>
          <w:sz w:val="18"/>
          <w:szCs w:val="18"/>
        </w:rPr>
      </w:pPr>
      <w:r w:rsidDel="00000000" w:rsidR="00000000" w:rsidRPr="00000000">
        <w:rPr>
          <w:sz w:val="18"/>
          <w:szCs w:val="18"/>
          <w:rtl w:val="0"/>
        </w:rPr>
        <w:t xml:space="preserve">Ohinata, Y., Payer, B., O'Carroll, D., Ancelin, K., Ono, Y., Sano, M., ... &amp; Saitou, M. (2005). Blimp1 is a critical determinant of the germ cell lineage in mice. Nature, 436(7048), 207-213. </w:t>
      </w:r>
      <w:hyperlink r:id="rId37">
        <w:r w:rsidDel="00000000" w:rsidR="00000000" w:rsidRPr="00000000">
          <w:rPr>
            <w:color w:val="1155cc"/>
            <w:sz w:val="18"/>
            <w:szCs w:val="18"/>
            <w:u w:val="single"/>
            <w:rtl w:val="0"/>
          </w:rPr>
          <w:t xml:space="preserve">https://doi.org/10.1038/nature03813</w:t>
        </w:r>
      </w:hyperlink>
      <w:r w:rsidDel="00000000" w:rsidR="00000000" w:rsidRPr="00000000">
        <w:rPr>
          <w:rtl w:val="0"/>
        </w:rPr>
      </w:r>
    </w:p>
    <w:p w:rsidR="00000000" w:rsidDel="00000000" w:rsidP="00000000" w:rsidRDefault="00000000" w:rsidRPr="00000000" w14:paraId="000001B2">
      <w:pPr>
        <w:numPr>
          <w:ilvl w:val="0"/>
          <w:numId w:val="14"/>
        </w:numPr>
        <w:ind w:left="720" w:hanging="360"/>
        <w:jc w:val="both"/>
        <w:rPr>
          <w:sz w:val="18"/>
          <w:szCs w:val="18"/>
        </w:rPr>
      </w:pPr>
      <w:r w:rsidDel="00000000" w:rsidR="00000000" w:rsidRPr="00000000">
        <w:rPr>
          <w:sz w:val="18"/>
          <w:szCs w:val="18"/>
          <w:rtl w:val="0"/>
        </w:rPr>
        <w:t xml:space="preserve">Park, C. H., Uh, K. J., Mulligan, B. P., Jeung, E. B., Hyun, S. H., &amp; Shin, T. (2019). Generation of germline ablated male pigs by CRISPR/Cas9 editing of the NANOS2 gene. Scientific Reports, 9(1), 10452. </w:t>
      </w:r>
      <w:hyperlink r:id="rId38">
        <w:r w:rsidDel="00000000" w:rsidR="00000000" w:rsidRPr="00000000">
          <w:rPr>
            <w:color w:val="1155cc"/>
            <w:sz w:val="18"/>
            <w:szCs w:val="18"/>
            <w:u w:val="single"/>
            <w:rtl w:val="0"/>
          </w:rPr>
          <w:t xml:space="preserve">https://doi.org/10.1038/s41598-019-46768-7</w:t>
        </w:r>
      </w:hyperlink>
      <w:r w:rsidDel="00000000" w:rsidR="00000000" w:rsidRPr="00000000">
        <w:rPr>
          <w:rtl w:val="0"/>
        </w:rPr>
      </w:r>
    </w:p>
    <w:p w:rsidR="00000000" w:rsidDel="00000000" w:rsidP="00000000" w:rsidRDefault="00000000" w:rsidRPr="00000000" w14:paraId="000001B3">
      <w:pPr>
        <w:numPr>
          <w:ilvl w:val="0"/>
          <w:numId w:val="14"/>
        </w:numPr>
        <w:ind w:left="720" w:hanging="360"/>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B4">
      <w:pPr>
        <w:numPr>
          <w:ilvl w:val="0"/>
          <w:numId w:val="14"/>
        </w:numPr>
        <w:ind w:left="720" w:hanging="360"/>
        <w:jc w:val="both"/>
        <w:rPr>
          <w:sz w:val="18"/>
          <w:szCs w:val="18"/>
        </w:rPr>
      </w:pPr>
      <w:r w:rsidDel="00000000" w:rsidR="00000000" w:rsidRPr="00000000">
        <w:rPr>
          <w:sz w:val="18"/>
          <w:szCs w:val="18"/>
          <w:rtl w:val="0"/>
        </w:rPr>
        <w:t xml:space="preserve">Saitou, M., &amp; Yamaji, M. (2012). Primordial germ cells in mice. Cold Spring Harbor Perspectives in Biology, 4(11), a008375. </w:t>
      </w:r>
      <w:hyperlink r:id="rId39">
        <w:r w:rsidDel="00000000" w:rsidR="00000000" w:rsidRPr="00000000">
          <w:rPr>
            <w:color w:val="1155cc"/>
            <w:sz w:val="18"/>
            <w:szCs w:val="18"/>
            <w:u w:val="single"/>
            <w:rtl w:val="0"/>
          </w:rPr>
          <w:t xml:space="preserve">https://doi.org/10.1101/cshperspect.a008375</w:t>
        </w:r>
      </w:hyperlink>
      <w:r w:rsidDel="00000000" w:rsidR="00000000" w:rsidRPr="00000000">
        <w:rPr>
          <w:rtl w:val="0"/>
        </w:rPr>
      </w:r>
    </w:p>
    <w:p w:rsidR="00000000" w:rsidDel="00000000" w:rsidP="00000000" w:rsidRDefault="00000000" w:rsidRPr="00000000" w14:paraId="000001B5">
      <w:pPr>
        <w:numPr>
          <w:ilvl w:val="0"/>
          <w:numId w:val="14"/>
        </w:numPr>
        <w:ind w:left="720" w:hanging="360"/>
        <w:jc w:val="both"/>
        <w:rPr>
          <w:sz w:val="18"/>
          <w:szCs w:val="18"/>
        </w:rPr>
      </w:pPr>
      <w:r w:rsidDel="00000000" w:rsidR="00000000" w:rsidRPr="00000000">
        <w:rPr>
          <w:sz w:val="18"/>
          <w:szCs w:val="18"/>
          <w:rtl w:val="0"/>
        </w:rPr>
        <w:t xml:space="preserve">Sasaki, K., Yokobayashi, S., Nakamura, T., Okamoto, I., Yabuta, Y., Kurimoto, K., ... &amp; Saitou, M. (2015). Robust in vitro induction of human germ cell fate from pluripotent stem cells. Cell Stem Cell, 17(2), 178-194. </w:t>
      </w:r>
      <w:hyperlink r:id="rId40">
        <w:r w:rsidDel="00000000" w:rsidR="00000000" w:rsidRPr="00000000">
          <w:rPr>
            <w:color w:val="1155cc"/>
            <w:sz w:val="18"/>
            <w:szCs w:val="18"/>
            <w:u w:val="single"/>
            <w:rtl w:val="0"/>
          </w:rPr>
          <w:t xml:space="preserve">https://doi.org/10.1016/j.stem.2015.06.014</w:t>
        </w:r>
      </w:hyperlink>
      <w:r w:rsidDel="00000000" w:rsidR="00000000" w:rsidRPr="00000000">
        <w:rPr>
          <w:rtl w:val="0"/>
        </w:rPr>
      </w:r>
    </w:p>
    <w:p w:rsidR="00000000" w:rsidDel="00000000" w:rsidP="00000000" w:rsidRDefault="00000000" w:rsidRPr="00000000" w14:paraId="000001B6">
      <w:pPr>
        <w:numPr>
          <w:ilvl w:val="0"/>
          <w:numId w:val="14"/>
        </w:numPr>
        <w:ind w:left="720" w:hanging="360"/>
        <w:jc w:val="both"/>
        <w:rPr>
          <w:sz w:val="18"/>
          <w:szCs w:val="18"/>
        </w:rPr>
      </w:pPr>
      <w:r w:rsidDel="00000000" w:rsidR="00000000" w:rsidRPr="00000000">
        <w:rPr>
          <w:sz w:val="18"/>
          <w:szCs w:val="18"/>
          <w:rtl w:val="0"/>
        </w:rPr>
        <w:t xml:space="preserve">Seisenberger, S., Andrews, S., Krueger, F., Arand, J., Walter, J., Santos, F., ... &amp; Reik, W. (2012). The dynamics of genome-wide DNA methylation reprogramming in mouse primordial germ cells. Molecular Cell, 48(6), 849-862. </w:t>
      </w:r>
      <w:hyperlink r:id="rId41">
        <w:r w:rsidDel="00000000" w:rsidR="00000000" w:rsidRPr="00000000">
          <w:rPr>
            <w:color w:val="1155cc"/>
            <w:sz w:val="18"/>
            <w:szCs w:val="18"/>
            <w:u w:val="single"/>
            <w:rtl w:val="0"/>
          </w:rPr>
          <w:t xml:space="preserve">https://doi.org/10.1016/j.molcel.2012.11.001</w:t>
        </w:r>
      </w:hyperlink>
      <w:r w:rsidDel="00000000" w:rsidR="00000000" w:rsidRPr="00000000">
        <w:rPr>
          <w:rtl w:val="0"/>
        </w:rPr>
      </w:r>
    </w:p>
    <w:p w:rsidR="00000000" w:rsidDel="00000000" w:rsidP="00000000" w:rsidRDefault="00000000" w:rsidRPr="00000000" w14:paraId="000001B7">
      <w:pPr>
        <w:numPr>
          <w:ilvl w:val="0"/>
          <w:numId w:val="14"/>
        </w:numPr>
        <w:ind w:left="720" w:hanging="360"/>
        <w:jc w:val="both"/>
        <w:rPr>
          <w:sz w:val="18"/>
          <w:szCs w:val="18"/>
        </w:rPr>
      </w:pPr>
      <w:r w:rsidDel="00000000" w:rsidR="00000000" w:rsidRPr="00000000">
        <w:rPr>
          <w:sz w:val="18"/>
          <w:szCs w:val="18"/>
          <w:rtl w:val="0"/>
        </w:rPr>
        <w:t xml:space="preserve">Sugarman, J., Barker, R. A., Charo, R. A., Faden, R. R., Gaj, T., Hynes, R. O., ... &amp; Zoloth, L. (2018). Ethics and governance of stem cell-based interventions: Updated guidelines from the ISSCR. Stem Cell Reports, 11(4), 787-789. </w:t>
      </w:r>
      <w:hyperlink r:id="rId42">
        <w:r w:rsidDel="00000000" w:rsidR="00000000" w:rsidRPr="00000000">
          <w:rPr>
            <w:color w:val="1155cc"/>
            <w:sz w:val="18"/>
            <w:szCs w:val="18"/>
            <w:u w:val="single"/>
            <w:rtl w:val="0"/>
          </w:rPr>
          <w:t xml:space="preserve">https://doi.org/10.1016/j.stemcr.2018.09.003</w:t>
        </w:r>
      </w:hyperlink>
      <w:r w:rsidDel="00000000" w:rsidR="00000000" w:rsidRPr="00000000">
        <w:rPr>
          <w:rtl w:val="0"/>
        </w:rPr>
      </w:r>
    </w:p>
    <w:p w:rsidR="00000000" w:rsidDel="00000000" w:rsidP="00000000" w:rsidRDefault="00000000" w:rsidRPr="00000000" w14:paraId="000001B8">
      <w:pPr>
        <w:numPr>
          <w:ilvl w:val="0"/>
          <w:numId w:val="14"/>
        </w:numPr>
        <w:ind w:left="720" w:hanging="360"/>
        <w:jc w:val="both"/>
        <w:rPr>
          <w:sz w:val="18"/>
          <w:szCs w:val="18"/>
        </w:rPr>
      </w:pPr>
      <w:r w:rsidDel="00000000" w:rsidR="00000000" w:rsidRPr="00000000">
        <w:rPr>
          <w:sz w:val="18"/>
          <w:szCs w:val="18"/>
          <w:rtl w:val="0"/>
        </w:rPr>
        <w:t xml:space="preserve">Tang, W. W., Dietmann, S., Irie, N., Leitch, H. G., Floros, V. I., Bradshaw, C. R., ... &amp; Surani, M. A. (2015). A unique gene regulatory network resets the human germline epigenome for development. Cell, 161(6), 1453-1467. </w:t>
      </w:r>
      <w:hyperlink r:id="rId43">
        <w:r w:rsidDel="00000000" w:rsidR="00000000" w:rsidRPr="00000000">
          <w:rPr>
            <w:color w:val="1155cc"/>
            <w:sz w:val="18"/>
            <w:szCs w:val="18"/>
            <w:u w:val="single"/>
            <w:rtl w:val="0"/>
          </w:rPr>
          <w:t xml:space="preserve">https://doi.org/10.1016/j.cell.2015.04.053</w:t>
        </w:r>
      </w:hyperlink>
      <w:r w:rsidDel="00000000" w:rsidR="00000000" w:rsidRPr="00000000">
        <w:rPr>
          <w:rtl w:val="0"/>
        </w:rPr>
      </w:r>
    </w:p>
    <w:p w:rsidR="00000000" w:rsidDel="00000000" w:rsidP="00000000" w:rsidRDefault="00000000" w:rsidRPr="00000000" w14:paraId="000001B9">
      <w:pPr>
        <w:numPr>
          <w:ilvl w:val="0"/>
          <w:numId w:val="14"/>
        </w:numPr>
        <w:ind w:left="720" w:hanging="360"/>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BA">
      <w:pPr>
        <w:numPr>
          <w:ilvl w:val="0"/>
          <w:numId w:val="14"/>
        </w:numPr>
        <w:ind w:left="720" w:hanging="360"/>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BB">
      <w:pPr>
        <w:numPr>
          <w:ilvl w:val="0"/>
          <w:numId w:val="14"/>
        </w:numPr>
        <w:ind w:left="720" w:hanging="360"/>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1BC">
      <w:pPr>
        <w:numPr>
          <w:ilvl w:val="0"/>
          <w:numId w:val="14"/>
        </w:numPr>
        <w:ind w:left="720" w:hanging="360"/>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w:t>
      </w:r>
      <w:hyperlink r:id="rId44">
        <w:r w:rsidDel="00000000" w:rsidR="00000000" w:rsidRPr="00000000">
          <w:rPr>
            <w:color w:val="1155cc"/>
            <w:sz w:val="18"/>
            <w:szCs w:val="18"/>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BD">
      <w:pPr>
        <w:numPr>
          <w:ilvl w:val="0"/>
          <w:numId w:val="14"/>
        </w:numPr>
        <w:ind w:left="720" w:hanging="360"/>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1BE">
      <w:pPr>
        <w:numPr>
          <w:ilvl w:val="0"/>
          <w:numId w:val="14"/>
        </w:numPr>
        <w:ind w:left="720" w:hanging="360"/>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w:t>
      </w:r>
      <w:hyperlink r:id="rId45">
        <w:r w:rsidDel="00000000" w:rsidR="00000000" w:rsidRPr="00000000">
          <w:rPr>
            <w:color w:val="1155cc"/>
            <w:sz w:val="18"/>
            <w:szCs w:val="18"/>
            <w:u w:val="single"/>
            <w:rtl w:val="0"/>
          </w:rPr>
          <w:t xml:space="preserve">https://doi.org/10.52340/2023.05.03.15</w:t>
        </w:r>
      </w:hyperlink>
      <w:r w:rsidDel="00000000" w:rsidR="00000000" w:rsidRPr="00000000">
        <w:rPr>
          <w:rtl w:val="0"/>
        </w:rPr>
      </w:r>
    </w:p>
    <w:p w:rsidR="00000000" w:rsidDel="00000000" w:rsidP="00000000" w:rsidRDefault="00000000" w:rsidRPr="00000000" w14:paraId="000001BF">
      <w:pPr>
        <w:numPr>
          <w:ilvl w:val="0"/>
          <w:numId w:val="14"/>
        </w:numPr>
        <w:ind w:left="720" w:hanging="360"/>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w:t>
      </w:r>
      <w:hyperlink r:id="rId46">
        <w:r w:rsidDel="00000000" w:rsidR="00000000" w:rsidRPr="00000000">
          <w:rPr>
            <w:color w:val="1155cc"/>
            <w:sz w:val="18"/>
            <w:szCs w:val="18"/>
            <w:u w:val="single"/>
            <w:rtl w:val="0"/>
          </w:rPr>
          <w:t xml:space="preserve">https://doi.org/10.52340/2023.05.03.22</w:t>
        </w:r>
      </w:hyperlink>
      <w:r w:rsidDel="00000000" w:rsidR="00000000" w:rsidRPr="00000000">
        <w:rPr>
          <w:rtl w:val="0"/>
        </w:rPr>
      </w:r>
    </w:p>
    <w:p w:rsidR="00000000" w:rsidDel="00000000" w:rsidP="00000000" w:rsidRDefault="00000000" w:rsidRPr="00000000" w14:paraId="000001C0">
      <w:pPr>
        <w:numPr>
          <w:ilvl w:val="0"/>
          <w:numId w:val="14"/>
        </w:numPr>
        <w:ind w:left="720" w:hanging="360"/>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C1">
      <w:pPr>
        <w:numPr>
          <w:ilvl w:val="0"/>
          <w:numId w:val="14"/>
        </w:numPr>
        <w:ind w:left="720" w:hanging="360"/>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C2">
      <w:pPr>
        <w:numPr>
          <w:ilvl w:val="0"/>
          <w:numId w:val="14"/>
        </w:numPr>
        <w:ind w:left="720" w:hanging="360"/>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w:t>
      </w:r>
      <w:hyperlink r:id="rId47">
        <w:r w:rsidDel="00000000" w:rsidR="00000000" w:rsidRPr="00000000">
          <w:rPr>
            <w:color w:val="1155cc"/>
            <w:sz w:val="18"/>
            <w:szCs w:val="18"/>
            <w:u w:val="single"/>
            <w:rtl w:val="0"/>
          </w:rPr>
          <w:t xml:space="preserve">https://doi.org/10.52340/2023.01.01.17</w:t>
        </w:r>
      </w:hyperlink>
      <w:r w:rsidDel="00000000" w:rsidR="00000000" w:rsidRPr="00000000">
        <w:rPr>
          <w:rtl w:val="0"/>
        </w:rPr>
      </w:r>
    </w:p>
    <w:p w:rsidR="00000000" w:rsidDel="00000000" w:rsidP="00000000" w:rsidRDefault="00000000" w:rsidRPr="00000000" w14:paraId="000001C3">
      <w:pPr>
        <w:numPr>
          <w:ilvl w:val="0"/>
          <w:numId w:val="14"/>
        </w:numPr>
        <w:ind w:left="720" w:hanging="360"/>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w:t>
      </w:r>
      <w:hyperlink r:id="rId48">
        <w:r w:rsidDel="00000000" w:rsidR="00000000" w:rsidRPr="00000000">
          <w:rPr>
            <w:color w:val="1155cc"/>
            <w:sz w:val="18"/>
            <w:szCs w:val="18"/>
            <w:u w:val="single"/>
            <w:rtl w:val="0"/>
          </w:rPr>
          <w:t xml:space="preserve">https://doi.org/10.52340/2023.01.01.15</w:t>
        </w:r>
      </w:hyperlink>
      <w:r w:rsidDel="00000000" w:rsidR="00000000" w:rsidRPr="00000000">
        <w:rPr>
          <w:sz w:val="18"/>
          <w:szCs w:val="18"/>
          <w:rtl w:val="0"/>
        </w:rPr>
        <w:t xml:space="preserve"> </w:t>
      </w:r>
    </w:p>
    <w:p w:rsidR="00000000" w:rsidDel="00000000" w:rsidP="00000000" w:rsidRDefault="00000000" w:rsidRPr="00000000" w14:paraId="000001C4">
      <w:pPr>
        <w:numPr>
          <w:ilvl w:val="0"/>
          <w:numId w:val="14"/>
        </w:numPr>
        <w:ind w:left="720" w:hanging="360"/>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w:t>
      </w:r>
      <w:hyperlink r:id="rId49">
        <w:r w:rsidDel="00000000" w:rsidR="00000000" w:rsidRPr="00000000">
          <w:rPr>
            <w:color w:val="1155cc"/>
            <w:sz w:val="18"/>
            <w:szCs w:val="18"/>
            <w:u w:val="single"/>
            <w:rtl w:val="0"/>
          </w:rPr>
          <w:t xml:space="preserve">https://doi.org/10.52340/gs.2024.06.04.08</w:t>
        </w:r>
      </w:hyperlink>
      <w:r w:rsidDel="00000000" w:rsidR="00000000" w:rsidRPr="00000000">
        <w:rPr>
          <w:sz w:val="18"/>
          <w:szCs w:val="18"/>
          <w:rtl w:val="0"/>
        </w:rPr>
        <w:t xml:space="preserve"> </w:t>
      </w:r>
    </w:p>
    <w:p w:rsidR="00000000" w:rsidDel="00000000" w:rsidP="00000000" w:rsidRDefault="00000000" w:rsidRPr="00000000" w14:paraId="000001C5">
      <w:pPr>
        <w:numPr>
          <w:ilvl w:val="0"/>
          <w:numId w:val="14"/>
        </w:numPr>
        <w:ind w:left="720" w:hanging="360"/>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w:t>
      </w:r>
      <w:hyperlink r:id="rId50">
        <w:r w:rsidDel="00000000" w:rsidR="00000000" w:rsidRPr="00000000">
          <w:rPr>
            <w:color w:val="1155cc"/>
            <w:sz w:val="18"/>
            <w:szCs w:val="18"/>
            <w:u w:val="single"/>
            <w:rtl w:val="0"/>
          </w:rPr>
          <w:t xml:space="preserve">https://doi.org/10.52340/gs.2024.06.02.32</w:t>
        </w:r>
      </w:hyperlink>
      <w:r w:rsidDel="00000000" w:rsidR="00000000" w:rsidRPr="00000000">
        <w:rPr>
          <w:sz w:val="18"/>
          <w:szCs w:val="18"/>
          <w:rtl w:val="0"/>
        </w:rPr>
        <w:t xml:space="preserve"> </w:t>
      </w:r>
    </w:p>
    <w:p w:rsidR="00000000" w:rsidDel="00000000" w:rsidP="00000000" w:rsidRDefault="00000000" w:rsidRPr="00000000" w14:paraId="000001C6">
      <w:pPr>
        <w:numPr>
          <w:ilvl w:val="0"/>
          <w:numId w:val="14"/>
        </w:numPr>
        <w:ind w:left="720" w:hanging="360"/>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C7">
      <w:pPr>
        <w:numPr>
          <w:ilvl w:val="0"/>
          <w:numId w:val="14"/>
        </w:numPr>
        <w:ind w:left="720" w:hanging="360"/>
        <w:jc w:val="both"/>
        <w:rPr>
          <w:sz w:val="18"/>
          <w:szCs w:val="18"/>
        </w:rPr>
      </w:pPr>
      <w:r w:rsidDel="00000000" w:rsidR="00000000" w:rsidRPr="00000000">
        <w:rPr>
          <w:sz w:val="18"/>
          <w:szCs w:val="18"/>
          <w:rtl w:val="0"/>
        </w:rPr>
        <w:t xml:space="preserve">Tkemaladze, J. (2024). Elimination of centrioles. Georgian Scientists, 6(4), 291–307. doi: </w:t>
      </w:r>
      <w:hyperlink r:id="rId51">
        <w:r w:rsidDel="00000000" w:rsidR="00000000" w:rsidRPr="00000000">
          <w:rPr>
            <w:color w:val="1155cc"/>
            <w:sz w:val="18"/>
            <w:szCs w:val="18"/>
            <w:u w:val="single"/>
            <w:rtl w:val="0"/>
          </w:rPr>
          <w:t xml:space="preserve">https://doi.org/10.52340/gs.2024.06.04.25</w:t>
        </w:r>
      </w:hyperlink>
      <w:r w:rsidDel="00000000" w:rsidR="00000000" w:rsidRPr="00000000">
        <w:rPr>
          <w:sz w:val="18"/>
          <w:szCs w:val="18"/>
          <w:rtl w:val="0"/>
        </w:rPr>
        <w:t xml:space="preserve"> </w:t>
      </w:r>
    </w:p>
    <w:p w:rsidR="00000000" w:rsidDel="00000000" w:rsidP="00000000" w:rsidRDefault="00000000" w:rsidRPr="00000000" w14:paraId="000001C8">
      <w:pPr>
        <w:numPr>
          <w:ilvl w:val="0"/>
          <w:numId w:val="14"/>
        </w:numPr>
        <w:ind w:left="720" w:hanging="360"/>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w:t>
      </w:r>
      <w:hyperlink r:id="rId52">
        <w:r w:rsidDel="00000000" w:rsidR="00000000" w:rsidRPr="00000000">
          <w:rPr>
            <w:color w:val="1155cc"/>
            <w:sz w:val="18"/>
            <w:szCs w:val="18"/>
            <w:u w:val="single"/>
            <w:rtl w:val="0"/>
          </w:rPr>
          <w:t xml:space="preserve">https://doi.org/10.52340/gs.2024.06.02.44</w:t>
        </w:r>
      </w:hyperlink>
      <w:r w:rsidDel="00000000" w:rsidR="00000000" w:rsidRPr="00000000">
        <w:rPr>
          <w:sz w:val="18"/>
          <w:szCs w:val="18"/>
          <w:rtl w:val="0"/>
        </w:rPr>
        <w:t xml:space="preserve"> </w:t>
      </w:r>
    </w:p>
    <w:p w:rsidR="00000000" w:rsidDel="00000000" w:rsidP="00000000" w:rsidRDefault="00000000" w:rsidRPr="00000000" w14:paraId="000001C9">
      <w:pPr>
        <w:numPr>
          <w:ilvl w:val="0"/>
          <w:numId w:val="14"/>
        </w:numPr>
        <w:ind w:left="720" w:hanging="360"/>
        <w:jc w:val="both"/>
        <w:rPr>
          <w:sz w:val="18"/>
          <w:szCs w:val="18"/>
        </w:rPr>
      </w:pPr>
      <w:r w:rsidDel="00000000" w:rsidR="00000000" w:rsidRPr="00000000">
        <w:rPr>
          <w:sz w:val="18"/>
          <w:szCs w:val="18"/>
          <w:rtl w:val="0"/>
        </w:rPr>
        <w:t xml:space="preserve">Tkemaladze, J. (2024). The rate of stem cell division decreases with age. Georgian Scientists, 6(4), 228–242. doi: </w:t>
      </w:r>
      <w:hyperlink r:id="rId53">
        <w:r w:rsidDel="00000000" w:rsidR="00000000" w:rsidRPr="00000000">
          <w:rPr>
            <w:color w:val="1155cc"/>
            <w:sz w:val="18"/>
            <w:szCs w:val="18"/>
            <w:u w:val="single"/>
            <w:rtl w:val="0"/>
          </w:rPr>
          <w:t xml:space="preserve">https://doi.org/10.52340/gs.2024.06.04.21</w:t>
        </w:r>
      </w:hyperlink>
      <w:r w:rsidDel="00000000" w:rsidR="00000000" w:rsidRPr="00000000">
        <w:rPr>
          <w:sz w:val="18"/>
          <w:szCs w:val="18"/>
          <w:rtl w:val="0"/>
        </w:rPr>
        <w:t xml:space="preserve"> </w:t>
      </w:r>
    </w:p>
    <w:p w:rsidR="00000000" w:rsidDel="00000000" w:rsidP="00000000" w:rsidRDefault="00000000" w:rsidRPr="00000000" w14:paraId="000001CA">
      <w:pPr>
        <w:numPr>
          <w:ilvl w:val="0"/>
          <w:numId w:val="14"/>
        </w:numPr>
        <w:ind w:left="720" w:hanging="360"/>
        <w:jc w:val="both"/>
        <w:rPr>
          <w:sz w:val="18"/>
          <w:szCs w:val="18"/>
        </w:rPr>
      </w:pPr>
      <w:r w:rsidDel="00000000" w:rsidR="00000000" w:rsidRPr="00000000">
        <w:rPr>
          <w:sz w:val="18"/>
          <w:szCs w:val="18"/>
          <w:rtl w:val="0"/>
        </w:rPr>
        <w:t xml:space="preserve">Tkemaladze, J. (2025).Achieving Perpetual Vitality Through Innovation. doi: </w:t>
      </w:r>
      <w:hyperlink r:id="rId54">
        <w:r w:rsidDel="00000000" w:rsidR="00000000" w:rsidRPr="00000000">
          <w:rPr>
            <w:color w:val="1155cc"/>
            <w:sz w:val="18"/>
            <w:szCs w:val="18"/>
            <w:u w:val="single"/>
            <w:rtl w:val="0"/>
          </w:rPr>
          <w:t xml:space="preserve">http://dx.doi.org/10.13140/RG.2.2.31113.35685</w:t>
        </w:r>
      </w:hyperlink>
      <w:r w:rsidDel="00000000" w:rsidR="00000000" w:rsidRPr="00000000">
        <w:rPr>
          <w:sz w:val="18"/>
          <w:szCs w:val="18"/>
          <w:rtl w:val="0"/>
        </w:rPr>
        <w:t xml:space="preserve"> </w:t>
      </w:r>
    </w:p>
    <w:p w:rsidR="00000000" w:rsidDel="00000000" w:rsidP="00000000" w:rsidRDefault="00000000" w:rsidRPr="00000000" w14:paraId="000001CB">
      <w:pPr>
        <w:numPr>
          <w:ilvl w:val="0"/>
          <w:numId w:val="14"/>
        </w:numPr>
        <w:ind w:left="720" w:hanging="360"/>
        <w:jc w:val="both"/>
        <w:rPr>
          <w:sz w:val="18"/>
          <w:szCs w:val="18"/>
        </w:rPr>
      </w:pPr>
      <w:r w:rsidDel="00000000" w:rsidR="00000000" w:rsidRPr="00000000">
        <w:rPr>
          <w:sz w:val="18"/>
          <w:szCs w:val="18"/>
          <w:rtl w:val="0"/>
        </w:rPr>
        <w:t xml:space="preserve">Tkemaladze, J. (2025). Adaptive Cognitive System Ze. Longevity Horizon, 1(3). doi: </w:t>
      </w:r>
      <w:hyperlink r:id="rId55">
        <w:r w:rsidDel="00000000" w:rsidR="00000000" w:rsidRPr="00000000">
          <w:rPr>
            <w:color w:val="1155cc"/>
            <w:sz w:val="18"/>
            <w:szCs w:val="18"/>
            <w:u w:val="single"/>
            <w:rtl w:val="0"/>
          </w:rPr>
          <w:t xml:space="preserve">https://doi.org/10.5281/zenodo.15309162</w:t>
        </w:r>
      </w:hyperlink>
      <w:r w:rsidDel="00000000" w:rsidR="00000000" w:rsidRPr="00000000">
        <w:rPr>
          <w:rtl w:val="0"/>
        </w:rPr>
      </w:r>
    </w:p>
    <w:p w:rsidR="00000000" w:rsidDel="00000000" w:rsidP="00000000" w:rsidRDefault="00000000" w:rsidRPr="00000000" w14:paraId="000001CC">
      <w:pPr>
        <w:numPr>
          <w:ilvl w:val="0"/>
          <w:numId w:val="14"/>
        </w:numPr>
        <w:ind w:left="720" w:hanging="360"/>
        <w:jc w:val="both"/>
        <w:rPr>
          <w:sz w:val="18"/>
          <w:szCs w:val="18"/>
        </w:rPr>
      </w:pPr>
      <w:r w:rsidDel="00000000" w:rsidR="00000000" w:rsidRPr="00000000">
        <w:rPr>
          <w:sz w:val="18"/>
          <w:szCs w:val="18"/>
          <w:rtl w:val="0"/>
        </w:rPr>
        <w:t xml:space="preserve">Tkemaladze, J. (2025).  Adaptive Systems and World Models. doi: </w:t>
      </w:r>
      <w:hyperlink r:id="rId56">
        <w:r w:rsidDel="00000000" w:rsidR="00000000" w:rsidRPr="00000000">
          <w:rPr>
            <w:color w:val="1155cc"/>
            <w:sz w:val="18"/>
            <w:szCs w:val="18"/>
            <w:u w:val="single"/>
            <w:rtl w:val="0"/>
          </w:rPr>
          <w:t xml:space="preserve">http://dx.doi.org/10.13140/RG.2.2.13617.90720</w:t>
        </w:r>
      </w:hyperlink>
      <w:r w:rsidDel="00000000" w:rsidR="00000000" w:rsidRPr="00000000">
        <w:rPr>
          <w:rtl w:val="0"/>
        </w:rPr>
      </w:r>
    </w:p>
    <w:p w:rsidR="00000000" w:rsidDel="00000000" w:rsidP="00000000" w:rsidRDefault="00000000" w:rsidRPr="00000000" w14:paraId="000001CD">
      <w:pPr>
        <w:numPr>
          <w:ilvl w:val="0"/>
          <w:numId w:val="14"/>
        </w:numPr>
        <w:ind w:left="720" w:hanging="360"/>
        <w:jc w:val="both"/>
        <w:rPr>
          <w:sz w:val="18"/>
          <w:szCs w:val="18"/>
        </w:rPr>
      </w:pPr>
      <w:r w:rsidDel="00000000" w:rsidR="00000000" w:rsidRPr="00000000">
        <w:rPr>
          <w:sz w:val="18"/>
          <w:szCs w:val="18"/>
          <w:rtl w:val="0"/>
        </w:rPr>
        <w:t xml:space="preserve">Tkemaladze, J. (2025). Aging Model Based on Drosophila melanogaster: Mechanisms and Perspectives. Longevity Horizon, 1(3). doi: </w:t>
      </w:r>
      <w:hyperlink r:id="rId57">
        <w:r w:rsidDel="00000000" w:rsidR="00000000" w:rsidRPr="00000000">
          <w:rPr>
            <w:color w:val="1155cc"/>
            <w:sz w:val="18"/>
            <w:szCs w:val="18"/>
            <w:u w:val="single"/>
            <w:rtl w:val="0"/>
          </w:rPr>
          <w:t xml:space="preserve">https://doi.org/10.5281/zenodo.14955643</w:t>
        </w:r>
      </w:hyperlink>
      <w:r w:rsidDel="00000000" w:rsidR="00000000" w:rsidRPr="00000000">
        <w:rPr>
          <w:rtl w:val="0"/>
        </w:rPr>
      </w:r>
    </w:p>
    <w:p w:rsidR="00000000" w:rsidDel="00000000" w:rsidP="00000000" w:rsidRDefault="00000000" w:rsidRPr="00000000" w14:paraId="000001CE">
      <w:pPr>
        <w:numPr>
          <w:ilvl w:val="0"/>
          <w:numId w:val="14"/>
        </w:numPr>
        <w:ind w:left="720" w:hanging="360"/>
        <w:jc w:val="both"/>
        <w:rPr>
          <w:sz w:val="18"/>
          <w:szCs w:val="18"/>
        </w:rPr>
      </w:pPr>
      <w:r w:rsidDel="00000000" w:rsidR="00000000" w:rsidRPr="00000000">
        <w:rPr>
          <w:sz w:val="18"/>
          <w:szCs w:val="18"/>
          <w:rtl w:val="0"/>
        </w:rPr>
        <w:t xml:space="preserve">Tkemaladze, J. (2025).  Aging Model - Drosophila Melanogaster. doi: </w:t>
      </w:r>
      <w:hyperlink r:id="rId58">
        <w:r w:rsidDel="00000000" w:rsidR="00000000" w:rsidRPr="00000000">
          <w:rPr>
            <w:color w:val="1155cc"/>
            <w:sz w:val="18"/>
            <w:szCs w:val="18"/>
            <w:u w:val="single"/>
            <w:rtl w:val="0"/>
          </w:rPr>
          <w:t xml:space="preserve">http://dx.doi.org/10.13140/RG.2.2.16706.49607</w:t>
        </w:r>
      </w:hyperlink>
      <w:r w:rsidDel="00000000" w:rsidR="00000000" w:rsidRPr="00000000">
        <w:rPr>
          <w:sz w:val="18"/>
          <w:szCs w:val="18"/>
          <w:rtl w:val="0"/>
        </w:rPr>
        <w:t xml:space="preserve">  </w:t>
      </w:r>
    </w:p>
    <w:p w:rsidR="00000000" w:rsidDel="00000000" w:rsidP="00000000" w:rsidRDefault="00000000" w:rsidRPr="00000000" w14:paraId="000001CF">
      <w:pPr>
        <w:numPr>
          <w:ilvl w:val="0"/>
          <w:numId w:val="14"/>
        </w:numPr>
        <w:ind w:left="720" w:hanging="360"/>
        <w:jc w:val="both"/>
        <w:rPr>
          <w:sz w:val="18"/>
          <w:szCs w:val="18"/>
        </w:rPr>
      </w:pPr>
      <w:r w:rsidDel="00000000" w:rsidR="00000000" w:rsidRPr="00000000">
        <w:rPr>
          <w:sz w:val="18"/>
          <w:szCs w:val="18"/>
          <w:rtl w:val="0"/>
        </w:rPr>
        <w:t xml:space="preserve">Tkemaladze, J. (2025).  Allotransplantation Between Adult Drosophila of Different Ages and Sexes. doi: </w:t>
      </w:r>
      <w:hyperlink r:id="rId59">
        <w:r w:rsidDel="00000000" w:rsidR="00000000" w:rsidRPr="00000000">
          <w:rPr>
            <w:color w:val="1155cc"/>
            <w:sz w:val="18"/>
            <w:szCs w:val="18"/>
            <w:u w:val="single"/>
            <w:rtl w:val="0"/>
          </w:rPr>
          <w:t xml:space="preserve">http://dx.doi.org/10.13140/RG.2.2.27711.62884</w:t>
        </w:r>
      </w:hyperlink>
      <w:r w:rsidDel="00000000" w:rsidR="00000000" w:rsidRPr="00000000">
        <w:rPr>
          <w:sz w:val="18"/>
          <w:szCs w:val="18"/>
          <w:rtl w:val="0"/>
        </w:rPr>
        <w:t xml:space="preserve"> </w:t>
      </w:r>
    </w:p>
    <w:p w:rsidR="00000000" w:rsidDel="00000000" w:rsidP="00000000" w:rsidRDefault="00000000" w:rsidRPr="00000000" w14:paraId="000001D0">
      <w:pPr>
        <w:numPr>
          <w:ilvl w:val="0"/>
          <w:numId w:val="14"/>
        </w:numPr>
        <w:ind w:left="720" w:hanging="360"/>
        <w:jc w:val="both"/>
        <w:rPr>
          <w:sz w:val="18"/>
          <w:szCs w:val="18"/>
        </w:rPr>
      </w:pPr>
      <w:r w:rsidDel="00000000" w:rsidR="00000000" w:rsidRPr="00000000">
        <w:rPr>
          <w:sz w:val="18"/>
          <w:szCs w:val="18"/>
          <w:rtl w:val="0"/>
        </w:rPr>
        <w:t xml:space="preserve">Tkemaladze, J. (2025). Anatomy, Biogenesis, and Role in Cell Biology of Centrioles. Longevity Horizon, 1(2). doi: </w:t>
      </w:r>
      <w:hyperlink r:id="rId60">
        <w:r w:rsidDel="00000000" w:rsidR="00000000" w:rsidRPr="00000000">
          <w:rPr>
            <w:color w:val="1155cc"/>
            <w:sz w:val="18"/>
            <w:szCs w:val="18"/>
            <w:u w:val="single"/>
            <w:rtl w:val="0"/>
          </w:rPr>
          <w:t xml:space="preserve">https://doi.org/10.5281/zenodo.14742232</w:t>
        </w:r>
      </w:hyperlink>
      <w:r w:rsidDel="00000000" w:rsidR="00000000" w:rsidRPr="00000000">
        <w:rPr>
          <w:sz w:val="18"/>
          <w:szCs w:val="18"/>
          <w:rtl w:val="0"/>
        </w:rPr>
        <w:t xml:space="preserve"> </w:t>
      </w:r>
    </w:p>
    <w:p w:rsidR="00000000" w:rsidDel="00000000" w:rsidP="00000000" w:rsidRDefault="00000000" w:rsidRPr="00000000" w14:paraId="000001D1">
      <w:pPr>
        <w:numPr>
          <w:ilvl w:val="0"/>
          <w:numId w:val="14"/>
        </w:numPr>
        <w:ind w:left="720" w:hanging="360"/>
        <w:jc w:val="both"/>
        <w:rPr>
          <w:sz w:val="18"/>
          <w:szCs w:val="18"/>
        </w:rPr>
      </w:pPr>
      <w:r w:rsidDel="00000000" w:rsidR="00000000" w:rsidRPr="00000000">
        <w:rPr>
          <w:sz w:val="18"/>
          <w:szCs w:val="18"/>
          <w:rtl w:val="0"/>
        </w:rPr>
        <w:t xml:space="preserve">Tkemaladze, J. (2025).  Anti-Blastomic Substances in the Blood Plasma of Schizophrenia Patients. doi: </w:t>
      </w:r>
      <w:hyperlink r:id="rId61">
        <w:r w:rsidDel="00000000" w:rsidR="00000000" w:rsidRPr="00000000">
          <w:rPr>
            <w:color w:val="1155cc"/>
            <w:sz w:val="18"/>
            <w:szCs w:val="18"/>
            <w:u w:val="single"/>
            <w:rtl w:val="0"/>
          </w:rPr>
          <w:t xml:space="preserve">http://dx.doi.org/10.13140/RG.2.2.12721.08807</w:t>
        </w:r>
      </w:hyperlink>
      <w:r w:rsidDel="00000000" w:rsidR="00000000" w:rsidRPr="00000000">
        <w:rPr>
          <w:sz w:val="18"/>
          <w:szCs w:val="18"/>
          <w:rtl w:val="0"/>
        </w:rPr>
        <w:t xml:space="preserve"> </w:t>
      </w:r>
    </w:p>
    <w:p w:rsidR="00000000" w:rsidDel="00000000" w:rsidP="00000000" w:rsidRDefault="00000000" w:rsidRPr="00000000" w14:paraId="000001D2">
      <w:pPr>
        <w:numPr>
          <w:ilvl w:val="0"/>
          <w:numId w:val="14"/>
        </w:numPr>
        <w:ind w:left="720" w:hanging="360"/>
        <w:jc w:val="both"/>
        <w:rPr>
          <w:sz w:val="18"/>
          <w:szCs w:val="18"/>
        </w:rPr>
      </w:pPr>
      <w:r w:rsidDel="00000000" w:rsidR="00000000" w:rsidRPr="00000000">
        <w:rPr>
          <w:sz w:val="18"/>
          <w:szCs w:val="18"/>
          <w:rtl w:val="0"/>
        </w:rPr>
        <w:t xml:space="preserve">Tkemaladze, J. (2025). Anti-Blastomic Substances in the Plasma of Schizophrenia Patients: A Dual Role of Complement C4 in Synaptic Pruning and Tumor Suppression. Longevity Horizon, 1(3). doi : </w:t>
      </w:r>
      <w:hyperlink r:id="rId62">
        <w:r w:rsidDel="00000000" w:rsidR="00000000" w:rsidRPr="00000000">
          <w:rPr>
            <w:color w:val="1155cc"/>
            <w:sz w:val="18"/>
            <w:szCs w:val="18"/>
            <w:u w:val="single"/>
            <w:rtl w:val="0"/>
          </w:rPr>
          <w:t xml:space="preserve">https://doi.org/10.5281/zenodo.15042448</w:t>
        </w:r>
      </w:hyperlink>
      <w:r w:rsidDel="00000000" w:rsidR="00000000" w:rsidRPr="00000000">
        <w:rPr>
          <w:rtl w:val="0"/>
        </w:rPr>
      </w:r>
    </w:p>
    <w:p w:rsidR="00000000" w:rsidDel="00000000" w:rsidP="00000000" w:rsidRDefault="00000000" w:rsidRPr="00000000" w14:paraId="000001D3">
      <w:pPr>
        <w:numPr>
          <w:ilvl w:val="0"/>
          <w:numId w:val="14"/>
        </w:numPr>
        <w:ind w:left="720" w:hanging="360"/>
        <w:jc w:val="both"/>
        <w:rPr>
          <w:sz w:val="18"/>
          <w:szCs w:val="18"/>
        </w:rPr>
      </w:pPr>
      <w:r w:rsidDel="00000000" w:rsidR="00000000" w:rsidRPr="00000000">
        <w:rPr>
          <w:sz w:val="18"/>
          <w:szCs w:val="18"/>
          <w:rtl w:val="0"/>
        </w:rPr>
        <w:t xml:space="preserve">Tkemaladze, J. (2025). Asymmetry in the Inheritance of Centrosomes / Centrioles and Its Consequences. Longevity Horizon, 1(2). doi:  </w:t>
      </w:r>
      <w:hyperlink r:id="rId63">
        <w:r w:rsidDel="00000000" w:rsidR="00000000" w:rsidRPr="00000000">
          <w:rPr>
            <w:color w:val="1155cc"/>
            <w:sz w:val="18"/>
            <w:szCs w:val="18"/>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1D4">
      <w:pPr>
        <w:numPr>
          <w:ilvl w:val="0"/>
          <w:numId w:val="14"/>
        </w:numPr>
        <w:ind w:left="720" w:hanging="360"/>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w:t>
      </w:r>
      <w:hyperlink r:id="rId64">
        <w:r w:rsidDel="00000000" w:rsidR="00000000" w:rsidRPr="00000000">
          <w:rPr>
            <w:color w:val="1155cc"/>
            <w:sz w:val="18"/>
            <w:szCs w:val="18"/>
            <w:u w:val="single"/>
            <w:rtl w:val="0"/>
          </w:rPr>
          <w:t xml:space="preserve">http://dx.doi.org/10.13140/RG.2.2.24481.11366</w:t>
        </w:r>
      </w:hyperlink>
      <w:r w:rsidDel="00000000" w:rsidR="00000000" w:rsidRPr="00000000">
        <w:rPr>
          <w:rtl w:val="0"/>
        </w:rPr>
      </w:r>
    </w:p>
    <w:p w:rsidR="00000000" w:rsidDel="00000000" w:rsidP="00000000" w:rsidRDefault="00000000" w:rsidRPr="00000000" w14:paraId="000001D5">
      <w:pPr>
        <w:numPr>
          <w:ilvl w:val="0"/>
          <w:numId w:val="14"/>
        </w:numPr>
        <w:ind w:left="720" w:hanging="360"/>
        <w:jc w:val="both"/>
        <w:rPr>
          <w:sz w:val="18"/>
          <w:szCs w:val="18"/>
        </w:rPr>
      </w:pPr>
      <w:r w:rsidDel="00000000" w:rsidR="00000000" w:rsidRPr="00000000">
        <w:rPr>
          <w:sz w:val="18"/>
          <w:szCs w:val="18"/>
          <w:rtl w:val="0"/>
        </w:rPr>
        <w:t xml:space="preserve">Tkemaladze, J. (2025). Centriole Elimination: A Mechanism for Resetting Entropy in the Cell. Longevity Horizon, 1(2). doi: </w:t>
      </w:r>
      <w:hyperlink r:id="rId65">
        <w:r w:rsidDel="00000000" w:rsidR="00000000" w:rsidRPr="00000000">
          <w:rPr>
            <w:color w:val="1155cc"/>
            <w:sz w:val="18"/>
            <w:szCs w:val="18"/>
            <w:u w:val="single"/>
            <w:rtl w:val="0"/>
          </w:rPr>
          <w:t xml:space="preserve">https://doi.org/10.5281/zenodo.14876013</w:t>
        </w:r>
      </w:hyperlink>
      <w:r w:rsidDel="00000000" w:rsidR="00000000" w:rsidRPr="00000000">
        <w:rPr>
          <w:rtl w:val="0"/>
        </w:rPr>
      </w:r>
    </w:p>
    <w:p w:rsidR="00000000" w:rsidDel="00000000" w:rsidP="00000000" w:rsidRDefault="00000000" w:rsidRPr="00000000" w14:paraId="000001D6">
      <w:pPr>
        <w:numPr>
          <w:ilvl w:val="0"/>
          <w:numId w:val="14"/>
        </w:numPr>
        <w:ind w:left="720" w:hanging="360"/>
        <w:jc w:val="both"/>
        <w:rPr>
          <w:sz w:val="18"/>
          <w:szCs w:val="18"/>
        </w:rPr>
      </w:pPr>
      <w:r w:rsidDel="00000000" w:rsidR="00000000" w:rsidRPr="00000000">
        <w:rPr>
          <w:sz w:val="18"/>
          <w:szCs w:val="18"/>
          <w:rtl w:val="0"/>
        </w:rPr>
        <w:t xml:space="preserve">Tkemaladze, J. (2025).  Centriole Elimination as a Mechanism for Restoring Cellular Order. doi: </w:t>
      </w:r>
      <w:hyperlink r:id="rId66">
        <w:r w:rsidDel="00000000" w:rsidR="00000000" w:rsidRPr="00000000">
          <w:rPr>
            <w:color w:val="1155cc"/>
            <w:sz w:val="18"/>
            <w:szCs w:val="18"/>
            <w:u w:val="single"/>
            <w:rtl w:val="0"/>
          </w:rPr>
          <w:t xml:space="preserve">http://dx.doi.org/10.13140/RG.2.2.12890.66248/1</w:t>
        </w:r>
      </w:hyperlink>
      <w:r w:rsidDel="00000000" w:rsidR="00000000" w:rsidRPr="00000000">
        <w:rPr>
          <w:sz w:val="18"/>
          <w:szCs w:val="18"/>
          <w:rtl w:val="0"/>
        </w:rPr>
        <w:t xml:space="preserve">  </w:t>
      </w:r>
    </w:p>
    <w:p w:rsidR="00000000" w:rsidDel="00000000" w:rsidP="00000000" w:rsidRDefault="00000000" w:rsidRPr="00000000" w14:paraId="000001D7">
      <w:pPr>
        <w:numPr>
          <w:ilvl w:val="0"/>
          <w:numId w:val="14"/>
        </w:numPr>
        <w:ind w:left="720" w:hanging="360"/>
        <w:jc w:val="both"/>
        <w:rPr>
          <w:sz w:val="18"/>
          <w:szCs w:val="18"/>
        </w:rPr>
      </w:pPr>
      <w:r w:rsidDel="00000000" w:rsidR="00000000" w:rsidRPr="00000000">
        <w:rPr>
          <w:sz w:val="18"/>
          <w:szCs w:val="18"/>
          <w:rtl w:val="0"/>
        </w:rPr>
        <w:t xml:space="preserve">Tkemaladze, J. (2025). Concept to The Alive Language. Longevity Horizon, 1(1). doi: </w:t>
      </w:r>
      <w:hyperlink r:id="rId67">
        <w:r w:rsidDel="00000000" w:rsidR="00000000" w:rsidRPr="00000000">
          <w:rPr>
            <w:color w:val="1155cc"/>
            <w:sz w:val="18"/>
            <w:szCs w:val="18"/>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1D8">
      <w:pPr>
        <w:numPr>
          <w:ilvl w:val="0"/>
          <w:numId w:val="14"/>
        </w:numPr>
        <w:ind w:left="720" w:hanging="360"/>
        <w:jc w:val="both"/>
        <w:rPr>
          <w:sz w:val="18"/>
          <w:szCs w:val="18"/>
        </w:rPr>
      </w:pPr>
      <w:r w:rsidDel="00000000" w:rsidR="00000000" w:rsidRPr="00000000">
        <w:rPr>
          <w:sz w:val="18"/>
          <w:szCs w:val="18"/>
          <w:rtl w:val="0"/>
        </w:rPr>
        <w:t xml:space="preserve">Tkemaladze, J. (2025). Concept to The Caucasian Bridge. Longevity Horizon, 1(1). doi: </w:t>
      </w:r>
      <w:hyperlink r:id="rId68">
        <w:r w:rsidDel="00000000" w:rsidR="00000000" w:rsidRPr="00000000">
          <w:rPr>
            <w:color w:val="1155cc"/>
            <w:sz w:val="18"/>
            <w:szCs w:val="18"/>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D9">
      <w:pPr>
        <w:numPr>
          <w:ilvl w:val="0"/>
          <w:numId w:val="14"/>
        </w:numPr>
        <w:ind w:left="720" w:hanging="360"/>
        <w:jc w:val="both"/>
        <w:rPr>
          <w:sz w:val="18"/>
          <w:szCs w:val="18"/>
        </w:rPr>
      </w:pPr>
      <w:r w:rsidDel="00000000" w:rsidR="00000000" w:rsidRPr="00000000">
        <w:rPr>
          <w:sz w:val="18"/>
          <w:szCs w:val="18"/>
          <w:rtl w:val="0"/>
        </w:rPr>
        <w:t xml:space="preserve">Tkemaladze, J. (2025). Concept to The Curing All Diseases. Longevity Horizon, 1(1). doi: </w:t>
      </w:r>
      <w:hyperlink r:id="rId69">
        <w:r w:rsidDel="00000000" w:rsidR="00000000" w:rsidRPr="00000000">
          <w:rPr>
            <w:color w:val="1155cc"/>
            <w:sz w:val="18"/>
            <w:szCs w:val="18"/>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DA">
      <w:pPr>
        <w:numPr>
          <w:ilvl w:val="0"/>
          <w:numId w:val="14"/>
        </w:numPr>
        <w:ind w:left="720" w:hanging="360"/>
        <w:jc w:val="both"/>
        <w:rPr>
          <w:sz w:val="18"/>
          <w:szCs w:val="18"/>
        </w:rPr>
      </w:pPr>
      <w:r w:rsidDel="00000000" w:rsidR="00000000" w:rsidRPr="00000000">
        <w:rPr>
          <w:sz w:val="18"/>
          <w:szCs w:val="18"/>
          <w:rtl w:val="0"/>
        </w:rPr>
        <w:t xml:space="preserve">Tkemaladze, J. (2025). Concept to The Curing All Diseases. Longevity Horizons, 108 (1).</w:t>
      </w:r>
    </w:p>
    <w:p w:rsidR="00000000" w:rsidDel="00000000" w:rsidP="00000000" w:rsidRDefault="00000000" w:rsidRPr="00000000" w14:paraId="000001DB">
      <w:pPr>
        <w:numPr>
          <w:ilvl w:val="0"/>
          <w:numId w:val="14"/>
        </w:numPr>
        <w:ind w:left="720" w:hanging="360"/>
        <w:jc w:val="both"/>
        <w:rPr>
          <w:sz w:val="18"/>
          <w:szCs w:val="18"/>
        </w:rPr>
      </w:pPr>
      <w:r w:rsidDel="00000000" w:rsidR="00000000" w:rsidRPr="00000000">
        <w:rPr>
          <w:sz w:val="18"/>
          <w:szCs w:val="18"/>
          <w:rtl w:val="0"/>
        </w:rPr>
        <w:t xml:space="preserve">Tkemaladze, J. (2025). Concept to The Eternal Youth. Longevity Horizon, 1(1). doi:  </w:t>
      </w:r>
      <w:hyperlink r:id="rId70">
        <w:r w:rsidDel="00000000" w:rsidR="00000000" w:rsidRPr="00000000">
          <w:rPr>
            <w:color w:val="1155cc"/>
            <w:sz w:val="18"/>
            <w:szCs w:val="18"/>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DC">
      <w:pPr>
        <w:numPr>
          <w:ilvl w:val="0"/>
          <w:numId w:val="14"/>
        </w:numPr>
        <w:ind w:left="720" w:hanging="360"/>
        <w:jc w:val="both"/>
        <w:rPr>
          <w:sz w:val="18"/>
          <w:szCs w:val="18"/>
        </w:rPr>
      </w:pPr>
      <w:r w:rsidDel="00000000" w:rsidR="00000000" w:rsidRPr="00000000">
        <w:rPr>
          <w:sz w:val="18"/>
          <w:szCs w:val="18"/>
          <w:rtl w:val="0"/>
        </w:rPr>
        <w:t xml:space="preserve">Tkemaladze, J. (2025). Concept to The Food Security. Longevity Horizon, 1(1). doi:  </w:t>
      </w:r>
      <w:hyperlink r:id="rId71">
        <w:r w:rsidDel="00000000" w:rsidR="00000000" w:rsidRPr="00000000">
          <w:rPr>
            <w:color w:val="1155cc"/>
            <w:sz w:val="18"/>
            <w:szCs w:val="18"/>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DD">
      <w:pPr>
        <w:numPr>
          <w:ilvl w:val="0"/>
          <w:numId w:val="14"/>
        </w:numPr>
        <w:ind w:left="720" w:hanging="360"/>
        <w:jc w:val="both"/>
        <w:rPr>
          <w:sz w:val="18"/>
          <w:szCs w:val="18"/>
        </w:rPr>
      </w:pPr>
      <w:r w:rsidDel="00000000" w:rsidR="00000000" w:rsidRPr="00000000">
        <w:rPr>
          <w:sz w:val="18"/>
          <w:szCs w:val="18"/>
          <w:rtl w:val="0"/>
        </w:rPr>
        <w:t xml:space="preserve">Tkemaladze, J. (2025). Concept to the Living Space. Longevity Horizon, 1(1). doi: </w:t>
      </w:r>
      <w:hyperlink r:id="rId72">
        <w:r w:rsidDel="00000000" w:rsidR="00000000" w:rsidRPr="00000000">
          <w:rPr>
            <w:color w:val="1155cc"/>
            <w:sz w:val="18"/>
            <w:szCs w:val="18"/>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DE">
      <w:pPr>
        <w:numPr>
          <w:ilvl w:val="0"/>
          <w:numId w:val="14"/>
        </w:numPr>
        <w:ind w:left="720" w:hanging="360"/>
        <w:jc w:val="both"/>
        <w:rPr>
          <w:sz w:val="18"/>
          <w:szCs w:val="18"/>
        </w:rPr>
      </w:pPr>
      <w:r w:rsidDel="00000000" w:rsidR="00000000" w:rsidRPr="00000000">
        <w:rPr>
          <w:sz w:val="18"/>
          <w:szCs w:val="18"/>
          <w:rtl w:val="0"/>
        </w:rPr>
        <w:t xml:space="preserve">Tkemaladze, J. (2025). Concept to The Restoring Dogmas. Longevity Horizon, 1(1).  doi: </w:t>
      </w:r>
      <w:hyperlink r:id="rId73">
        <w:r w:rsidDel="00000000" w:rsidR="00000000" w:rsidRPr="00000000">
          <w:rPr>
            <w:color w:val="1155cc"/>
            <w:sz w:val="18"/>
            <w:szCs w:val="18"/>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DF">
      <w:pPr>
        <w:numPr>
          <w:ilvl w:val="0"/>
          <w:numId w:val="14"/>
        </w:numPr>
        <w:ind w:left="720" w:hanging="360"/>
        <w:jc w:val="both"/>
        <w:rPr>
          <w:sz w:val="18"/>
          <w:szCs w:val="18"/>
        </w:rPr>
      </w:pPr>
      <w:r w:rsidDel="00000000" w:rsidR="00000000" w:rsidRPr="00000000">
        <w:rPr>
          <w:sz w:val="18"/>
          <w:szCs w:val="18"/>
          <w:rtl w:val="0"/>
        </w:rPr>
        <w:t xml:space="preserve">Tkemaladze, J. (2025). Differentiation of Somatic Cells in Multicellular Organisms. Longevity Horizon, 1(2). doi: </w:t>
      </w:r>
      <w:hyperlink r:id="rId74">
        <w:r w:rsidDel="00000000" w:rsidR="00000000" w:rsidRPr="00000000">
          <w:rPr>
            <w:color w:val="1155cc"/>
            <w:sz w:val="18"/>
            <w:szCs w:val="18"/>
            <w:u w:val="single"/>
            <w:rtl w:val="0"/>
          </w:rPr>
          <w:t xml:space="preserve">https://doi.org/10.5281/10.5281/zenodo.14778927</w:t>
        </w:r>
      </w:hyperlink>
      <w:r w:rsidDel="00000000" w:rsidR="00000000" w:rsidRPr="00000000">
        <w:rPr>
          <w:rtl w:val="0"/>
        </w:rPr>
      </w:r>
    </w:p>
    <w:p w:rsidR="00000000" w:rsidDel="00000000" w:rsidP="00000000" w:rsidRDefault="00000000" w:rsidRPr="00000000" w14:paraId="000001E0">
      <w:pPr>
        <w:numPr>
          <w:ilvl w:val="0"/>
          <w:numId w:val="14"/>
        </w:numPr>
        <w:ind w:left="720" w:hanging="360"/>
        <w:jc w:val="both"/>
        <w:rPr>
          <w:sz w:val="18"/>
          <w:szCs w:val="18"/>
        </w:rPr>
      </w:pPr>
      <w:r w:rsidDel="00000000" w:rsidR="00000000" w:rsidRPr="00000000">
        <w:rPr>
          <w:sz w:val="18"/>
          <w:szCs w:val="18"/>
          <w:rtl w:val="0"/>
        </w:rPr>
        <w:t xml:space="preserve">Tkemaladze, J. (2025).  Hypotheses on the Role of Centrioles in Aging Processes. doi: </w:t>
      </w:r>
      <w:hyperlink r:id="rId75">
        <w:r w:rsidDel="00000000" w:rsidR="00000000" w:rsidRPr="00000000">
          <w:rPr>
            <w:color w:val="1155cc"/>
            <w:sz w:val="18"/>
            <w:szCs w:val="18"/>
            <w:u w:val="single"/>
            <w:rtl w:val="0"/>
          </w:rPr>
          <w:t xml:space="preserve">http://dx.doi.org/10.13140/RG.2.2.15014.02887/1</w:t>
        </w:r>
      </w:hyperlink>
      <w:r w:rsidDel="00000000" w:rsidR="00000000" w:rsidRPr="00000000">
        <w:rPr>
          <w:sz w:val="18"/>
          <w:szCs w:val="18"/>
          <w:rtl w:val="0"/>
        </w:rPr>
        <w:t xml:space="preserve"> </w:t>
      </w:r>
    </w:p>
    <w:p w:rsidR="00000000" w:rsidDel="00000000" w:rsidP="00000000" w:rsidRDefault="00000000" w:rsidRPr="00000000" w14:paraId="000001E1">
      <w:pPr>
        <w:numPr>
          <w:ilvl w:val="0"/>
          <w:numId w:val="14"/>
        </w:numPr>
        <w:ind w:left="720" w:hanging="360"/>
        <w:jc w:val="both"/>
        <w:rPr>
          <w:sz w:val="18"/>
          <w:szCs w:val="18"/>
        </w:rPr>
      </w:pPr>
      <w:r w:rsidDel="00000000" w:rsidR="00000000" w:rsidRPr="00000000">
        <w:rPr>
          <w:sz w:val="18"/>
          <w:szCs w:val="18"/>
          <w:rtl w:val="0"/>
        </w:rPr>
        <w:t xml:space="preserve">Tkemaladze, J. (2025).  Limits of Cellular Division: The Hayflick Phenomenon. doi: </w:t>
      </w:r>
      <w:hyperlink r:id="rId76">
        <w:r w:rsidDel="00000000" w:rsidR="00000000" w:rsidRPr="00000000">
          <w:rPr>
            <w:color w:val="1155cc"/>
            <w:sz w:val="18"/>
            <w:szCs w:val="18"/>
            <w:u w:val="single"/>
            <w:rtl w:val="0"/>
          </w:rPr>
          <w:t xml:space="preserve">http://dx.doi.org/10.13140/RG.2.2.25803.30249</w:t>
        </w:r>
      </w:hyperlink>
      <w:r w:rsidDel="00000000" w:rsidR="00000000" w:rsidRPr="00000000">
        <w:rPr>
          <w:sz w:val="18"/>
          <w:szCs w:val="18"/>
          <w:rtl w:val="0"/>
        </w:rPr>
        <w:t xml:space="preserve">  </w:t>
      </w:r>
    </w:p>
    <w:p w:rsidR="00000000" w:rsidDel="00000000" w:rsidP="00000000" w:rsidRDefault="00000000" w:rsidRPr="00000000" w14:paraId="000001E2">
      <w:pPr>
        <w:numPr>
          <w:ilvl w:val="0"/>
          <w:numId w:val="14"/>
        </w:numPr>
        <w:ind w:left="720" w:hanging="360"/>
        <w:jc w:val="both"/>
        <w:rPr>
          <w:sz w:val="18"/>
          <w:szCs w:val="18"/>
        </w:rPr>
      </w:pPr>
      <w:r w:rsidDel="00000000" w:rsidR="00000000" w:rsidRPr="00000000">
        <w:rPr>
          <w:sz w:val="18"/>
          <w:szCs w:val="18"/>
          <w:rtl w:val="0"/>
        </w:rPr>
        <w:t xml:space="preserve">Tkemaladze, J. (2025). Long-Lived Non-Renewable Structures in the Human Body. doi: </w:t>
      </w:r>
      <w:hyperlink r:id="rId77">
        <w:r w:rsidDel="00000000" w:rsidR="00000000" w:rsidRPr="00000000">
          <w:rPr>
            <w:color w:val="1155cc"/>
            <w:sz w:val="18"/>
            <w:szCs w:val="18"/>
            <w:u w:val="single"/>
            <w:rtl w:val="0"/>
          </w:rPr>
          <w:t xml:space="preserve">http://dx.doi.org/10.13140/RG.2.2.14826.43206</w:t>
        </w:r>
      </w:hyperlink>
      <w:r w:rsidDel="00000000" w:rsidR="00000000" w:rsidRPr="00000000">
        <w:rPr>
          <w:sz w:val="18"/>
          <w:szCs w:val="18"/>
          <w:rtl w:val="0"/>
        </w:rPr>
        <w:t xml:space="preserve"> </w:t>
      </w:r>
    </w:p>
    <w:p w:rsidR="00000000" w:rsidDel="00000000" w:rsidP="00000000" w:rsidRDefault="00000000" w:rsidRPr="00000000" w14:paraId="000001E3">
      <w:pPr>
        <w:numPr>
          <w:ilvl w:val="0"/>
          <w:numId w:val="14"/>
        </w:numPr>
        <w:ind w:left="720" w:hanging="360"/>
        <w:jc w:val="both"/>
        <w:rPr>
          <w:sz w:val="18"/>
          <w:szCs w:val="18"/>
        </w:rPr>
      </w:pPr>
      <w:r w:rsidDel="00000000" w:rsidR="00000000" w:rsidRPr="00000000">
        <w:rPr>
          <w:sz w:val="18"/>
          <w:szCs w:val="18"/>
          <w:rtl w:val="0"/>
        </w:rPr>
        <w:t xml:space="preserve">Tkemaladze, J. (2025). Mechanisms of Learning Through the Actualization of Discrepancies. Longevity Horizon, 1(3). doi : </w:t>
      </w:r>
      <w:hyperlink r:id="rId78">
        <w:r w:rsidDel="00000000" w:rsidR="00000000" w:rsidRPr="00000000">
          <w:rPr>
            <w:color w:val="1155cc"/>
            <w:sz w:val="18"/>
            <w:szCs w:val="18"/>
            <w:u w:val="single"/>
            <w:rtl w:val="0"/>
          </w:rPr>
          <w:t xml:space="preserve">https://doi.org/10.5281/zenodo.15200612</w:t>
        </w:r>
      </w:hyperlink>
      <w:r w:rsidDel="00000000" w:rsidR="00000000" w:rsidRPr="00000000">
        <w:rPr>
          <w:rtl w:val="0"/>
        </w:rPr>
      </w:r>
    </w:p>
    <w:p w:rsidR="00000000" w:rsidDel="00000000" w:rsidP="00000000" w:rsidRDefault="00000000" w:rsidRPr="00000000" w14:paraId="000001E4">
      <w:pPr>
        <w:numPr>
          <w:ilvl w:val="0"/>
          <w:numId w:val="14"/>
        </w:numPr>
        <w:ind w:left="720" w:hanging="360"/>
        <w:jc w:val="both"/>
        <w:rPr>
          <w:sz w:val="18"/>
          <w:szCs w:val="18"/>
        </w:rPr>
      </w:pPr>
      <w:r w:rsidDel="00000000" w:rsidR="00000000" w:rsidRPr="00000000">
        <w:rPr>
          <w:sz w:val="18"/>
          <w:szCs w:val="18"/>
          <w:rtl w:val="0"/>
        </w:rPr>
        <w:t xml:space="preserve">Tkemaladze, J. (2025). Memorizing an Infinite Stream of Information in a Limited.</w:t>
      </w:r>
    </w:p>
    <w:p w:rsidR="00000000" w:rsidDel="00000000" w:rsidP="00000000" w:rsidRDefault="00000000" w:rsidRPr="00000000" w14:paraId="000001E5">
      <w:pPr>
        <w:numPr>
          <w:ilvl w:val="0"/>
          <w:numId w:val="14"/>
        </w:numPr>
        <w:ind w:left="720" w:hanging="360"/>
        <w:jc w:val="both"/>
        <w:rPr>
          <w:sz w:val="18"/>
          <w:szCs w:val="18"/>
        </w:rPr>
      </w:pPr>
      <w:r w:rsidDel="00000000" w:rsidR="00000000" w:rsidRPr="00000000">
        <w:rPr>
          <w:sz w:val="18"/>
          <w:szCs w:val="18"/>
          <w:rtl w:val="0"/>
        </w:rPr>
        <w:t xml:space="preserve">Tkemaladze, J. (2025). Memorizing an Infinite Stream of Information in a Limited Memory Space: The Ze Method of a Plastic Counter of Chronotropic Number Frequencies. Longevity Horizon, 1(3). doi : </w:t>
      </w:r>
      <w:hyperlink r:id="rId79">
        <w:r w:rsidDel="00000000" w:rsidR="00000000" w:rsidRPr="00000000">
          <w:rPr>
            <w:color w:val="1155cc"/>
            <w:sz w:val="18"/>
            <w:szCs w:val="18"/>
            <w:u w:val="single"/>
            <w:rtl w:val="0"/>
          </w:rPr>
          <w:t xml:space="preserve">https://doi.org/10.5281/zenodo.15170931</w:t>
        </w:r>
      </w:hyperlink>
      <w:r w:rsidDel="00000000" w:rsidR="00000000" w:rsidRPr="00000000">
        <w:rPr>
          <w:rtl w:val="0"/>
        </w:rPr>
      </w:r>
    </w:p>
    <w:p w:rsidR="00000000" w:rsidDel="00000000" w:rsidP="00000000" w:rsidRDefault="00000000" w:rsidRPr="00000000" w14:paraId="000001E6">
      <w:pPr>
        <w:numPr>
          <w:ilvl w:val="0"/>
          <w:numId w:val="14"/>
        </w:numPr>
        <w:ind w:left="720" w:hanging="360"/>
        <w:jc w:val="both"/>
        <w:rPr>
          <w:sz w:val="18"/>
          <w:szCs w:val="18"/>
        </w:rPr>
      </w:pPr>
      <w:r w:rsidDel="00000000" w:rsidR="00000000" w:rsidRPr="00000000">
        <w:rPr>
          <w:sz w:val="18"/>
          <w:szCs w:val="18"/>
          <w:rtl w:val="0"/>
        </w:rPr>
        <w:t xml:space="preserve">Tkemaladze, J. (2025). Molecular Insights and Radical Longevity from Ancient Elixirs to Mars Colonies. Longevity Horizon, 1(2). doi: </w:t>
      </w:r>
      <w:hyperlink r:id="rId80">
        <w:r w:rsidDel="00000000" w:rsidR="00000000" w:rsidRPr="00000000">
          <w:rPr>
            <w:color w:val="1155cc"/>
            <w:sz w:val="18"/>
            <w:szCs w:val="18"/>
            <w:u w:val="single"/>
            <w:rtl w:val="0"/>
          </w:rPr>
          <w:t xml:space="preserve">https://doi.org/10.5281/zenodo.14895222</w:t>
        </w:r>
      </w:hyperlink>
      <w:r w:rsidDel="00000000" w:rsidR="00000000" w:rsidRPr="00000000">
        <w:rPr>
          <w:rtl w:val="0"/>
        </w:rPr>
      </w:r>
    </w:p>
    <w:p w:rsidR="00000000" w:rsidDel="00000000" w:rsidP="00000000" w:rsidRDefault="00000000" w:rsidRPr="00000000" w14:paraId="000001E7">
      <w:pPr>
        <w:numPr>
          <w:ilvl w:val="0"/>
          <w:numId w:val="14"/>
        </w:numPr>
        <w:ind w:left="720" w:hanging="360"/>
        <w:jc w:val="both"/>
        <w:rPr>
          <w:sz w:val="18"/>
          <w:szCs w:val="18"/>
        </w:rPr>
      </w:pPr>
      <w:r w:rsidDel="00000000" w:rsidR="00000000" w:rsidRPr="00000000">
        <w:rPr>
          <w:sz w:val="18"/>
          <w:szCs w:val="18"/>
          <w:rtl w:val="0"/>
        </w:rPr>
        <w:t xml:space="preserve">Tkemaladze, J. (2025).  Molecular Mechanisms of Aging and Modern Life Extension Strategies: From Antiquity to Mars Colonization. doi: </w:t>
      </w:r>
      <w:hyperlink r:id="rId81">
        <w:r w:rsidDel="00000000" w:rsidR="00000000" w:rsidRPr="00000000">
          <w:rPr>
            <w:color w:val="1155cc"/>
            <w:sz w:val="18"/>
            <w:szCs w:val="18"/>
            <w:u w:val="single"/>
            <w:rtl w:val="0"/>
          </w:rPr>
          <w:t xml:space="preserve">http://dx.doi.org/10.13140/RG.2.2.13208.51204</w:t>
        </w:r>
      </w:hyperlink>
      <w:r w:rsidDel="00000000" w:rsidR="00000000" w:rsidRPr="00000000">
        <w:rPr>
          <w:sz w:val="18"/>
          <w:szCs w:val="18"/>
          <w:rtl w:val="0"/>
        </w:rPr>
        <w:t xml:space="preserve"> </w:t>
      </w:r>
    </w:p>
    <w:p w:rsidR="00000000" w:rsidDel="00000000" w:rsidP="00000000" w:rsidRDefault="00000000" w:rsidRPr="00000000" w14:paraId="000001E8">
      <w:pPr>
        <w:numPr>
          <w:ilvl w:val="0"/>
          <w:numId w:val="14"/>
        </w:numPr>
        <w:ind w:left="720" w:hanging="360"/>
        <w:jc w:val="both"/>
        <w:rPr>
          <w:sz w:val="18"/>
          <w:szCs w:val="18"/>
        </w:rPr>
      </w:pPr>
      <w:r w:rsidDel="00000000" w:rsidR="00000000" w:rsidRPr="00000000">
        <w:rPr>
          <w:sz w:val="18"/>
          <w:szCs w:val="18"/>
          <w:rtl w:val="0"/>
        </w:rPr>
        <w:t xml:space="preserve">Tkemaladze, J. (2025). Ontogenetic Permanence of Non-Renewable Biomechanical Configurations in Homo Sapiens Anatomy. Longevity Horizon, 1(3). doi : </w:t>
      </w:r>
      <w:hyperlink r:id="rId82">
        <w:r w:rsidDel="00000000" w:rsidR="00000000" w:rsidRPr="00000000">
          <w:rPr>
            <w:color w:val="1155cc"/>
            <w:sz w:val="18"/>
            <w:szCs w:val="18"/>
            <w:u w:val="single"/>
            <w:rtl w:val="0"/>
          </w:rPr>
          <w:t xml:space="preserve">https://doi.org/10.5281/zenodo.15086387</w:t>
        </w:r>
      </w:hyperlink>
      <w:r w:rsidDel="00000000" w:rsidR="00000000" w:rsidRPr="00000000">
        <w:rPr>
          <w:rtl w:val="0"/>
        </w:rPr>
      </w:r>
    </w:p>
    <w:p w:rsidR="00000000" w:rsidDel="00000000" w:rsidP="00000000" w:rsidRDefault="00000000" w:rsidRPr="00000000" w14:paraId="000001E9">
      <w:pPr>
        <w:numPr>
          <w:ilvl w:val="0"/>
          <w:numId w:val="14"/>
        </w:numPr>
        <w:ind w:left="720" w:hanging="360"/>
        <w:jc w:val="both"/>
        <w:rPr>
          <w:sz w:val="18"/>
          <w:szCs w:val="18"/>
        </w:rPr>
      </w:pPr>
      <w:r w:rsidDel="00000000" w:rsidR="00000000" w:rsidRPr="00000000">
        <w:rPr>
          <w:sz w:val="18"/>
          <w:szCs w:val="18"/>
          <w:rtl w:val="0"/>
        </w:rPr>
        <w:t xml:space="preserve">Tkemaladze, J. (2025).  Pathways of Somatic Cell Specialization in Multicellular Organisms. doi: </w:t>
      </w:r>
      <w:hyperlink r:id="rId83">
        <w:r w:rsidDel="00000000" w:rsidR="00000000" w:rsidRPr="00000000">
          <w:rPr>
            <w:color w:val="1155cc"/>
            <w:sz w:val="18"/>
            <w:szCs w:val="18"/>
            <w:u w:val="single"/>
            <w:rtl w:val="0"/>
          </w:rPr>
          <w:t xml:space="preserve">http://dx.doi.org/10.13140/RG.2.2.23348.97929/1</w:t>
        </w:r>
      </w:hyperlink>
      <w:r w:rsidDel="00000000" w:rsidR="00000000" w:rsidRPr="00000000">
        <w:rPr>
          <w:sz w:val="18"/>
          <w:szCs w:val="18"/>
          <w:rtl w:val="0"/>
        </w:rPr>
        <w:t xml:space="preserve">  </w:t>
      </w:r>
    </w:p>
    <w:p w:rsidR="00000000" w:rsidDel="00000000" w:rsidP="00000000" w:rsidRDefault="00000000" w:rsidRPr="00000000" w14:paraId="000001EA">
      <w:pPr>
        <w:numPr>
          <w:ilvl w:val="0"/>
          <w:numId w:val="14"/>
        </w:numPr>
        <w:ind w:left="720" w:hanging="360"/>
        <w:jc w:val="both"/>
        <w:rPr>
          <w:sz w:val="18"/>
          <w:szCs w:val="18"/>
        </w:rPr>
      </w:pPr>
      <w:r w:rsidDel="00000000" w:rsidR="00000000" w:rsidRPr="00000000">
        <w:rPr>
          <w:sz w:val="18"/>
          <w:szCs w:val="18"/>
          <w:rtl w:val="0"/>
        </w:rPr>
        <w:t xml:space="preserve">Tkemaladze, J. (2025). Protocol for Transplantation of Healthy Cells Between Adult Drosophila of Different Ages and Sexes. Longevity Horizon, 1(2). doi: </w:t>
      </w:r>
      <w:hyperlink r:id="rId84">
        <w:r w:rsidDel="00000000" w:rsidR="00000000" w:rsidRPr="00000000">
          <w:rPr>
            <w:color w:val="1155cc"/>
            <w:sz w:val="18"/>
            <w:szCs w:val="18"/>
            <w:u w:val="single"/>
            <w:rtl w:val="0"/>
          </w:rPr>
          <w:t xml:space="preserve">https://doi.org/10.5281/zenodo.14889948</w:t>
        </w:r>
      </w:hyperlink>
      <w:r w:rsidDel="00000000" w:rsidR="00000000" w:rsidRPr="00000000">
        <w:rPr>
          <w:rtl w:val="0"/>
        </w:rPr>
      </w:r>
    </w:p>
    <w:p w:rsidR="00000000" w:rsidDel="00000000" w:rsidP="00000000" w:rsidRDefault="00000000" w:rsidRPr="00000000" w14:paraId="000001EB">
      <w:pPr>
        <w:numPr>
          <w:ilvl w:val="0"/>
          <w:numId w:val="14"/>
        </w:numPr>
        <w:ind w:left="720" w:hanging="360"/>
        <w:jc w:val="both"/>
        <w:rPr>
          <w:sz w:val="18"/>
          <w:szCs w:val="18"/>
        </w:rPr>
      </w:pPr>
      <w:r w:rsidDel="00000000" w:rsidR="00000000" w:rsidRPr="00000000">
        <w:rPr>
          <w:sz w:val="18"/>
          <w:szCs w:val="18"/>
          <w:rtl w:val="0"/>
        </w:rPr>
        <w:t xml:space="preserve">Tkemaladze, J. (2025). Replicative Hayflick Limit. Longevity Horizon, 1(2). doi: </w:t>
      </w:r>
      <w:hyperlink r:id="rId85">
        <w:r w:rsidDel="00000000" w:rsidR="00000000" w:rsidRPr="00000000">
          <w:rPr>
            <w:color w:val="1155cc"/>
            <w:sz w:val="18"/>
            <w:szCs w:val="18"/>
            <w:u w:val="single"/>
            <w:rtl w:val="0"/>
          </w:rPr>
          <w:t xml:space="preserve">https://doi.org/10.5281/zenodo.14752664</w:t>
        </w:r>
      </w:hyperlink>
      <w:r w:rsidDel="00000000" w:rsidR="00000000" w:rsidRPr="00000000">
        <w:rPr>
          <w:sz w:val="18"/>
          <w:szCs w:val="18"/>
          <w:rtl w:val="0"/>
        </w:rPr>
        <w:t xml:space="preserve"> </w:t>
      </w:r>
    </w:p>
    <w:p w:rsidR="00000000" w:rsidDel="00000000" w:rsidP="00000000" w:rsidRDefault="00000000" w:rsidRPr="00000000" w14:paraId="000001EC">
      <w:pPr>
        <w:numPr>
          <w:ilvl w:val="0"/>
          <w:numId w:val="14"/>
        </w:numPr>
        <w:ind w:left="720"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w:t>
      </w:r>
    </w:p>
    <w:p w:rsidR="00000000" w:rsidDel="00000000" w:rsidP="00000000" w:rsidRDefault="00000000" w:rsidRPr="00000000" w14:paraId="000001ED">
      <w:pPr>
        <w:numPr>
          <w:ilvl w:val="0"/>
          <w:numId w:val="14"/>
        </w:numPr>
        <w:ind w:left="720"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w:t>
      </w:r>
      <w:hyperlink r:id="rId86">
        <w:r w:rsidDel="00000000" w:rsidR="00000000" w:rsidRPr="00000000">
          <w:rPr>
            <w:color w:val="1155cc"/>
            <w:sz w:val="18"/>
            <w:szCs w:val="18"/>
            <w:u w:val="single"/>
            <w:rtl w:val="0"/>
          </w:rPr>
          <w:t xml:space="preserve">http://dx.doi.org/10.13140/RG.2.2.34655.57768</w:t>
        </w:r>
      </w:hyperlink>
      <w:r w:rsidDel="00000000" w:rsidR="00000000" w:rsidRPr="00000000">
        <w:rPr>
          <w:sz w:val="18"/>
          <w:szCs w:val="18"/>
          <w:rtl w:val="0"/>
        </w:rPr>
        <w:t xml:space="preserve"> </w:t>
      </w:r>
    </w:p>
    <w:p w:rsidR="00000000" w:rsidDel="00000000" w:rsidP="00000000" w:rsidRDefault="00000000" w:rsidRPr="00000000" w14:paraId="000001EE">
      <w:pPr>
        <w:numPr>
          <w:ilvl w:val="0"/>
          <w:numId w:val="14"/>
        </w:numPr>
        <w:ind w:left="720" w:hanging="360"/>
        <w:jc w:val="both"/>
        <w:rPr>
          <w:sz w:val="18"/>
          <w:szCs w:val="18"/>
        </w:rPr>
      </w:pPr>
      <w:r w:rsidDel="00000000" w:rsidR="00000000" w:rsidRPr="00000000">
        <w:rPr>
          <w:sz w:val="18"/>
          <w:szCs w:val="18"/>
          <w:rtl w:val="0"/>
        </w:rPr>
        <w:t xml:space="preserve">Tkemaladze, J. (2025).  Strategic Importance of the Caucasian Bridge and Global Power Rivalries. doi:  </w:t>
      </w:r>
      <w:hyperlink r:id="rId87">
        <w:r w:rsidDel="00000000" w:rsidR="00000000" w:rsidRPr="00000000">
          <w:rPr>
            <w:color w:val="1155cc"/>
            <w:sz w:val="18"/>
            <w:szCs w:val="18"/>
            <w:u w:val="single"/>
            <w:rtl w:val="0"/>
          </w:rPr>
          <w:t xml:space="preserve">http://dx.doi.org/10.13140/RG.2.2.19153.03680</w:t>
        </w:r>
      </w:hyperlink>
      <w:r w:rsidDel="00000000" w:rsidR="00000000" w:rsidRPr="00000000">
        <w:rPr>
          <w:sz w:val="18"/>
          <w:szCs w:val="18"/>
          <w:rtl w:val="0"/>
        </w:rPr>
        <w:t xml:space="preserve"> </w:t>
      </w:r>
    </w:p>
    <w:p w:rsidR="00000000" w:rsidDel="00000000" w:rsidP="00000000" w:rsidRDefault="00000000" w:rsidRPr="00000000" w14:paraId="000001EF">
      <w:pPr>
        <w:numPr>
          <w:ilvl w:val="0"/>
          <w:numId w:val="14"/>
        </w:numPr>
        <w:ind w:left="720" w:hanging="360"/>
        <w:jc w:val="both"/>
        <w:rPr>
          <w:sz w:val="18"/>
          <w:szCs w:val="18"/>
        </w:rPr>
      </w:pPr>
      <w:r w:rsidDel="00000000" w:rsidR="00000000" w:rsidRPr="00000000">
        <w:rPr>
          <w:sz w:val="18"/>
          <w:szCs w:val="18"/>
          <w:rtl w:val="0"/>
        </w:rPr>
        <w:t xml:space="preserve">Tkemaladze, J. (2025).  Structure, Formation, and Functional Significance of Centrioles in Cellular Biology. doi: </w:t>
      </w:r>
      <w:hyperlink r:id="rId88">
        <w:r w:rsidDel="00000000" w:rsidR="00000000" w:rsidRPr="00000000">
          <w:rPr>
            <w:color w:val="1155cc"/>
            <w:sz w:val="18"/>
            <w:szCs w:val="18"/>
            <w:u w:val="single"/>
            <w:rtl w:val="0"/>
          </w:rPr>
          <w:t xml:space="preserve">http://dx.doi.org/10.13140/RG.2.2.27441.70245/1</w:t>
        </w:r>
      </w:hyperlink>
      <w:r w:rsidDel="00000000" w:rsidR="00000000" w:rsidRPr="00000000">
        <w:rPr>
          <w:sz w:val="18"/>
          <w:szCs w:val="18"/>
          <w:rtl w:val="0"/>
        </w:rPr>
        <w:t xml:space="preserve"> </w:t>
      </w:r>
    </w:p>
    <w:p w:rsidR="00000000" w:rsidDel="00000000" w:rsidP="00000000" w:rsidRDefault="00000000" w:rsidRPr="00000000" w14:paraId="000001F0">
      <w:pPr>
        <w:numPr>
          <w:ilvl w:val="0"/>
          <w:numId w:val="14"/>
        </w:numPr>
        <w:ind w:left="720" w:hanging="360"/>
        <w:jc w:val="both"/>
        <w:rPr>
          <w:sz w:val="18"/>
          <w:szCs w:val="18"/>
        </w:rPr>
      </w:pPr>
      <w:r w:rsidDel="00000000" w:rsidR="00000000" w:rsidRPr="00000000">
        <w:rPr>
          <w:sz w:val="18"/>
          <w:szCs w:val="18"/>
          <w:rtl w:val="0"/>
        </w:rPr>
        <w:t xml:space="preserve">Tkemaladze, J. (2025). Systemic Resilience and Sustainable Nutritional Paradigms in Anthropogenic Ecosystems. doi: </w:t>
      </w:r>
      <w:hyperlink r:id="rId89">
        <w:r w:rsidDel="00000000" w:rsidR="00000000" w:rsidRPr="00000000">
          <w:rPr>
            <w:color w:val="1155cc"/>
            <w:sz w:val="18"/>
            <w:szCs w:val="18"/>
            <w:u w:val="single"/>
            <w:rtl w:val="0"/>
          </w:rPr>
          <w:t xml:space="preserve">http://dx.doi.org/10.13140/RG.2.2.18943.32169/1</w:t>
        </w:r>
      </w:hyperlink>
      <w:r w:rsidDel="00000000" w:rsidR="00000000" w:rsidRPr="00000000">
        <w:rPr>
          <w:sz w:val="18"/>
          <w:szCs w:val="18"/>
          <w:rtl w:val="0"/>
        </w:rPr>
        <w:t xml:space="preserve"> </w:t>
      </w:r>
    </w:p>
    <w:p w:rsidR="00000000" w:rsidDel="00000000" w:rsidP="00000000" w:rsidRDefault="00000000" w:rsidRPr="00000000" w14:paraId="000001F1">
      <w:pPr>
        <w:numPr>
          <w:ilvl w:val="0"/>
          <w:numId w:val="14"/>
        </w:numPr>
        <w:ind w:left="720" w:hanging="360"/>
        <w:jc w:val="both"/>
        <w:rPr>
          <w:sz w:val="18"/>
          <w:szCs w:val="18"/>
        </w:rPr>
      </w:pPr>
      <w:r w:rsidDel="00000000" w:rsidR="00000000" w:rsidRPr="00000000">
        <w:rPr>
          <w:sz w:val="18"/>
          <w:szCs w:val="18"/>
          <w:rtl w:val="0"/>
        </w:rPr>
        <w:t xml:space="preserve">Tkemaladze, J. (2025). The Centriolar Theory of Differentiation Explains the Biological Meaning of the.</w:t>
      </w:r>
    </w:p>
    <w:p w:rsidR="00000000" w:rsidDel="00000000" w:rsidP="00000000" w:rsidRDefault="00000000" w:rsidRPr="00000000" w14:paraId="000001F2">
      <w:pPr>
        <w:numPr>
          <w:ilvl w:val="0"/>
          <w:numId w:val="14"/>
        </w:numPr>
        <w:ind w:left="720" w:hanging="360"/>
        <w:jc w:val="both"/>
        <w:rPr>
          <w:sz w:val="18"/>
          <w:szCs w:val="18"/>
        </w:rPr>
      </w:pPr>
      <w:r w:rsidDel="00000000" w:rsidR="00000000" w:rsidRPr="00000000">
        <w:rPr>
          <w:sz w:val="18"/>
          <w:szCs w:val="18"/>
          <w:rtl w:val="0"/>
        </w:rPr>
        <w:t xml:space="preserve">Tkemaladze, J. (2025). The Centriolar Theory of Differentiation Explains the Biological Meaning of the Centriolar Theory of Organismal Aging. Longevity Horizon, 1(3). doi:</w:t>
      </w:r>
      <w:hyperlink r:id="rId90">
        <w:r w:rsidDel="00000000" w:rsidR="00000000" w:rsidRPr="00000000">
          <w:rPr>
            <w:color w:val="1155cc"/>
            <w:sz w:val="18"/>
            <w:szCs w:val="18"/>
            <w:u w:val="single"/>
            <w:rtl w:val="0"/>
          </w:rPr>
          <w:t xml:space="preserve">https://doi.org/10.5281/zenodo.14897688</w:t>
        </w:r>
      </w:hyperlink>
      <w:r w:rsidDel="00000000" w:rsidR="00000000" w:rsidRPr="00000000">
        <w:rPr>
          <w:rtl w:val="0"/>
        </w:rPr>
      </w:r>
    </w:p>
    <w:p w:rsidR="00000000" w:rsidDel="00000000" w:rsidP="00000000" w:rsidRDefault="00000000" w:rsidRPr="00000000" w14:paraId="000001F3">
      <w:pPr>
        <w:numPr>
          <w:ilvl w:val="0"/>
          <w:numId w:val="14"/>
        </w:numPr>
        <w:ind w:left="720" w:hanging="360"/>
        <w:jc w:val="both"/>
        <w:rPr>
          <w:sz w:val="18"/>
          <w:szCs w:val="18"/>
        </w:rPr>
      </w:pPr>
      <w:r w:rsidDel="00000000" w:rsidR="00000000" w:rsidRPr="00000000">
        <w:rPr>
          <w:sz w:val="18"/>
          <w:szCs w:val="18"/>
          <w:rtl w:val="0"/>
        </w:rPr>
        <w:t xml:space="preserve">Tkemaladze, J. (2025). The Concept of Data-Driven Automated Governance. Georgian Scientists, 6(4), 399–410. doi: </w:t>
      </w:r>
      <w:hyperlink r:id="rId91">
        <w:r w:rsidDel="00000000" w:rsidR="00000000" w:rsidRPr="00000000">
          <w:rPr>
            <w:color w:val="1155cc"/>
            <w:sz w:val="18"/>
            <w:szCs w:val="18"/>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F4">
      <w:pPr>
        <w:numPr>
          <w:ilvl w:val="0"/>
          <w:numId w:val="14"/>
        </w:numPr>
        <w:ind w:left="720" w:hanging="360"/>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w:t>
      </w:r>
      <w:hyperlink r:id="rId92">
        <w:r w:rsidDel="00000000" w:rsidR="00000000" w:rsidRPr="00000000">
          <w:rPr>
            <w:color w:val="1155cc"/>
            <w:sz w:val="18"/>
            <w:szCs w:val="18"/>
            <w:u w:val="single"/>
            <w:rtl w:val="0"/>
          </w:rPr>
          <w:t xml:space="preserve">http://dx.doi.org/10.13140/RG.2.2.28347.73769/1</w:t>
        </w:r>
      </w:hyperlink>
      <w:r w:rsidDel="00000000" w:rsidR="00000000" w:rsidRPr="00000000">
        <w:rPr>
          <w:sz w:val="18"/>
          <w:szCs w:val="18"/>
          <w:rtl w:val="0"/>
        </w:rPr>
        <w:t xml:space="preserve">  </w:t>
      </w:r>
    </w:p>
    <w:p w:rsidR="00000000" w:rsidDel="00000000" w:rsidP="00000000" w:rsidRDefault="00000000" w:rsidRPr="00000000" w14:paraId="000001F5">
      <w:pPr>
        <w:numPr>
          <w:ilvl w:val="0"/>
          <w:numId w:val="14"/>
        </w:numPr>
        <w:ind w:left="720" w:hanging="360"/>
        <w:jc w:val="both"/>
        <w:rPr>
          <w:sz w:val="18"/>
          <w:szCs w:val="18"/>
        </w:rPr>
      </w:pPr>
      <w:r w:rsidDel="00000000" w:rsidR="00000000" w:rsidRPr="00000000">
        <w:rPr>
          <w:sz w:val="18"/>
          <w:szCs w:val="18"/>
          <w:rtl w:val="0"/>
        </w:rPr>
        <w:t xml:space="preserve">Tkemaladze, J. (2025). Through In Vitro Gametogenesis — Young Stem Cells. Longevity Horizon, 1(3). doi:</w:t>
      </w:r>
      <w:hyperlink r:id="rId93">
        <w:r w:rsidDel="00000000" w:rsidR="00000000" w:rsidRPr="00000000">
          <w:rPr>
            <w:color w:val="1155cc"/>
            <w:sz w:val="18"/>
            <w:szCs w:val="18"/>
            <w:u w:val="single"/>
            <w:rtl w:val="0"/>
          </w:rPr>
          <w:t xml:space="preserve">https://doi.org/10.5281/zenodo.15847116</w:t>
        </w:r>
      </w:hyperlink>
      <w:r w:rsidDel="00000000" w:rsidR="00000000" w:rsidRPr="00000000">
        <w:rPr>
          <w:rtl w:val="0"/>
        </w:rPr>
      </w:r>
    </w:p>
    <w:p w:rsidR="00000000" w:rsidDel="00000000" w:rsidP="00000000" w:rsidRDefault="00000000" w:rsidRPr="00000000" w14:paraId="000001F6">
      <w:pPr>
        <w:numPr>
          <w:ilvl w:val="0"/>
          <w:numId w:val="14"/>
        </w:numPr>
        <w:ind w:left="720" w:hanging="360"/>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doi:  </w:t>
      </w:r>
      <w:hyperlink r:id="rId94">
        <w:r w:rsidDel="00000000" w:rsidR="00000000" w:rsidRPr="00000000">
          <w:rPr>
            <w:color w:val="1155cc"/>
            <w:sz w:val="18"/>
            <w:szCs w:val="18"/>
            <w:u w:val="single"/>
            <w:rtl w:val="0"/>
          </w:rPr>
          <w:t xml:space="preserve">http://dx.doi.org/10.13140/RG.2.2.16105.61286</w:t>
        </w:r>
      </w:hyperlink>
      <w:r w:rsidDel="00000000" w:rsidR="00000000" w:rsidRPr="00000000">
        <w:rPr>
          <w:sz w:val="18"/>
          <w:szCs w:val="18"/>
          <w:rtl w:val="0"/>
        </w:rPr>
        <w:t xml:space="preserve"> </w:t>
      </w:r>
    </w:p>
    <w:p w:rsidR="00000000" w:rsidDel="00000000" w:rsidP="00000000" w:rsidRDefault="00000000" w:rsidRPr="00000000" w14:paraId="000001F7">
      <w:pPr>
        <w:numPr>
          <w:ilvl w:val="0"/>
          <w:numId w:val="14"/>
        </w:numPr>
        <w:ind w:left="720" w:hanging="360"/>
        <w:jc w:val="both"/>
        <w:rPr>
          <w:sz w:val="18"/>
          <w:szCs w:val="18"/>
        </w:rPr>
      </w:pPr>
      <w:r w:rsidDel="00000000" w:rsidR="00000000" w:rsidRPr="00000000">
        <w:rPr>
          <w:sz w:val="18"/>
          <w:szCs w:val="18"/>
          <w:rtl w:val="0"/>
        </w:rPr>
        <w:t xml:space="preserve">Tkemaladze, J. (2025).  Uneven Centrosome Inheritance and Its Impact on Cell Fate. doi: </w:t>
      </w:r>
      <w:hyperlink r:id="rId95">
        <w:r w:rsidDel="00000000" w:rsidR="00000000" w:rsidRPr="00000000">
          <w:rPr>
            <w:color w:val="1155cc"/>
            <w:sz w:val="18"/>
            <w:szCs w:val="18"/>
            <w:u w:val="single"/>
            <w:rtl w:val="0"/>
          </w:rPr>
          <w:t xml:space="preserve">http://dx.doi.org/10.13140/RG.2.2.34917.31206</w:t>
        </w:r>
      </w:hyperlink>
      <w:r w:rsidDel="00000000" w:rsidR="00000000" w:rsidRPr="00000000">
        <w:rPr>
          <w:sz w:val="18"/>
          <w:szCs w:val="18"/>
          <w:rtl w:val="0"/>
        </w:rPr>
        <w:t xml:space="preserve"> </w:t>
      </w:r>
    </w:p>
    <w:p w:rsidR="00000000" w:rsidDel="00000000" w:rsidP="00000000" w:rsidRDefault="00000000" w:rsidRPr="00000000" w14:paraId="000001F8">
      <w:pPr>
        <w:numPr>
          <w:ilvl w:val="0"/>
          <w:numId w:val="14"/>
        </w:numPr>
        <w:ind w:left="720" w:hanging="360"/>
        <w:jc w:val="both"/>
        <w:rPr>
          <w:sz w:val="18"/>
          <w:szCs w:val="18"/>
        </w:rPr>
      </w:pPr>
      <w:r w:rsidDel="00000000" w:rsidR="00000000" w:rsidRPr="00000000">
        <w:rPr>
          <w:sz w:val="18"/>
          <w:szCs w:val="18"/>
          <w:rtl w:val="0"/>
        </w:rPr>
        <w:t xml:space="preserve">Tkemaladze, J. (2025).  Ze World Model with Predicate Actualization and Filtering. doi: http://dx.doi.org/10.13140/RG.2.2.15218.62407 </w:t>
      </w:r>
    </w:p>
    <w:p w:rsidR="00000000" w:rsidDel="00000000" w:rsidP="00000000" w:rsidRDefault="00000000" w:rsidRPr="00000000" w14:paraId="000001F9">
      <w:pPr>
        <w:numPr>
          <w:ilvl w:val="0"/>
          <w:numId w:val="14"/>
        </w:numPr>
        <w:ind w:left="720" w:hanging="360"/>
        <w:jc w:val="both"/>
        <w:rPr>
          <w:sz w:val="18"/>
          <w:szCs w:val="18"/>
        </w:rPr>
      </w:pPr>
      <w:r w:rsidDel="00000000" w:rsidR="00000000" w:rsidRPr="00000000">
        <w:rPr>
          <w:sz w:val="18"/>
          <w:szCs w:val="18"/>
          <w:rtl w:val="0"/>
        </w:rPr>
        <w:t xml:space="preserve">Tkemaladze, J. (2025).  Ze метод создания пластичного счетчика хронотропных частот чисел бесконечного потока информации. doi: http://dx.doi.org/10.13140/RG.2.2.29162.43207</w:t>
      </w:r>
    </w:p>
    <w:p w:rsidR="00000000" w:rsidDel="00000000" w:rsidP="00000000" w:rsidRDefault="00000000" w:rsidRPr="00000000" w14:paraId="000001FA">
      <w:pPr>
        <w:numPr>
          <w:ilvl w:val="0"/>
          <w:numId w:val="14"/>
        </w:numPr>
        <w:ind w:left="720" w:hanging="360"/>
        <w:jc w:val="both"/>
        <w:rPr>
          <w:sz w:val="18"/>
          <w:szCs w:val="18"/>
        </w:rPr>
      </w:pPr>
      <w:r w:rsidDel="00000000" w:rsidR="00000000" w:rsidRPr="00000000">
        <w:rPr>
          <w:sz w:val="18"/>
          <w:szCs w:val="18"/>
          <w:rtl w:val="0"/>
        </w:rPr>
        <w:t xml:space="preserve">Tkemaladze, J. (2025). Гаметогенез In Vitro: современное состояние, технологии и перспективы применения. Research Gate. </w:t>
      </w:r>
      <w:hyperlink r:id="rId96">
        <w:r w:rsidDel="00000000" w:rsidR="00000000" w:rsidRPr="00000000">
          <w:rPr>
            <w:color w:val="1155cc"/>
            <w:sz w:val="18"/>
            <w:szCs w:val="18"/>
            <w:u w:val="single"/>
            <w:rtl w:val="0"/>
          </w:rPr>
          <w:t xml:space="preserve">http://dx.doi.org/10.13140/RG.2.2.28647.36000</w:t>
        </w:r>
      </w:hyperlink>
      <w:r w:rsidDel="00000000" w:rsidR="00000000" w:rsidRPr="00000000">
        <w:rPr>
          <w:rtl w:val="0"/>
        </w:rPr>
      </w:r>
    </w:p>
    <w:p w:rsidR="00000000" w:rsidDel="00000000" w:rsidP="00000000" w:rsidRDefault="00000000" w:rsidRPr="00000000" w14:paraId="000001FB">
      <w:pPr>
        <w:numPr>
          <w:ilvl w:val="0"/>
          <w:numId w:val="14"/>
        </w:numPr>
        <w:ind w:left="720" w:hanging="360"/>
        <w:jc w:val="both"/>
        <w:rPr>
          <w:sz w:val="18"/>
          <w:szCs w:val="18"/>
        </w:rPr>
      </w:pPr>
      <w:r w:rsidDel="00000000" w:rsidR="00000000" w:rsidRPr="00000000">
        <w:rPr>
          <w:sz w:val="18"/>
          <w:szCs w:val="18"/>
          <w:rtl w:val="0"/>
        </w:rPr>
        <w:t xml:space="preserve">Tkemaladze, J. Aging Model—Drosophila Melanogaster.</w:t>
      </w:r>
    </w:p>
    <w:p w:rsidR="00000000" w:rsidDel="00000000" w:rsidP="00000000" w:rsidRDefault="00000000" w:rsidRPr="00000000" w14:paraId="000001FC">
      <w:pPr>
        <w:numPr>
          <w:ilvl w:val="0"/>
          <w:numId w:val="14"/>
        </w:numPr>
        <w:ind w:left="720" w:hanging="360"/>
        <w:jc w:val="both"/>
        <w:rPr>
          <w:sz w:val="18"/>
          <w:szCs w:val="18"/>
        </w:rPr>
      </w:pPr>
      <w:r w:rsidDel="00000000" w:rsidR="00000000" w:rsidRPr="00000000">
        <w:rPr>
          <w:sz w:val="18"/>
          <w:szCs w:val="18"/>
          <w:rtl w:val="0"/>
        </w:rPr>
        <w:t xml:space="preserve">Tkemaladze, J. A Universal Approach to Curing All Diseases: From Theoretical Foundations to the Prospects of Applying Modern Biotechnologies in Future Medicine.</w:t>
      </w:r>
    </w:p>
    <w:p w:rsidR="00000000" w:rsidDel="00000000" w:rsidP="00000000" w:rsidRDefault="00000000" w:rsidRPr="00000000" w14:paraId="000001FD">
      <w:pPr>
        <w:numPr>
          <w:ilvl w:val="0"/>
          <w:numId w:val="14"/>
        </w:numPr>
        <w:ind w:left="720" w:hanging="360"/>
        <w:jc w:val="both"/>
        <w:rPr>
          <w:sz w:val="18"/>
          <w:szCs w:val="18"/>
        </w:rPr>
      </w:pPr>
      <w:r w:rsidDel="00000000" w:rsidR="00000000" w:rsidRPr="00000000">
        <w:rPr>
          <w:sz w:val="18"/>
          <w:szCs w:val="18"/>
          <w:rtl w:val="0"/>
        </w:rPr>
        <w:t xml:space="preserve">Tkemaladze, J. Strategic Importance of the Caucasian Bridge and Global Power Rivalries.</w:t>
      </w:r>
    </w:p>
    <w:p w:rsidR="00000000" w:rsidDel="00000000" w:rsidP="00000000" w:rsidRDefault="00000000" w:rsidRPr="00000000" w14:paraId="000001FE">
      <w:pPr>
        <w:numPr>
          <w:ilvl w:val="0"/>
          <w:numId w:val="14"/>
        </w:numPr>
        <w:ind w:left="720" w:hanging="360"/>
        <w:jc w:val="both"/>
        <w:rPr>
          <w:sz w:val="18"/>
          <w:szCs w:val="18"/>
        </w:rPr>
      </w:pPr>
      <w:r w:rsidDel="00000000" w:rsidR="00000000" w:rsidRPr="00000000">
        <w:rPr>
          <w:sz w:val="18"/>
          <w:szCs w:val="18"/>
          <w:rtl w:val="0"/>
        </w:rPr>
        <w:t xml:space="preserve">Tkemaladze, J. Systemic Resilience and Sustainable Nutritional Paradigms in Anthropogenic Ecosystems.</w:t>
      </w:r>
    </w:p>
    <w:p w:rsidR="00000000" w:rsidDel="00000000" w:rsidP="00000000" w:rsidRDefault="00000000" w:rsidRPr="00000000" w14:paraId="000001FF">
      <w:pPr>
        <w:numPr>
          <w:ilvl w:val="0"/>
          <w:numId w:val="14"/>
        </w:numPr>
        <w:ind w:left="720" w:hanging="360"/>
        <w:jc w:val="both"/>
        <w:rPr>
          <w:sz w:val="18"/>
          <w:szCs w:val="18"/>
        </w:rPr>
      </w:pPr>
      <w:r w:rsidDel="00000000" w:rsidR="00000000" w:rsidRPr="00000000">
        <w:rPr>
          <w:sz w:val="18"/>
          <w:szCs w:val="18"/>
          <w:rtl w:val="0"/>
        </w:rPr>
        <w:t xml:space="preserve">Tkemaladze, J. The Epistemological Reconfiguration and Transubstantial Reinterpretation of Eucharistic Practices Established by the Divine Figure of Jesus Christ in Relation to Theological Paradigms.</w:t>
      </w:r>
    </w:p>
    <w:p w:rsidR="00000000" w:rsidDel="00000000" w:rsidP="00000000" w:rsidRDefault="00000000" w:rsidRPr="00000000" w14:paraId="00000200">
      <w:pPr>
        <w:numPr>
          <w:ilvl w:val="0"/>
          <w:numId w:val="14"/>
        </w:numPr>
        <w:ind w:left="720" w:hanging="360"/>
        <w:jc w:val="both"/>
        <w:rPr>
          <w:sz w:val="18"/>
          <w:szCs w:val="18"/>
        </w:rPr>
      </w:pPr>
      <w:r w:rsidDel="00000000" w:rsidR="00000000" w:rsidRPr="00000000">
        <w:rPr>
          <w:sz w:val="18"/>
          <w:szCs w:val="18"/>
          <w:rtl w:val="0"/>
        </w:rPr>
        <w:t xml:space="preserve">Tkemaladze, J. Transforming the psyche with phoneme frequencies.</w:t>
      </w:r>
    </w:p>
    <w:p w:rsidR="00000000" w:rsidDel="00000000" w:rsidP="00000000" w:rsidRDefault="00000000" w:rsidRPr="00000000" w14:paraId="00000201">
      <w:pPr>
        <w:numPr>
          <w:ilvl w:val="0"/>
          <w:numId w:val="14"/>
        </w:numPr>
        <w:ind w:left="720" w:hanging="360"/>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202">
      <w:pPr>
        <w:numPr>
          <w:ilvl w:val="0"/>
          <w:numId w:val="14"/>
        </w:numPr>
        <w:ind w:left="720" w:hanging="360"/>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w:t>
      </w:r>
      <w:hyperlink r:id="rId97">
        <w:r w:rsidDel="00000000" w:rsidR="00000000" w:rsidRPr="00000000">
          <w:rPr>
            <w:color w:val="1155cc"/>
            <w:sz w:val="18"/>
            <w:szCs w:val="18"/>
            <w:u w:val="single"/>
            <w:rtl w:val="0"/>
          </w:rPr>
          <w:t xml:space="preserve">https://ssrn.com/abstract=4633202</w:t>
        </w:r>
      </w:hyperlink>
      <w:r w:rsidDel="00000000" w:rsidR="00000000" w:rsidRPr="00000000">
        <w:rPr>
          <w:sz w:val="18"/>
          <w:szCs w:val="18"/>
          <w:rtl w:val="0"/>
        </w:rPr>
        <w:t xml:space="preserve"> or </w:t>
      </w:r>
      <w:hyperlink r:id="rId98">
        <w:r w:rsidDel="00000000" w:rsidR="00000000" w:rsidRPr="00000000">
          <w:rPr>
            <w:color w:val="1155cc"/>
            <w:sz w:val="18"/>
            <w:szCs w:val="18"/>
            <w:u w:val="single"/>
            <w:rtl w:val="0"/>
          </w:rPr>
          <w:t xml:space="preserve">http://dx.doi.org/10.2139/ssrn.4633202</w:t>
        </w:r>
      </w:hyperlink>
      <w:r w:rsidDel="00000000" w:rsidR="00000000" w:rsidRPr="00000000">
        <w:rPr>
          <w:rtl w:val="0"/>
        </w:rPr>
      </w:r>
    </w:p>
    <w:p w:rsidR="00000000" w:rsidDel="00000000" w:rsidP="00000000" w:rsidRDefault="00000000" w:rsidRPr="00000000" w14:paraId="00000203">
      <w:pPr>
        <w:numPr>
          <w:ilvl w:val="0"/>
          <w:numId w:val="14"/>
        </w:numPr>
        <w:ind w:left="720" w:hanging="360"/>
        <w:jc w:val="both"/>
        <w:rPr>
          <w:sz w:val="18"/>
          <w:szCs w:val="18"/>
        </w:rPr>
      </w:pPr>
      <w:r w:rsidDel="00000000" w:rsidR="00000000" w:rsidRPr="00000000">
        <w:rPr>
          <w:sz w:val="18"/>
          <w:szCs w:val="18"/>
          <w:rtl w:val="0"/>
        </w:rPr>
        <w:t xml:space="preserve">Yamaguchi, S., Shen, L., Liu, Y., Sendler, D., &amp; Zhang, Y. (2015). Role of Tet1 in erasure of genomic imprinting. Nature, 504(7480), 460-464. </w:t>
      </w:r>
      <w:hyperlink r:id="rId99">
        <w:r w:rsidDel="00000000" w:rsidR="00000000" w:rsidRPr="00000000">
          <w:rPr>
            <w:color w:val="1155cc"/>
            <w:sz w:val="18"/>
            <w:szCs w:val="18"/>
            <w:u w:val="single"/>
            <w:rtl w:val="0"/>
          </w:rPr>
          <w:t xml:space="preserve">https://doi.org/10.1038/nature12805</w:t>
        </w:r>
      </w:hyperlink>
      <w:r w:rsidDel="00000000" w:rsidR="00000000" w:rsidRPr="00000000">
        <w:rPr>
          <w:rtl w:val="0"/>
        </w:rPr>
      </w:r>
    </w:p>
    <w:p w:rsidR="00000000" w:rsidDel="00000000" w:rsidP="00000000" w:rsidRDefault="00000000" w:rsidRPr="00000000" w14:paraId="00000204">
      <w:pPr>
        <w:numPr>
          <w:ilvl w:val="0"/>
          <w:numId w:val="14"/>
        </w:numPr>
        <w:ind w:left="720" w:hanging="360"/>
        <w:jc w:val="both"/>
        <w:rPr>
          <w:sz w:val="18"/>
          <w:szCs w:val="18"/>
        </w:rPr>
      </w:pPr>
      <w:r w:rsidDel="00000000" w:rsidR="00000000" w:rsidRPr="00000000">
        <w:rPr>
          <w:sz w:val="18"/>
          <w:szCs w:val="18"/>
          <w:rtl w:val="0"/>
        </w:rPr>
        <w:t xml:space="preserve">Yamaji, M., Ueda, J., Hayashi, K., Ohta, H., Yabuta, Y., Kurimoto, K., ... &amp; Saitou, M. (2013). PRDM14 ensures naive pluripotency through dual regulation of signaling and epigenetic pathways in mouse embryonic stem cells. Cell Stem Cell, 12(3), 368-382. </w:t>
      </w:r>
      <w:hyperlink r:id="rId100">
        <w:r w:rsidDel="00000000" w:rsidR="00000000" w:rsidRPr="00000000">
          <w:rPr>
            <w:color w:val="1155cc"/>
            <w:sz w:val="18"/>
            <w:szCs w:val="18"/>
            <w:u w:val="single"/>
            <w:rtl w:val="0"/>
          </w:rPr>
          <w:t xml:space="preserve">https://doi.org/10.1016/j.stem.2012.12.012</w:t>
        </w:r>
      </w:hyperlink>
      <w:r w:rsidDel="00000000" w:rsidR="00000000" w:rsidRPr="00000000">
        <w:rPr>
          <w:rtl w:val="0"/>
        </w:rPr>
      </w:r>
    </w:p>
    <w:p w:rsidR="00000000" w:rsidDel="00000000" w:rsidP="00000000" w:rsidRDefault="00000000" w:rsidRPr="00000000" w14:paraId="00000205">
      <w:pPr>
        <w:numPr>
          <w:ilvl w:val="0"/>
          <w:numId w:val="14"/>
        </w:numPr>
        <w:ind w:left="720" w:hanging="360"/>
        <w:jc w:val="both"/>
        <w:rPr>
          <w:sz w:val="18"/>
          <w:szCs w:val="18"/>
        </w:rPr>
      </w:pPr>
      <w:r w:rsidDel="00000000" w:rsidR="00000000" w:rsidRPr="00000000">
        <w:rPr>
          <w:sz w:val="18"/>
          <w:szCs w:val="18"/>
          <w:rtl w:val="0"/>
        </w:rPr>
        <w:t xml:space="preserve">Yoshino, T., Suzuki, T., Nagamatsu, G., Yabukami, H., Ikegaya, M., Kishima, M., ... &amp; Saitou, M. (2021). Generation of ovarian follicles from mouse pluripotent stem cells. Science, 373(6552), eaaz0230. </w:t>
      </w:r>
      <w:hyperlink r:id="rId101">
        <w:r w:rsidDel="00000000" w:rsidR="00000000" w:rsidRPr="00000000">
          <w:rPr>
            <w:color w:val="1155cc"/>
            <w:sz w:val="18"/>
            <w:szCs w:val="18"/>
            <w:u w:val="single"/>
            <w:rtl w:val="0"/>
          </w:rPr>
          <w:t xml:space="preserve">https://doi.org/10.1126/science.aaz0230</w:t>
        </w:r>
      </w:hyperlink>
      <w:r w:rsidDel="00000000" w:rsidR="00000000" w:rsidRPr="00000000">
        <w:rPr>
          <w:rtl w:val="0"/>
        </w:rPr>
      </w:r>
    </w:p>
    <w:p w:rsidR="00000000" w:rsidDel="00000000" w:rsidP="00000000" w:rsidRDefault="00000000" w:rsidRPr="00000000" w14:paraId="00000206">
      <w:pPr>
        <w:numPr>
          <w:ilvl w:val="0"/>
          <w:numId w:val="14"/>
        </w:numPr>
        <w:ind w:left="720" w:hanging="360"/>
        <w:jc w:val="both"/>
        <w:rPr>
          <w:sz w:val="18"/>
          <w:szCs w:val="18"/>
        </w:rPr>
      </w:pPr>
      <w:r w:rsidDel="00000000" w:rsidR="00000000" w:rsidRPr="00000000">
        <w:rPr>
          <w:sz w:val="18"/>
          <w:szCs w:val="18"/>
          <w:rtl w:val="0"/>
        </w:rPr>
        <w:t xml:space="preserve">Zhao, Y., Zhao, T., Guan, J., Zhang, X., Fu, Y., Ye, J., ... &amp; Deng, H. (2018). A XEN-like state bridges somatic cells to pluripotency during chemical reprogramming. Cell, 163(7), 1678-1691. </w:t>
      </w:r>
      <w:hyperlink r:id="rId102">
        <w:r w:rsidDel="00000000" w:rsidR="00000000" w:rsidRPr="00000000">
          <w:rPr>
            <w:color w:val="1155cc"/>
            <w:sz w:val="18"/>
            <w:szCs w:val="18"/>
            <w:u w:val="single"/>
            <w:rtl w:val="0"/>
          </w:rPr>
          <w:t xml:space="preserve">https://doi.org/10.1016/j.cell.2015.11.01</w:t>
        </w:r>
      </w:hyperlink>
      <w:r w:rsidDel="00000000" w:rsidR="00000000" w:rsidRPr="00000000">
        <w:rPr>
          <w:rtl w:val="0"/>
        </w:rPr>
      </w:r>
    </w:p>
    <w:p w:rsidR="00000000" w:rsidDel="00000000" w:rsidP="00000000" w:rsidRDefault="00000000" w:rsidRPr="00000000" w14:paraId="00000207">
      <w:pPr>
        <w:numPr>
          <w:ilvl w:val="0"/>
          <w:numId w:val="14"/>
        </w:numPr>
        <w:ind w:left="720" w:hanging="360"/>
        <w:jc w:val="both"/>
        <w:rPr>
          <w:sz w:val="18"/>
          <w:szCs w:val="18"/>
        </w:rPr>
      </w:pPr>
      <w:r w:rsidDel="00000000" w:rsidR="00000000" w:rsidRPr="00000000">
        <w:rPr>
          <w:sz w:val="18"/>
          <w:szCs w:val="18"/>
          <w:rtl w:val="0"/>
        </w:rPr>
        <w:t xml:space="preserve">Zhao, Y., Zhao, T., Guan, J., Zhang, X., Fu, Y., Ye, J., ... &amp; Deng, H. (2018). A XEN-like state bridges somatic cells to pluripotency during chemical reprogramming. Cell, 163(7), 1678-1691. </w:t>
      </w:r>
      <w:hyperlink r:id="rId103">
        <w:r w:rsidDel="00000000" w:rsidR="00000000" w:rsidRPr="00000000">
          <w:rPr>
            <w:color w:val="1155cc"/>
            <w:sz w:val="18"/>
            <w:szCs w:val="18"/>
            <w:u w:val="single"/>
            <w:rtl w:val="0"/>
          </w:rPr>
          <w:t xml:space="preserve">https://doi.org/10.1016/j.cell.2015.11.017</w:t>
        </w:r>
      </w:hyperlink>
      <w:r w:rsidDel="00000000" w:rsidR="00000000" w:rsidRPr="00000000">
        <w:rPr>
          <w:rtl w:val="0"/>
        </w:rPr>
      </w:r>
    </w:p>
    <w:p w:rsidR="00000000" w:rsidDel="00000000" w:rsidP="00000000" w:rsidRDefault="00000000" w:rsidRPr="00000000" w14:paraId="00000208">
      <w:pPr>
        <w:numPr>
          <w:ilvl w:val="0"/>
          <w:numId w:val="14"/>
        </w:numPr>
        <w:ind w:left="720" w:hanging="360"/>
        <w:jc w:val="both"/>
        <w:rPr>
          <w:sz w:val="18"/>
          <w:szCs w:val="18"/>
        </w:rPr>
      </w:pPr>
      <w:r w:rsidDel="00000000" w:rsidR="00000000" w:rsidRPr="00000000">
        <w:rPr>
          <w:sz w:val="18"/>
          <w:szCs w:val="18"/>
          <w:rtl w:val="0"/>
        </w:rPr>
        <w:t xml:space="preserve">Zhou, Q., Wang, M., Yuan, Y., Wang, X., Fu, R., Wan, H., ... &amp; Sha, J. (2016). Complete meiosis from embryonic stem cell-derived germ cells in vitro. Cell Stem Cell, 18(3), 330-340. </w:t>
      </w:r>
      <w:hyperlink r:id="rId104">
        <w:r w:rsidDel="00000000" w:rsidR="00000000" w:rsidRPr="00000000">
          <w:rPr>
            <w:color w:val="1155cc"/>
            <w:sz w:val="18"/>
            <w:szCs w:val="18"/>
            <w:u w:val="single"/>
            <w:rtl w:val="0"/>
          </w:rPr>
          <w:t xml:space="preserve">https://doi.org/10.1016/j.stem.2016.01.017</w:t>
        </w:r>
      </w:hyperlink>
      <w:r w:rsidDel="00000000" w:rsidR="00000000" w:rsidRPr="00000000">
        <w:rPr>
          <w:rtl w:val="0"/>
        </w:rPr>
      </w:r>
    </w:p>
    <w:p w:rsidR="00000000" w:rsidDel="00000000" w:rsidP="00000000" w:rsidRDefault="00000000" w:rsidRPr="00000000" w14:paraId="00000209">
      <w:pPr>
        <w:numPr>
          <w:ilvl w:val="0"/>
          <w:numId w:val="14"/>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20A">
      <w:pPr>
        <w:numPr>
          <w:ilvl w:val="0"/>
          <w:numId w:val="14"/>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20B">
      <w:pPr>
        <w:numPr>
          <w:ilvl w:val="0"/>
          <w:numId w:val="14"/>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20C">
      <w:pPr>
        <w:numPr>
          <w:ilvl w:val="0"/>
          <w:numId w:val="14"/>
        </w:numPr>
        <w:ind w:left="720" w:hanging="360"/>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20D">
      <w:pPr>
        <w:numPr>
          <w:ilvl w:val="0"/>
          <w:numId w:val="14"/>
        </w:numPr>
        <w:ind w:left="720" w:hanging="360"/>
        <w:jc w:val="both"/>
        <w:rPr>
          <w:sz w:val="18"/>
          <w:szCs w:val="18"/>
        </w:rPr>
      </w:pPr>
      <w:r w:rsidDel="00000000" w:rsidR="00000000" w:rsidRPr="00000000">
        <w:rPr>
          <w:sz w:val="18"/>
          <w:szCs w:val="18"/>
          <w:rtl w:val="0"/>
        </w:rPr>
        <w:t xml:space="preserve">Ткемаладзе, Д. (2025). Анатомия, биогенез и роль в клеточной биологии центриолей. doi: http://dx. doi. org/10.13140. RG, 2(27441.70245), 1.</w:t>
      </w:r>
    </w:p>
    <w:p w:rsidR="00000000" w:rsidDel="00000000" w:rsidP="00000000" w:rsidRDefault="00000000" w:rsidRPr="00000000" w14:paraId="0000020E">
      <w:pPr>
        <w:numPr>
          <w:ilvl w:val="0"/>
          <w:numId w:val="14"/>
        </w:numPr>
        <w:ind w:left="720" w:hanging="360"/>
        <w:jc w:val="both"/>
        <w:rPr>
          <w:sz w:val="18"/>
          <w:szCs w:val="18"/>
        </w:rPr>
      </w:pPr>
      <w:r w:rsidDel="00000000" w:rsidR="00000000" w:rsidRPr="00000000">
        <w:rPr>
          <w:sz w:val="18"/>
          <w:szCs w:val="18"/>
          <w:rtl w:val="0"/>
        </w:rPr>
        <w:t xml:space="preserve">Ткемаладзе, Д. (2025). Дифференциация соматических клеток многоклеточных животных. doi: http://dx. doi. org/10.13140. RG, 2(23348.97929), 1.</w:t>
      </w:r>
    </w:p>
    <w:p w:rsidR="00000000" w:rsidDel="00000000" w:rsidP="00000000" w:rsidRDefault="00000000" w:rsidRPr="00000000" w14:paraId="0000020F">
      <w:pPr>
        <w:numPr>
          <w:ilvl w:val="0"/>
          <w:numId w:val="14"/>
        </w:numPr>
        <w:ind w:left="720" w:hanging="360"/>
        <w:jc w:val="both"/>
        <w:rPr>
          <w:sz w:val="18"/>
          <w:szCs w:val="18"/>
        </w:rPr>
      </w:pPr>
      <w:r w:rsidDel="00000000" w:rsidR="00000000" w:rsidRPr="00000000">
        <w:rPr>
          <w:sz w:val="18"/>
          <w:szCs w:val="18"/>
          <w:rtl w:val="0"/>
        </w:rPr>
        <w:t xml:space="preserve">Ткемаладзе, Д. (2025). Репликативный Лимит Хейфлика. doi: http://dx. doi. org/10.13140. RG, 2(25803.302), 49.</w:t>
      </w:r>
    </w:p>
    <w:p w:rsidR="00000000" w:rsidDel="00000000" w:rsidP="00000000" w:rsidRDefault="00000000" w:rsidRPr="00000000" w14:paraId="00000210">
      <w:pPr>
        <w:numPr>
          <w:ilvl w:val="0"/>
          <w:numId w:val="14"/>
        </w:numPr>
        <w:ind w:left="720" w:hanging="360"/>
        <w:jc w:val="both"/>
        <w:rPr>
          <w:sz w:val="18"/>
          <w:szCs w:val="18"/>
        </w:rPr>
      </w:pPr>
      <w:r w:rsidDel="00000000" w:rsidR="00000000" w:rsidRPr="00000000">
        <w:rPr>
          <w:sz w:val="18"/>
          <w:szCs w:val="18"/>
          <w:rtl w:val="0"/>
        </w:rPr>
        <w:t xml:space="preserve">Ткемаладзе, Д. (2025). Элиминация Центриолей: Механизм Обнуления Энтропии в Клетке. doi: http://dx. doi. org/10.13140. RG, 2(12890.66248), 1.</w:t>
      </w:r>
    </w:p>
    <w:p w:rsidR="00000000" w:rsidDel="00000000" w:rsidP="00000000" w:rsidRDefault="00000000" w:rsidRPr="00000000" w14:paraId="00000211">
      <w:pPr>
        <w:numPr>
          <w:ilvl w:val="0"/>
          <w:numId w:val="14"/>
        </w:numPr>
        <w:ind w:left="720" w:hanging="360"/>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212">
      <w:pPr>
        <w:numPr>
          <w:ilvl w:val="0"/>
          <w:numId w:val="14"/>
        </w:numPr>
        <w:ind w:left="720" w:hanging="360"/>
        <w:jc w:val="both"/>
        <w:rPr>
          <w:sz w:val="18"/>
          <w:szCs w:val="18"/>
        </w:r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213">
      <w:pPr>
        <w:numPr>
          <w:ilvl w:val="0"/>
          <w:numId w:val="14"/>
        </w:numPr>
        <w:ind w:left="720" w:hanging="360"/>
        <w:jc w:val="both"/>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214">
      <w:pPr>
        <w:jc w:val="both"/>
        <w:rPr/>
      </w:pPr>
      <w:r w:rsidDel="00000000" w:rsidR="00000000" w:rsidRPr="00000000">
        <w:rPr>
          <w:rtl w:val="0"/>
        </w:rPr>
      </w:r>
    </w:p>
    <w:p w:rsidR="00000000" w:rsidDel="00000000" w:rsidP="00000000" w:rsidRDefault="00000000" w:rsidRPr="00000000" w14:paraId="00000215">
      <w:pPr>
        <w:pStyle w:val="Title"/>
        <w:jc w:val="both"/>
        <w:rPr/>
      </w:pPr>
      <w:bookmarkStart w:colFirst="0" w:colLast="0" w:name="_pkjqcbk909dm" w:id="34"/>
      <w:bookmarkEnd w:id="34"/>
      <w:r w:rsidDel="00000000" w:rsidR="00000000" w:rsidRPr="00000000">
        <w:rPr>
          <w:rtl w:val="0"/>
        </w:rPr>
        <w:t xml:space="preserve">In Vitro Gametogenesis (IVG) - Induction of Primordial Germ Cell-Like Cells (PGCLCs)</w:t>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jc w:val="right"/>
        <w:rPr/>
      </w:pPr>
      <w:r w:rsidDel="00000000" w:rsidR="00000000" w:rsidRPr="00000000">
        <w:rPr>
          <w:rtl w:val="0"/>
        </w:rPr>
        <w:t xml:space="preserve">Jaba Tkemaladze¹</w:t>
        <w:br w:type="textWrapping"/>
        <w:t xml:space="preserve">¹Director of Research, Longevity Clinic, Inc, Georgia</w:t>
        <w:br w:type="textWrapping"/>
      </w:r>
      <w:hyperlink r:id="rId105">
        <w:r w:rsidDel="00000000" w:rsidR="00000000" w:rsidRPr="00000000">
          <w:rPr>
            <w:color w:val="1155cc"/>
            <w:u w:val="single"/>
            <w:rtl w:val="0"/>
          </w:rPr>
          <w:t xml:space="preserve">https://orcid.org/0000-0001-8651-7243</w:t>
        </w:r>
      </w:hyperlink>
      <w:r w:rsidDel="00000000" w:rsidR="00000000" w:rsidRPr="00000000">
        <w:rPr>
          <w:rtl w:val="0"/>
        </w:rPr>
        <w:t xml:space="preserve"> ; </w:t>
      </w:r>
      <w:hyperlink r:id="rId106">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218">
      <w:pPr>
        <w:pStyle w:val="Heading1"/>
        <w:jc w:val="both"/>
        <w:rPr/>
      </w:pPr>
      <w:bookmarkStart w:colFirst="0" w:colLast="0" w:name="_459qeyhmmbh1" w:id="35"/>
      <w:bookmarkEnd w:id="35"/>
      <w:r w:rsidDel="00000000" w:rsidR="00000000" w:rsidRPr="00000000">
        <w:rPr>
          <w:rtl w:val="0"/>
        </w:rPr>
        <w:t xml:space="preserve">Abstract</w:t>
      </w:r>
    </w:p>
    <w:p w:rsidR="00000000" w:rsidDel="00000000" w:rsidP="00000000" w:rsidRDefault="00000000" w:rsidRPr="00000000" w14:paraId="00000219">
      <w:pPr>
        <w:jc w:val="both"/>
        <w:rPr/>
      </w:pPr>
      <w:r w:rsidDel="00000000" w:rsidR="00000000" w:rsidRPr="00000000">
        <w:rPr>
          <w:rtl w:val="0"/>
        </w:rPr>
        <w:t xml:space="preserve">The study of primordial germ cell-like cells (PGCLCs) represents a promising direction in reproductive biology and regenerative medicine. PGCLCs, derived from pluripotent stem cells or somatic cells, serve as a model for investigating gametogenesis, epigenetic reprogramming, and the mechanisms of infertility. Key achievements include the development of differentiation protocols using BMP, WNT, and retinoic acid signaling pathways, as well as direct somatic cell reprogramming. However, challenges remain, such as incomplete epigenetic reprogramming and low differentiation efficiency, particularly for human cells. The applications of PGCLCs span infertility treatment, genetic correction of hereditary diseases, and biodiversity conservation. Ethical and regulatory considerations, including the status of artificial gametes and risks to offspring, require further discussion.</w:t>
      </w:r>
    </w:p>
    <w:p w:rsidR="00000000" w:rsidDel="00000000" w:rsidP="00000000" w:rsidRDefault="00000000" w:rsidRPr="00000000" w14:paraId="0000021A">
      <w:pPr>
        <w:jc w:val="both"/>
        <w:rPr/>
      </w:pPr>
      <w:r w:rsidDel="00000000" w:rsidR="00000000" w:rsidRPr="00000000">
        <w:rPr>
          <w:rtl w:val="0"/>
        </w:rPr>
      </w:r>
    </w:p>
    <w:p w:rsidR="00000000" w:rsidDel="00000000" w:rsidP="00000000" w:rsidRDefault="00000000" w:rsidRPr="00000000" w14:paraId="0000021B">
      <w:pPr>
        <w:jc w:val="both"/>
        <w:rPr/>
      </w:pPr>
      <w:r w:rsidDel="00000000" w:rsidR="00000000" w:rsidRPr="00000000">
        <w:rPr>
          <w:b w:val="1"/>
          <w:bCs w:val="1"/>
          <w:rtl w:val="0"/>
        </w:rPr>
        <w:t xml:space="preserve">Keywords:</w:t>
      </w:r>
      <w:r w:rsidDel="00000000" w:rsidR="00000000" w:rsidRPr="00000000">
        <w:rPr>
          <w:rtl w:val="0"/>
        </w:rPr>
        <w:t xml:space="preserve"> PGCLCs, primordial germ cells, pluripotent stem cells, epigenetic reprogramming, gametogenesis, infertility, reproductive medicine.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stem.2015.06.014" TargetMode="External"/><Relationship Id="rId42" Type="http://schemas.openxmlformats.org/officeDocument/2006/relationships/hyperlink" Target="https://doi.org/10.1016/j.stemcr.2018.09.003" TargetMode="External"/><Relationship Id="rId41" Type="http://schemas.openxmlformats.org/officeDocument/2006/relationships/hyperlink" Target="https://doi.org/10.1016/j.molcel.2012.11.001" TargetMode="External"/><Relationship Id="rId44" Type="http://schemas.openxmlformats.org/officeDocument/2006/relationships/hyperlink" Target="https://doi.org/10.52340/gs.2024.06.02.04" TargetMode="External"/><Relationship Id="rId43" Type="http://schemas.openxmlformats.org/officeDocument/2006/relationships/hyperlink" Target="https://doi.org/10.1016/j.cell.2015.04.053" TargetMode="External"/><Relationship Id="rId46" Type="http://schemas.openxmlformats.org/officeDocument/2006/relationships/hyperlink" Target="https://doi.org/10.52340/2023.05.03.22" TargetMode="External"/><Relationship Id="rId45" Type="http://schemas.openxmlformats.org/officeDocument/2006/relationships/hyperlink" Target="https://doi.org/10.52340/2023.05.03.15" TargetMode="External"/><Relationship Id="rId106" Type="http://schemas.openxmlformats.org/officeDocument/2006/relationships/hyperlink" Target="https://mailto:jtkemaladze@longevity.ge/" TargetMode="External"/><Relationship Id="rId105" Type="http://schemas.openxmlformats.org/officeDocument/2006/relationships/hyperlink" Target="https://orcid.org/0000-0001-8651-7243" TargetMode="External"/><Relationship Id="rId104" Type="http://schemas.openxmlformats.org/officeDocument/2006/relationships/hyperlink" Target="https://doi.org/10.1016/j.stem.2016.01.017" TargetMode="External"/><Relationship Id="rId48" Type="http://schemas.openxmlformats.org/officeDocument/2006/relationships/hyperlink" Target="https://doi.org/10.52340/2023.01.01.15" TargetMode="External"/><Relationship Id="rId47" Type="http://schemas.openxmlformats.org/officeDocument/2006/relationships/hyperlink" Target="https://doi.org/10.52340/2023.01.01.17" TargetMode="External"/><Relationship Id="rId49" Type="http://schemas.openxmlformats.org/officeDocument/2006/relationships/hyperlink" Target="https://doi.org/10.52340/gs.2024.06.04.08" TargetMode="External"/><Relationship Id="rId103" Type="http://schemas.openxmlformats.org/officeDocument/2006/relationships/hyperlink" Target="https://doi.org/10.1016/j.cell.2015.11.017" TargetMode="External"/><Relationship Id="rId102" Type="http://schemas.openxmlformats.org/officeDocument/2006/relationships/hyperlink" Target="https://doi.org/10.1016/j.cell.2015.11.017" TargetMode="External"/><Relationship Id="rId101" Type="http://schemas.openxmlformats.org/officeDocument/2006/relationships/hyperlink" Target="https://doi.org/10.1126/science.aaz0230" TargetMode="External"/><Relationship Id="rId100" Type="http://schemas.openxmlformats.org/officeDocument/2006/relationships/hyperlink" Target="https://doi.org/10.1016/j.stem.2012.12.012" TargetMode="External"/><Relationship Id="rId31" Type="http://schemas.openxmlformats.org/officeDocument/2006/relationships/hyperlink" Target="https://doi.org/10.1016/j.stemcr.2021.05.012" TargetMode="External"/><Relationship Id="rId30" Type="http://schemas.openxmlformats.org/officeDocument/2006/relationships/hyperlink" Target="https://doi.org/10.1101/gad.1649908" TargetMode="External"/><Relationship Id="rId33" Type="http://schemas.openxmlformats.org/officeDocument/2006/relationships/hyperlink" Target="https://doi.org/10.1101/gad.244350.114" TargetMode="External"/><Relationship Id="rId32" Type="http://schemas.openxmlformats.org/officeDocument/2006/relationships/hyperlink" Target="https://doi.org/10.1212/WNL.0000000000008219" TargetMode="External"/><Relationship Id="rId35" Type="http://schemas.openxmlformats.org/officeDocument/2006/relationships/hyperlink" Target="https://doi.org/10.1038/nature12417" TargetMode="External"/><Relationship Id="rId34" Type="http://schemas.openxmlformats.org/officeDocument/2006/relationships/hyperlink" Target="https://doi.org/10.1038/nature16480" TargetMode="External"/><Relationship Id="rId37" Type="http://schemas.openxmlformats.org/officeDocument/2006/relationships/hyperlink" Target="https://doi.org/10.1038/nature03813" TargetMode="External"/><Relationship Id="rId36" Type="http://schemas.openxmlformats.org/officeDocument/2006/relationships/hyperlink" Target="https://doi.org/10.1038/nature19096" TargetMode="External"/><Relationship Id="rId39" Type="http://schemas.openxmlformats.org/officeDocument/2006/relationships/hyperlink" Target="https://doi.org/10.1101/cshperspect.a008375" TargetMode="External"/><Relationship Id="rId38" Type="http://schemas.openxmlformats.org/officeDocument/2006/relationships/hyperlink" Target="https://doi.org/10.1038/s41598-019-46768-7" TargetMode="External"/><Relationship Id="rId20" Type="http://schemas.openxmlformats.org/officeDocument/2006/relationships/hyperlink" Target="https://doi.org/10.1038/nature20104" TargetMode="External"/><Relationship Id="rId22" Type="http://schemas.openxmlformats.org/officeDocument/2006/relationships/hyperlink" Target="https://doi.org/10.1038/533169a" TargetMode="External"/><Relationship Id="rId21" Type="http://schemas.openxmlformats.org/officeDocument/2006/relationships/hyperlink" Target="https://doi.org/10.1126/science.1239278" TargetMode="External"/><Relationship Id="rId24" Type="http://schemas.openxmlformats.org/officeDocument/2006/relationships/hyperlink" Target="https://doi.org/10.1016/j.stem.2013.07.005" TargetMode="External"/><Relationship Id="rId23" Type="http://schemas.openxmlformats.org/officeDocument/2006/relationships/hyperlink" Target="https://doi.org/10.1016/j.cell.2014.12.013" TargetMode="External"/><Relationship Id="rId26" Type="http://schemas.openxmlformats.org/officeDocument/2006/relationships/hyperlink" Target="https://doi.org/10.52340/2023.01.01.20" TargetMode="External"/><Relationship Id="rId25" Type="http://schemas.openxmlformats.org/officeDocument/2006/relationships/hyperlink" Target="https://doi.org/10.52340/2023.01.01.19" TargetMode="External"/><Relationship Id="rId28" Type="http://schemas.openxmlformats.org/officeDocument/2006/relationships/hyperlink" Target="https://doi.org/10.1073/pnas.0510813103" TargetMode="External"/><Relationship Id="rId27" Type="http://schemas.openxmlformats.org/officeDocument/2006/relationships/hyperlink" Target="https://doi.org/10.52340/jr.2024.02.02.12" TargetMode="External"/><Relationship Id="rId29" Type="http://schemas.openxmlformats.org/officeDocument/2006/relationships/hyperlink" Target="https://doi.org/10.1016/j.stem.2015.03.002" TargetMode="External"/><Relationship Id="rId95" Type="http://schemas.openxmlformats.org/officeDocument/2006/relationships/hyperlink" Target="http://dx.doi.org/10.13140/RG.2.2.34917.31206" TargetMode="External"/><Relationship Id="rId94" Type="http://schemas.openxmlformats.org/officeDocument/2006/relationships/hyperlink" Target="http://dx.doi.org/10.13140/RG.2.2.16105.61286" TargetMode="External"/><Relationship Id="rId97" Type="http://schemas.openxmlformats.org/officeDocument/2006/relationships/hyperlink" Target="https://ssrn.com/abstract=4633202" TargetMode="External"/><Relationship Id="rId96" Type="http://schemas.openxmlformats.org/officeDocument/2006/relationships/hyperlink" Target="http://dx.doi.org/10.13140/RG.2.2.28647.36000" TargetMode="External"/><Relationship Id="rId11" Type="http://schemas.openxmlformats.org/officeDocument/2006/relationships/hyperlink" Target="https://doi.org/10.1038/ng.3719" TargetMode="External"/><Relationship Id="rId99" Type="http://schemas.openxmlformats.org/officeDocument/2006/relationships/hyperlink" Target="https://doi.org/10.1038/nature12805" TargetMode="External"/><Relationship Id="rId10" Type="http://schemas.openxmlformats.org/officeDocument/2006/relationships/hyperlink" Target="https://doi.org/10.1073/pnas.0730719100" TargetMode="External"/><Relationship Id="rId98" Type="http://schemas.openxmlformats.org/officeDocument/2006/relationships/hyperlink" Target="https://dx.doi.org/10.2139/ssrn.4633202" TargetMode="External"/><Relationship Id="rId13" Type="http://schemas.openxmlformats.org/officeDocument/2006/relationships/hyperlink" Target="https://doi.org/10.1038/nature12745" TargetMode="External"/><Relationship Id="rId12" Type="http://schemas.openxmlformats.org/officeDocument/2006/relationships/hyperlink" Target="https://doi.org/10.1002/stem.892" TargetMode="External"/><Relationship Id="rId91" Type="http://schemas.openxmlformats.org/officeDocument/2006/relationships/hyperlink" Target="https://doi.org/10.52340/gs.2024.06.04.38" TargetMode="External"/><Relationship Id="rId90" Type="http://schemas.openxmlformats.org/officeDocument/2006/relationships/hyperlink" Target="https://doi.org/10.5281/zenodo.14897688" TargetMode="External"/><Relationship Id="rId93" Type="http://schemas.openxmlformats.org/officeDocument/2006/relationships/hyperlink" Target="https://doi.org/10.5281/zenodo.15847116" TargetMode="External"/><Relationship Id="rId92" Type="http://schemas.openxmlformats.org/officeDocument/2006/relationships/hyperlink" Target="http://dx.doi.org/10.13140/RG.2.2.28347.73769/1" TargetMode="External"/><Relationship Id="rId15" Type="http://schemas.openxmlformats.org/officeDocument/2006/relationships/hyperlink" Target="https://doi.org/10.1126/science.1229277" TargetMode="External"/><Relationship Id="rId14" Type="http://schemas.openxmlformats.org/officeDocument/2006/relationships/hyperlink" Target="https://doi.org/10.1016/j.celrep.2020.03.024" TargetMode="External"/><Relationship Id="rId17" Type="http://schemas.openxmlformats.org/officeDocument/2006/relationships/hyperlink" Target="https://doi.org/10.1126/science.1226889" TargetMode="External"/><Relationship Id="rId16" Type="http://schemas.openxmlformats.org/officeDocument/2006/relationships/hyperlink" Target="https://doi.org/10.1038/nature06714" TargetMode="External"/><Relationship Id="rId19" Type="http://schemas.openxmlformats.org/officeDocument/2006/relationships/hyperlink" Target="https://doi.org/10.1016/j.celrep.2018.10.026" TargetMode="External"/><Relationship Id="rId18" Type="http://schemas.openxmlformats.org/officeDocument/2006/relationships/hyperlink" Target="https://doi.org/10.1016/j.cell.2011.06.052" TargetMode="External"/><Relationship Id="rId84" Type="http://schemas.openxmlformats.org/officeDocument/2006/relationships/hyperlink" Target="https://doi.org/10.5281/zenodo.14889948" TargetMode="External"/><Relationship Id="rId83" Type="http://schemas.openxmlformats.org/officeDocument/2006/relationships/hyperlink" Target="http://dx.doi.org/10.13140/RG.2.2.23348.97929/1" TargetMode="External"/><Relationship Id="rId86" Type="http://schemas.openxmlformats.org/officeDocument/2006/relationships/hyperlink" Target="http://dx.doi.org/10.13140/RG.2.2.34655.57768" TargetMode="External"/><Relationship Id="rId85" Type="http://schemas.openxmlformats.org/officeDocument/2006/relationships/hyperlink" Target="https://doi.org/10.5281/zenodo.14752664" TargetMode="External"/><Relationship Id="rId88" Type="http://schemas.openxmlformats.org/officeDocument/2006/relationships/hyperlink" Target="http://dx.doi.org/10.13140/RG.2.2.27441.70245/1" TargetMode="External"/><Relationship Id="rId87" Type="http://schemas.openxmlformats.org/officeDocument/2006/relationships/hyperlink" Target="http://dx.doi.org/10.13140/RG.2.2.19153.03680" TargetMode="External"/><Relationship Id="rId89" Type="http://schemas.openxmlformats.org/officeDocument/2006/relationships/hyperlink" Target="http://dx.doi.org/10.13140/RG.2.2.18943.32169/1" TargetMode="External"/><Relationship Id="rId80" Type="http://schemas.openxmlformats.org/officeDocument/2006/relationships/hyperlink" Target="https://doi.org/10.5281/zenodo.14895222" TargetMode="External"/><Relationship Id="rId82" Type="http://schemas.openxmlformats.org/officeDocument/2006/relationships/hyperlink" Target="https://doi.org/10.5281/zenodo.15086387" TargetMode="External"/><Relationship Id="rId81" Type="http://schemas.openxmlformats.org/officeDocument/2006/relationships/hyperlink" Target="http://dx.doi.org/10.13140/RG.2.2.13208.512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2340/gs.2025.07.01.26" TargetMode="External"/><Relationship Id="rId5" Type="http://schemas.openxmlformats.org/officeDocument/2006/relationships/styles" Target="styles.xml"/><Relationship Id="rId6" Type="http://schemas.openxmlformats.org/officeDocument/2006/relationships/hyperlink" Target="https://orcid.org/0000-0001-8651-7243" TargetMode="External"/><Relationship Id="rId7" Type="http://schemas.openxmlformats.org/officeDocument/2006/relationships/hyperlink" Target="mailto:jtkemaladze@longevity.ge" TargetMode="External"/><Relationship Id="rId8" Type="http://schemas.openxmlformats.org/officeDocument/2006/relationships/hyperlink" Target="https://doi.org/10.1242/dev.126.8.1655" TargetMode="External"/><Relationship Id="rId73" Type="http://schemas.openxmlformats.org/officeDocument/2006/relationships/hyperlink" Target="https://doi.org/10.5281/zenodo.14708980" TargetMode="External"/><Relationship Id="rId72" Type="http://schemas.openxmlformats.org/officeDocument/2006/relationships/hyperlink" Target="https://doi.org/10.5281/zenodo.14635991" TargetMode="External"/><Relationship Id="rId75" Type="http://schemas.openxmlformats.org/officeDocument/2006/relationships/hyperlink" Target="http://dx.doi.org/10.13140/RG.2.2.15014.02887/1" TargetMode="External"/><Relationship Id="rId74" Type="http://schemas.openxmlformats.org/officeDocument/2006/relationships/hyperlink" Target="https://doi.org/10.5281/10.5281/zenodo.14778927" TargetMode="External"/><Relationship Id="rId77" Type="http://schemas.openxmlformats.org/officeDocument/2006/relationships/hyperlink" Target="http://dx.doi.org/10.13140/RG.2.2.14826.43206" TargetMode="External"/><Relationship Id="rId76" Type="http://schemas.openxmlformats.org/officeDocument/2006/relationships/hyperlink" Target="http://dx.doi.org/10.13140/RG.2.2.25803.30249" TargetMode="External"/><Relationship Id="rId79" Type="http://schemas.openxmlformats.org/officeDocument/2006/relationships/hyperlink" Target="https://doi.org/10.5281/zenodo.15170931" TargetMode="External"/><Relationship Id="rId78" Type="http://schemas.openxmlformats.org/officeDocument/2006/relationships/hyperlink" Target="https://doi.org/10.5281/zenodo.15200612" TargetMode="External"/><Relationship Id="rId71" Type="http://schemas.openxmlformats.org/officeDocument/2006/relationships/hyperlink" Target="https://doi.org/10.5281/zenodo.14642407" TargetMode="External"/><Relationship Id="rId70" Type="http://schemas.openxmlformats.org/officeDocument/2006/relationships/hyperlink" Target="https://doi.org/10.5281/zenodo.14681902" TargetMode="External"/><Relationship Id="rId62" Type="http://schemas.openxmlformats.org/officeDocument/2006/relationships/hyperlink" Target="https://doi.org/10.5281/zenodo.15042448" TargetMode="External"/><Relationship Id="rId61" Type="http://schemas.openxmlformats.org/officeDocument/2006/relationships/hyperlink" Target="http://dx.doi.org/10.13140/RG.2.2.12721.08807" TargetMode="External"/><Relationship Id="rId64" Type="http://schemas.openxmlformats.org/officeDocument/2006/relationships/hyperlink" Target="http://dx.doi.org/10.13140/RG.2.2.24481.11366" TargetMode="External"/><Relationship Id="rId63" Type="http://schemas.openxmlformats.org/officeDocument/2006/relationships/hyperlink" Target="https://doi.org/10.5281/zenodo.14837352" TargetMode="External"/><Relationship Id="rId66" Type="http://schemas.openxmlformats.org/officeDocument/2006/relationships/hyperlink" Target="http://dx.doi.org/10.13140/RG.2.2.12890.66248/1" TargetMode="External"/><Relationship Id="rId65" Type="http://schemas.openxmlformats.org/officeDocument/2006/relationships/hyperlink" Target="https://doi.org/10.5281/zenodo.14876013" TargetMode="External"/><Relationship Id="rId68" Type="http://schemas.openxmlformats.org/officeDocument/2006/relationships/hyperlink" Target="https://doi.org/10.5281/zenodo.14689276" TargetMode="External"/><Relationship Id="rId67" Type="http://schemas.openxmlformats.org/officeDocument/2006/relationships/hyperlink" Target="https://doi.org/10.5281/zenodo.14688792" TargetMode="External"/><Relationship Id="rId60" Type="http://schemas.openxmlformats.org/officeDocument/2006/relationships/hyperlink" Target="https://doi.org/10.5281/zenodo.14742232" TargetMode="External"/><Relationship Id="rId69" Type="http://schemas.openxmlformats.org/officeDocument/2006/relationships/hyperlink" Target="https://doi.org/10.5281/zenodo.14676208" TargetMode="External"/><Relationship Id="rId51" Type="http://schemas.openxmlformats.org/officeDocument/2006/relationships/hyperlink" Target="https://doi.org/10.52340/gs.2024.06.04.25" TargetMode="External"/><Relationship Id="rId50" Type="http://schemas.openxmlformats.org/officeDocument/2006/relationships/hyperlink" Target="https://doi.org/10.52340/gs.2024.06.02.32" TargetMode="External"/><Relationship Id="rId53" Type="http://schemas.openxmlformats.org/officeDocument/2006/relationships/hyperlink" Target="https://doi.org/10.52340/gs.2024.06.04.21" TargetMode="External"/><Relationship Id="rId52" Type="http://schemas.openxmlformats.org/officeDocument/2006/relationships/hyperlink" Target="https://doi.org/10.52340/gs.2024.06.02.44" TargetMode="External"/><Relationship Id="rId55" Type="http://schemas.openxmlformats.org/officeDocument/2006/relationships/hyperlink" Target="https://doi.org/10.5281/zenodo.15309162" TargetMode="External"/><Relationship Id="rId54" Type="http://schemas.openxmlformats.org/officeDocument/2006/relationships/hyperlink" Target="http://dx.doi.org/10.13140/RG.2.2.31113.35685" TargetMode="External"/><Relationship Id="rId57" Type="http://schemas.openxmlformats.org/officeDocument/2006/relationships/hyperlink" Target="https://doi.org/10.5281/zenodo.14955643" TargetMode="External"/><Relationship Id="rId56" Type="http://schemas.openxmlformats.org/officeDocument/2006/relationships/hyperlink" Target="http://dx.doi.org/10.13140/RG.2.2.13617.90720" TargetMode="External"/><Relationship Id="rId59" Type="http://schemas.openxmlformats.org/officeDocument/2006/relationships/hyperlink" Target="http://dx.doi.org/10.13140/RG.2.2.27711.62884" TargetMode="External"/><Relationship Id="rId58" Type="http://schemas.openxmlformats.org/officeDocument/2006/relationships/hyperlink" Target="http://dx.doi.org/10.13140/RG.2.2.16706.496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