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zam9ch4x4z0n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Title Page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Centrosomal Ledger</w:t>
        <w:br w:type="textWrapping"/>
        <w:br w:type="textWrapping"/>
        <w:t xml:space="preserve">Subtitle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Perspective on Structural Memory in Cellular Aging, Disease, and Fate Determination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Article Type</w:t>
        <w:br w:type="textWrapping"/>
      </w:r>
      <w:r w:rsidDel="00000000" w:rsidR="00000000" w:rsidRPr="00000000">
        <w:rPr>
          <w:rtl w:val="0"/>
        </w:rPr>
        <w:t xml:space="preserve"> Perspective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Author</w:t>
        <w:br w:type="textWrapping"/>
      </w:r>
      <w:r w:rsidDel="00000000" w:rsidR="00000000" w:rsidRPr="00000000">
        <w:rPr>
          <w:rtl w:val="0"/>
        </w:rPr>
        <w:t xml:space="preserve"> Jaba Tkemaladze, MD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Affiliation</w:t>
        <w:br w:type="textWrapping"/>
      </w:r>
      <w:r w:rsidDel="00000000" w:rsidR="00000000" w:rsidRPr="00000000">
        <w:rPr>
          <w:rtl w:val="0"/>
        </w:rPr>
        <w:t xml:space="preserve">Kutaisi International University, Georgia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Corresponding Author</w:t>
        <w:br w:type="textWrapping"/>
      </w:r>
      <w:r w:rsidDel="00000000" w:rsidR="00000000" w:rsidRPr="00000000">
        <w:rPr>
          <w:rtl w:val="0"/>
        </w:rPr>
        <w:t xml:space="preserve"> Jaba Tkemaladze</w:t>
        <w:br w:type="textWrapping"/>
        <w:t xml:space="preserve"> Email: djabbat@gmail.com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  <w:br w:type="textWrapping"/>
      </w:r>
      <w:r w:rsidDel="00000000" w:rsidR="00000000" w:rsidRPr="00000000">
        <w:rPr>
          <w:rtl w:val="0"/>
        </w:rPr>
        <w:t xml:space="preserve"> Centrosome; Centriole; Structural Memory; Cellular Aging; Cancer; Regenerative Medicine; Omics; Translational Medicine; Cell Fate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ftyj2cbri5dk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Back Matter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on4qo9s4akir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Author Contributions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J.T. conceived the conceptual framework, performed the literature analysis, developed the theoretical model, and wrote the manuscript.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7vm84a89odtv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Funding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work did not receive any specific grant from funding agencies in the public, commercial, or not-for-profit sectors.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httnlst7tdjm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Data Availability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new data were generated or analyzed in this study. Data sharing is not applicable to this article.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466ghyiyad8j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Ethics Approval and Consent to Participate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Not applicable.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h90ie4grf4mw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Consent for Publication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Not applicable.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tiflrar88rbg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Competing Interests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author declares no competing interests.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4o5ryznzl0lo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Acknowledgements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author thanks colleagues and reviewers whose discussions and critiques contributed to the refinement of the conceptual framework presented in this Perspective.</w:t>
      </w:r>
    </w:p>
    <w:p w:rsidR="00000000" w:rsidDel="00000000" w:rsidP="00000000" w:rsidRDefault="00000000" w:rsidRPr="00000000" w14:paraId="00000019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  <w:jc w:val="both"/>
    </w:pPr>
    <w:rPr>
      <w:rFonts w:ascii="Tahoma" w:cs="Tahoma" w:eastAsia="Tahoma" w:hAnsi="Tahoma"/>
      <w:b w:val="1"/>
      <w:bCs w:val="1"/>
      <w:color w:val="07376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  <w:jc w:val="both"/>
    </w:pPr>
    <w:rPr>
      <w:b w:val="1"/>
      <w:bCs w:val="1"/>
      <w:color w:val="3d85c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3d85c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jc w:val="both"/>
    </w:pPr>
    <w:rPr>
      <w:b w:val="1"/>
      <w:bCs w:val="1"/>
      <w:color w:val="6fa8dc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  <w:jc w:val="both"/>
    </w:pPr>
    <w:rPr>
      <w:i w:val="1"/>
      <w:iCs w:val="1"/>
      <w:color w:val="073763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jc w:val="both"/>
    </w:pPr>
    <w:rPr>
      <w:i w:val="1"/>
      <w:iCs w:val="1"/>
      <w:color w:val="073763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Tahoma" w:cs="Tahoma" w:eastAsia="Tahoma" w:hAnsi="Tahoma"/>
      <w:b w:val="1"/>
      <w:bCs w:val="1"/>
      <w:color w:val="073763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